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tiff" ContentType="image/tiff"/>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20B7F5">
      <w:pPr>
        <w:pStyle w:val="901"/>
        <w:rPr>
          <w:rFonts w:eastAsia="仿宋_GB2312"/>
          <w:color w:val="auto"/>
        </w:rPr>
      </w:pPr>
    </w:p>
    <w:p w14:paraId="6D2089FC">
      <w:pPr>
        <w:rPr>
          <w:rFonts w:eastAsia="仿宋_GB2312"/>
          <w:color w:val="auto"/>
          <w:sz w:val="36"/>
          <w:szCs w:val="36"/>
        </w:rPr>
      </w:pPr>
    </w:p>
    <w:p w14:paraId="42282A50">
      <w:pPr>
        <w:rPr>
          <w:rFonts w:eastAsia="仿宋_GB2312"/>
          <w:color w:val="auto"/>
          <w:sz w:val="36"/>
          <w:szCs w:val="36"/>
        </w:rPr>
      </w:pPr>
    </w:p>
    <w:p w14:paraId="3C73CE06">
      <w:pPr>
        <w:rPr>
          <w:rFonts w:eastAsia="仿宋_GB2312"/>
          <w:color w:val="auto"/>
          <w:sz w:val="36"/>
          <w:szCs w:val="36"/>
        </w:rPr>
      </w:pPr>
    </w:p>
    <w:p w14:paraId="2337615F">
      <w:pPr>
        <w:adjustRightInd w:val="0"/>
        <w:snapToGrid w:val="0"/>
        <w:jc w:val="center"/>
        <w:outlineLvl w:val="0"/>
        <w:rPr>
          <w:rFonts w:eastAsia="仿宋_GB2312"/>
          <w:bCs/>
          <w:color w:val="auto"/>
          <w:sz w:val="72"/>
          <w:szCs w:val="72"/>
        </w:rPr>
      </w:pPr>
      <w:r>
        <w:rPr>
          <w:rFonts w:eastAsia="仿宋_GB2312"/>
          <w:bCs/>
          <w:color w:val="auto"/>
          <w:sz w:val="72"/>
          <w:szCs w:val="72"/>
        </w:rPr>
        <w:t>建设项目环境影响报告表</w:t>
      </w:r>
    </w:p>
    <w:p w14:paraId="533D8902">
      <w:pPr>
        <w:adjustRightInd w:val="0"/>
        <w:snapToGrid w:val="0"/>
        <w:spacing w:before="192" w:beforeLines="80"/>
        <w:jc w:val="center"/>
        <w:rPr>
          <w:rFonts w:eastAsia="仿宋_GB2312"/>
          <w:bCs/>
          <w:color w:val="auto"/>
          <w:sz w:val="48"/>
          <w:szCs w:val="48"/>
        </w:rPr>
      </w:pPr>
      <w:r>
        <w:rPr>
          <w:rFonts w:eastAsia="仿宋_GB2312"/>
          <w:bCs/>
          <w:color w:val="auto"/>
          <w:sz w:val="48"/>
          <w:szCs w:val="48"/>
        </w:rPr>
        <w:t>（污染影响类）</w:t>
      </w:r>
    </w:p>
    <w:p w14:paraId="0A6420A3">
      <w:pPr>
        <w:adjustRightInd w:val="0"/>
        <w:snapToGrid w:val="0"/>
        <w:spacing w:before="192" w:beforeLines="80"/>
        <w:jc w:val="center"/>
        <w:rPr>
          <w:rFonts w:eastAsia="仿宋_GB2312"/>
          <w:bCs/>
          <w:color w:val="auto"/>
          <w:sz w:val="32"/>
          <w:szCs w:val="32"/>
          <w:highlight w:val="yellow"/>
        </w:rPr>
      </w:pPr>
    </w:p>
    <w:p w14:paraId="1D4A855F">
      <w:pPr>
        <w:jc w:val="center"/>
        <w:rPr>
          <w:rFonts w:eastAsia="仿宋_GB2312"/>
          <w:color w:val="auto"/>
          <w:kern w:val="44"/>
          <w:sz w:val="44"/>
          <w:szCs w:val="44"/>
        </w:rPr>
      </w:pPr>
    </w:p>
    <w:p w14:paraId="0373A0F6">
      <w:pPr>
        <w:jc w:val="center"/>
        <w:rPr>
          <w:rFonts w:eastAsia="仿宋_GB2312"/>
          <w:color w:val="auto"/>
          <w:sz w:val="52"/>
          <w:szCs w:val="52"/>
        </w:rPr>
      </w:pPr>
    </w:p>
    <w:p w14:paraId="4DBA48B8">
      <w:pPr>
        <w:ind w:firstLine="1040"/>
        <w:rPr>
          <w:rFonts w:eastAsia="仿宋_GB2312"/>
          <w:color w:val="auto"/>
          <w:sz w:val="44"/>
          <w:szCs w:val="44"/>
        </w:rPr>
      </w:pPr>
    </w:p>
    <w:p w14:paraId="29B81174">
      <w:pPr>
        <w:ind w:firstLine="1040"/>
        <w:rPr>
          <w:rFonts w:eastAsia="仿宋_GB2312"/>
          <w:color w:val="auto"/>
          <w:sz w:val="44"/>
          <w:szCs w:val="44"/>
        </w:rPr>
      </w:pPr>
    </w:p>
    <w:p w14:paraId="7868BD2F">
      <w:pPr>
        <w:ind w:firstLine="1040"/>
        <w:rPr>
          <w:rFonts w:eastAsia="仿宋_GB2312"/>
          <w:color w:val="auto"/>
          <w:sz w:val="44"/>
          <w:szCs w:val="44"/>
        </w:rPr>
      </w:pPr>
    </w:p>
    <w:p w14:paraId="69AFE936">
      <w:pPr>
        <w:ind w:firstLine="1040"/>
        <w:rPr>
          <w:rFonts w:eastAsia="仿宋_GB2312"/>
          <w:color w:val="auto"/>
          <w:sz w:val="44"/>
          <w:szCs w:val="44"/>
        </w:rPr>
      </w:pPr>
    </w:p>
    <w:p w14:paraId="3BD7AC45">
      <w:pPr>
        <w:adjustRightInd w:val="0"/>
        <w:snapToGrid w:val="0"/>
        <w:spacing w:line="288" w:lineRule="auto"/>
        <w:ind w:left="2161" w:leftChars="172" w:hanging="1800" w:hangingChars="500"/>
        <w:rPr>
          <w:rFonts w:eastAsia="仿宋_GB2312"/>
          <w:color w:val="auto"/>
          <w:sz w:val="36"/>
          <w:szCs w:val="36"/>
          <w:u w:val="single"/>
        </w:rPr>
      </w:pPr>
      <w:r>
        <w:rPr>
          <w:rFonts w:eastAsia="仿宋_GB2312"/>
          <w:color w:val="auto"/>
          <w:sz w:val="36"/>
          <w:szCs w:val="36"/>
        </w:rPr>
        <w:t>项目名称：</w:t>
      </w:r>
      <w:bookmarkStart w:id="0" w:name="OLE_LINK15"/>
      <w:r>
        <w:rPr>
          <w:rFonts w:hint="eastAsia" w:eastAsia="仿宋_GB2312"/>
          <w:color w:val="auto"/>
          <w:sz w:val="36"/>
          <w:szCs w:val="36"/>
          <w:u w:val="single"/>
        </w:rPr>
        <w:t>江苏光玥生物科技有限公司高端食品及新型膳食补充剂项目</w:t>
      </w:r>
      <w:bookmarkEnd w:id="0"/>
      <w:r>
        <w:rPr>
          <w:rFonts w:hint="eastAsia" w:eastAsia="仿宋_GB2312"/>
          <w:color w:val="auto"/>
          <w:sz w:val="36"/>
          <w:szCs w:val="36"/>
          <w:u w:val="single"/>
        </w:rPr>
        <w:t xml:space="preserve">     </w:t>
      </w:r>
    </w:p>
    <w:p w14:paraId="3D4AE6B2">
      <w:pPr>
        <w:adjustRightInd w:val="0"/>
        <w:snapToGrid w:val="0"/>
        <w:spacing w:line="288" w:lineRule="auto"/>
        <w:ind w:firstLine="360" w:firstLineChars="100"/>
        <w:jc w:val="both"/>
        <w:rPr>
          <w:rFonts w:hint="default" w:eastAsia="仿宋_GB2312"/>
          <w:color w:val="auto"/>
          <w:sz w:val="36"/>
          <w:szCs w:val="36"/>
          <w:u w:val="single"/>
          <w:lang w:val="en-US" w:eastAsia="zh-CN"/>
        </w:rPr>
      </w:pPr>
      <w:r>
        <w:rPr>
          <w:rFonts w:eastAsia="仿宋_GB2312"/>
          <w:color w:val="auto"/>
          <w:sz w:val="36"/>
          <w:szCs w:val="36"/>
        </w:rPr>
        <w:t>建设单位（盖章）：</w:t>
      </w:r>
      <w:r>
        <w:rPr>
          <w:rFonts w:hint="eastAsia" w:eastAsia="仿宋_GB2312"/>
          <w:color w:val="auto"/>
          <w:sz w:val="36"/>
          <w:szCs w:val="36"/>
          <w:u w:val="single"/>
        </w:rPr>
        <w:t>江苏光玥生物科技有限公司</w:t>
      </w:r>
      <w:r>
        <w:rPr>
          <w:rFonts w:hint="eastAsia" w:eastAsia="仿宋_GB2312"/>
          <w:color w:val="auto"/>
          <w:sz w:val="36"/>
          <w:szCs w:val="36"/>
          <w:u w:val="single"/>
          <w:lang w:val="en-US" w:eastAsia="zh-CN"/>
        </w:rPr>
        <w:t xml:space="preserve">  </w:t>
      </w:r>
    </w:p>
    <w:p w14:paraId="502823A0">
      <w:pPr>
        <w:adjustRightInd w:val="0"/>
        <w:snapToGrid w:val="0"/>
        <w:spacing w:line="288" w:lineRule="auto"/>
        <w:ind w:firstLine="360" w:firstLineChars="100"/>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202</w:t>
      </w:r>
      <w:r>
        <w:rPr>
          <w:rFonts w:hint="eastAsia" w:eastAsia="仿宋_GB2312"/>
          <w:color w:val="auto"/>
          <w:sz w:val="36"/>
          <w:szCs w:val="36"/>
          <w:u w:val="single"/>
          <w:lang w:val="en-US" w:eastAsia="zh-CN"/>
        </w:rPr>
        <w:t>6</w:t>
      </w:r>
      <w:r>
        <w:rPr>
          <w:rFonts w:eastAsia="仿宋_GB2312"/>
          <w:color w:val="auto"/>
          <w:sz w:val="36"/>
          <w:szCs w:val="36"/>
          <w:u w:val="single"/>
        </w:rPr>
        <w:t>年</w:t>
      </w:r>
      <w:r>
        <w:rPr>
          <w:rFonts w:hint="eastAsia" w:eastAsia="仿宋_GB2312"/>
          <w:color w:val="auto"/>
          <w:sz w:val="36"/>
          <w:szCs w:val="36"/>
          <w:u w:val="single"/>
          <w:lang w:val="en-US" w:eastAsia="zh-CN"/>
        </w:rPr>
        <w:t>1</w:t>
      </w:r>
      <w:r>
        <w:rPr>
          <w:rFonts w:eastAsia="仿宋_GB2312"/>
          <w:color w:val="auto"/>
          <w:sz w:val="36"/>
          <w:szCs w:val="36"/>
          <w:u w:val="single"/>
        </w:rPr>
        <w:t xml:space="preserve">月        </w:t>
      </w:r>
      <w:r>
        <w:rPr>
          <w:rFonts w:hint="eastAsia" w:eastAsia="仿宋_GB2312"/>
          <w:color w:val="auto"/>
          <w:sz w:val="36"/>
          <w:szCs w:val="36"/>
          <w:u w:val="single"/>
        </w:rPr>
        <w:t xml:space="preserve">        </w:t>
      </w:r>
      <w:r>
        <w:rPr>
          <w:rFonts w:eastAsia="仿宋_GB2312"/>
          <w:color w:val="auto"/>
          <w:sz w:val="36"/>
          <w:szCs w:val="36"/>
          <w:u w:val="single"/>
        </w:rPr>
        <w:t xml:space="preserve">  </w:t>
      </w:r>
    </w:p>
    <w:p w14:paraId="7D3CCE4C">
      <w:pPr>
        <w:adjustRightInd w:val="0"/>
        <w:snapToGrid w:val="0"/>
        <w:spacing w:line="288" w:lineRule="auto"/>
        <w:ind w:firstLine="1040"/>
        <w:rPr>
          <w:rFonts w:eastAsia="仿宋_GB2312"/>
          <w:color w:val="auto"/>
          <w:sz w:val="36"/>
          <w:szCs w:val="36"/>
          <w:u w:val="single"/>
        </w:rPr>
      </w:pPr>
      <w:bookmarkStart w:id="1" w:name="_Hlk57884087"/>
    </w:p>
    <w:p w14:paraId="7E848822">
      <w:pPr>
        <w:adjustRightInd w:val="0"/>
        <w:snapToGrid w:val="0"/>
        <w:spacing w:line="288" w:lineRule="auto"/>
        <w:ind w:firstLine="1040"/>
        <w:rPr>
          <w:rFonts w:eastAsia="仿宋_GB2312"/>
          <w:color w:val="auto"/>
          <w:sz w:val="36"/>
          <w:szCs w:val="36"/>
        </w:rPr>
      </w:pPr>
    </w:p>
    <w:p w14:paraId="2DA53393">
      <w:pPr>
        <w:adjustRightInd w:val="0"/>
        <w:snapToGrid w:val="0"/>
        <w:spacing w:line="288" w:lineRule="auto"/>
        <w:ind w:firstLine="1040"/>
        <w:rPr>
          <w:rFonts w:eastAsia="仿宋_GB2312"/>
          <w:color w:val="auto"/>
          <w:sz w:val="36"/>
          <w:szCs w:val="36"/>
        </w:rPr>
      </w:pPr>
    </w:p>
    <w:p w14:paraId="45C5212F">
      <w:pPr>
        <w:adjustRightInd w:val="0"/>
        <w:snapToGrid w:val="0"/>
        <w:spacing w:line="288" w:lineRule="auto"/>
        <w:ind w:firstLine="1040"/>
        <w:rPr>
          <w:rFonts w:eastAsia="仿宋_GB2312"/>
          <w:color w:val="auto"/>
          <w:sz w:val="36"/>
          <w:szCs w:val="36"/>
        </w:rPr>
      </w:pPr>
    </w:p>
    <w:p w14:paraId="4B3D91F2">
      <w:pPr>
        <w:adjustRightInd w:val="0"/>
        <w:snapToGrid w:val="0"/>
        <w:spacing w:line="288" w:lineRule="auto"/>
        <w:ind w:firstLine="1040"/>
        <w:rPr>
          <w:rFonts w:eastAsia="仿宋_GB2312"/>
          <w:color w:val="auto"/>
          <w:sz w:val="36"/>
          <w:szCs w:val="36"/>
        </w:rPr>
      </w:pPr>
    </w:p>
    <w:bookmarkEnd w:id="1"/>
    <w:p w14:paraId="60B23E91">
      <w:pPr>
        <w:adjustRightInd w:val="0"/>
        <w:snapToGrid w:val="0"/>
        <w:spacing w:line="288" w:lineRule="auto"/>
        <w:jc w:val="center"/>
        <w:rPr>
          <w:rFonts w:eastAsia="仿宋_GB2312"/>
          <w:color w:val="auto"/>
          <w:sz w:val="36"/>
          <w:szCs w:val="36"/>
        </w:rPr>
      </w:pPr>
      <w:r>
        <w:rPr>
          <w:rFonts w:eastAsia="仿宋_GB2312"/>
          <w:color w:val="auto"/>
          <w:sz w:val="36"/>
          <w:szCs w:val="36"/>
        </w:rPr>
        <w:t>中华人民共和国生态环境部制</w:t>
      </w:r>
    </w:p>
    <w:p w14:paraId="6D83A0A0">
      <w:pPr>
        <w:adjustRightInd w:val="0"/>
        <w:snapToGrid w:val="0"/>
        <w:spacing w:line="288" w:lineRule="auto"/>
        <w:ind w:firstLine="1040"/>
        <w:rPr>
          <w:rFonts w:eastAsia="仿宋_GB2312"/>
          <w:color w:val="auto"/>
          <w:sz w:val="36"/>
          <w:szCs w:val="36"/>
        </w:rPr>
        <w:sectPr>
          <w:headerReference r:id="rId3" w:type="default"/>
          <w:footerReference r:id="rId5" w:type="default"/>
          <w:headerReference r:id="rId4" w:type="even"/>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6E4B9FF">
      <w:pPr>
        <w:adjustRightInd w:val="0"/>
        <w:snapToGrid w:val="0"/>
        <w:spacing w:line="288" w:lineRule="auto"/>
        <w:ind w:firstLine="1040"/>
        <w:rPr>
          <w:rFonts w:hint="eastAsia" w:eastAsia="仿宋_GB2312"/>
          <w:color w:val="auto"/>
          <w:sz w:val="36"/>
          <w:szCs w:val="36"/>
          <w:lang w:eastAsia="zh-CN"/>
        </w:rPr>
      </w:pPr>
      <w:r>
        <w:rPr>
          <w:rFonts w:hint="eastAsia" w:eastAsia="仿宋_GB2312"/>
          <w:color w:val="auto"/>
          <w:sz w:val="36"/>
          <w:szCs w:val="36"/>
          <w:lang w:eastAsia="zh-CN"/>
        </w:rPr>
        <w:drawing>
          <wp:inline distT="0" distB="0" distL="114300" distR="114300">
            <wp:extent cx="5615305" cy="7940675"/>
            <wp:effectExtent l="0" t="0" r="8255" b="14605"/>
            <wp:docPr id="2" name="图片 2" descr="12-编制人员和编制单位情况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编制人员和编制单位情况表_01"/>
                    <pic:cNvPicPr>
                      <a:picLocks noChangeAspect="1"/>
                    </pic:cNvPicPr>
                  </pic:nvPicPr>
                  <pic:blipFill>
                    <a:blip r:embed="rId9"/>
                    <a:stretch>
                      <a:fillRect/>
                    </a:stretch>
                  </pic:blipFill>
                  <pic:spPr>
                    <a:xfrm>
                      <a:off x="0" y="0"/>
                      <a:ext cx="5615305" cy="7940675"/>
                    </a:xfrm>
                    <a:prstGeom prst="rect">
                      <a:avLst/>
                    </a:prstGeom>
                  </pic:spPr>
                </pic:pic>
              </a:graphicData>
            </a:graphic>
          </wp:inline>
        </w:drawing>
      </w:r>
    </w:p>
    <w:p w14:paraId="2E509C28">
      <w:pPr>
        <w:pStyle w:val="2"/>
        <w:rPr>
          <w:rFonts w:eastAsia="仿宋_GB2312"/>
          <w:color w:val="auto"/>
          <w:sz w:val="36"/>
          <w:szCs w:val="36"/>
        </w:rPr>
      </w:pPr>
    </w:p>
    <w:p w14:paraId="32A09559">
      <w:pPr>
        <w:pStyle w:val="3"/>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18E4080">
      <w:pPr>
        <w:pStyle w:val="81"/>
        <w:jc w:val="center"/>
        <w:outlineLvl w:val="0"/>
        <w:rPr>
          <w:rFonts w:ascii="Times New Roman" w:hAnsi="Times New Roman" w:eastAsia="仿宋_GB2312"/>
          <w:b/>
          <w:snapToGrid w:val="0"/>
          <w:color w:val="auto"/>
          <w:sz w:val="30"/>
          <w:szCs w:val="30"/>
        </w:rPr>
      </w:pPr>
      <w:r>
        <w:rPr>
          <w:rFonts w:ascii="Times New Roman" w:hAnsi="Times New Roman" w:eastAsia="仿宋_GB2312"/>
          <w:b/>
          <w:snapToGrid w:val="0"/>
          <w:color w:val="auto"/>
          <w:sz w:val="30"/>
          <w:szCs w:val="30"/>
        </w:rPr>
        <w:t>一、建设项目基本情况</w:t>
      </w:r>
    </w:p>
    <w:tbl>
      <w:tblPr>
        <w:tblStyle w:val="87"/>
        <w:tblW w:w="523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91"/>
        <w:gridCol w:w="2419"/>
        <w:gridCol w:w="2105"/>
        <w:gridCol w:w="2977"/>
      </w:tblGrid>
      <w:tr w14:paraId="6FB0E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1773F7E5">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建设项目名称</w:t>
            </w:r>
          </w:p>
        </w:tc>
        <w:tc>
          <w:tcPr>
            <w:tcW w:w="7507" w:type="dxa"/>
            <w:gridSpan w:val="3"/>
            <w:vAlign w:val="center"/>
          </w:tcPr>
          <w:p w14:paraId="679C1C85">
            <w:pPr>
              <w:keepNext w:val="0"/>
              <w:keepLines w:val="0"/>
              <w:suppressLineNumbers w:val="0"/>
              <w:adjustRightInd w:val="0"/>
              <w:snapToGrid w:val="0"/>
              <w:spacing w:before="0" w:beforeAutospacing="0" w:after="0" w:afterAutospacing="0" w:line="400" w:lineRule="exact"/>
              <w:ind w:left="0" w:right="0"/>
              <w:jc w:val="center"/>
              <w:rPr>
                <w:rFonts w:hint="default" w:eastAsia="仿宋_GB2312"/>
                <w:color w:val="auto"/>
                <w:sz w:val="24"/>
              </w:rPr>
            </w:pPr>
            <w:r>
              <w:rPr>
                <w:rFonts w:hint="default" w:eastAsia="仿宋_GB2312"/>
                <w:color w:val="auto"/>
                <w:sz w:val="24"/>
              </w:rPr>
              <w:t>江苏光玥生物科技有限公司</w:t>
            </w:r>
          </w:p>
          <w:p w14:paraId="31C33E63">
            <w:pPr>
              <w:keepNext w:val="0"/>
              <w:keepLines w:val="0"/>
              <w:suppressLineNumbers w:val="0"/>
              <w:adjustRightInd w:val="0"/>
              <w:snapToGrid w:val="0"/>
              <w:spacing w:before="0" w:beforeAutospacing="0" w:after="0" w:afterAutospacing="0" w:line="400" w:lineRule="exact"/>
              <w:ind w:left="0" w:right="0"/>
              <w:jc w:val="center"/>
              <w:rPr>
                <w:rFonts w:hint="default" w:eastAsia="仿宋_GB2312"/>
                <w:color w:val="auto"/>
                <w:sz w:val="24"/>
              </w:rPr>
            </w:pPr>
            <w:r>
              <w:rPr>
                <w:rFonts w:hint="default" w:eastAsia="仿宋_GB2312"/>
                <w:color w:val="auto"/>
                <w:sz w:val="24"/>
              </w:rPr>
              <w:t>高端食品及新型膳食补充剂项目</w:t>
            </w:r>
          </w:p>
        </w:tc>
      </w:tr>
      <w:tr w14:paraId="5DA41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05264FE9">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项目代码</w:t>
            </w:r>
          </w:p>
        </w:tc>
        <w:tc>
          <w:tcPr>
            <w:tcW w:w="7507" w:type="dxa"/>
            <w:gridSpan w:val="3"/>
            <w:vAlign w:val="center"/>
          </w:tcPr>
          <w:p w14:paraId="6DCF78D7">
            <w:pPr>
              <w:keepNext w:val="0"/>
              <w:keepLines w:val="0"/>
              <w:suppressLineNumbers w:val="0"/>
              <w:adjustRightInd w:val="0"/>
              <w:snapToGrid w:val="0"/>
              <w:spacing w:before="0" w:beforeAutospacing="0" w:after="0" w:afterAutospacing="0" w:line="400" w:lineRule="exact"/>
              <w:ind w:left="0" w:right="0"/>
              <w:jc w:val="center"/>
              <w:rPr>
                <w:rFonts w:hint="default" w:eastAsia="仿宋_GB2312"/>
                <w:color w:val="auto"/>
                <w:sz w:val="24"/>
                <w:lang w:val="en-US" w:eastAsia="zh-CN"/>
              </w:rPr>
            </w:pPr>
            <w:r>
              <w:rPr>
                <w:rFonts w:hint="default" w:eastAsia="仿宋_GB2312"/>
                <w:color w:val="auto"/>
                <w:sz w:val="24"/>
                <w:highlight w:val="none"/>
              </w:rPr>
              <w:t>2</w:t>
            </w:r>
            <w:r>
              <w:rPr>
                <w:rFonts w:hint="eastAsia" w:eastAsia="仿宋_GB2312"/>
                <w:color w:val="auto"/>
                <w:sz w:val="24"/>
                <w:highlight w:val="none"/>
                <w:lang w:val="en-US" w:eastAsia="zh-CN"/>
              </w:rPr>
              <w:t>4</w:t>
            </w:r>
            <w:r>
              <w:rPr>
                <w:rFonts w:hint="default" w:eastAsia="仿宋_GB2312"/>
                <w:color w:val="auto"/>
                <w:sz w:val="24"/>
                <w:highlight w:val="none"/>
              </w:rPr>
              <w:t>04-3204</w:t>
            </w:r>
            <w:r>
              <w:rPr>
                <w:rFonts w:hint="eastAsia" w:eastAsia="仿宋_GB2312"/>
                <w:color w:val="auto"/>
                <w:sz w:val="24"/>
                <w:highlight w:val="none"/>
                <w:lang w:val="en-US" w:eastAsia="zh-CN"/>
              </w:rPr>
              <w:t>58</w:t>
            </w:r>
            <w:r>
              <w:rPr>
                <w:rFonts w:hint="default" w:eastAsia="仿宋_GB2312"/>
                <w:color w:val="auto"/>
                <w:sz w:val="24"/>
                <w:highlight w:val="none"/>
              </w:rPr>
              <w:t>-</w:t>
            </w:r>
            <w:r>
              <w:rPr>
                <w:rFonts w:hint="eastAsia" w:eastAsia="仿宋_GB2312"/>
                <w:color w:val="auto"/>
                <w:sz w:val="24"/>
                <w:highlight w:val="none"/>
                <w:lang w:val="en-US" w:eastAsia="zh-CN"/>
              </w:rPr>
              <w:t>89</w:t>
            </w:r>
            <w:r>
              <w:rPr>
                <w:rFonts w:hint="default" w:eastAsia="仿宋_GB2312"/>
                <w:color w:val="auto"/>
                <w:sz w:val="24"/>
                <w:highlight w:val="none"/>
              </w:rPr>
              <w:t>-01-</w:t>
            </w:r>
            <w:r>
              <w:rPr>
                <w:rFonts w:hint="eastAsia" w:eastAsia="仿宋_GB2312"/>
                <w:color w:val="auto"/>
                <w:sz w:val="24"/>
                <w:highlight w:val="none"/>
                <w:lang w:val="en-US" w:eastAsia="zh-CN"/>
              </w:rPr>
              <w:t>306102</w:t>
            </w:r>
          </w:p>
        </w:tc>
      </w:tr>
      <w:tr w14:paraId="2E94C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0CB0CC0D">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建设单位联系人</w:t>
            </w:r>
          </w:p>
        </w:tc>
        <w:tc>
          <w:tcPr>
            <w:tcW w:w="2421" w:type="dxa"/>
            <w:vAlign w:val="center"/>
          </w:tcPr>
          <w:p w14:paraId="47ACBAF3">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highlight w:val="none"/>
              </w:rPr>
            </w:pPr>
            <w:r>
              <w:rPr>
                <w:rFonts w:hint="default" w:eastAsia="仿宋_GB2312"/>
                <w:color w:val="auto"/>
                <w:sz w:val="24"/>
                <w:highlight w:val="none"/>
              </w:rPr>
              <w:t>邵慧</w:t>
            </w:r>
          </w:p>
        </w:tc>
        <w:tc>
          <w:tcPr>
            <w:tcW w:w="2107" w:type="dxa"/>
            <w:vAlign w:val="center"/>
          </w:tcPr>
          <w:p w14:paraId="169E336B">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highlight w:val="none"/>
              </w:rPr>
            </w:pPr>
            <w:r>
              <w:rPr>
                <w:rFonts w:hint="default" w:eastAsia="仿宋_GB2312"/>
                <w:color w:val="auto"/>
                <w:sz w:val="24"/>
                <w:highlight w:val="none"/>
              </w:rPr>
              <w:t>联系方式</w:t>
            </w:r>
          </w:p>
        </w:tc>
        <w:tc>
          <w:tcPr>
            <w:tcW w:w="2979" w:type="dxa"/>
            <w:vAlign w:val="center"/>
          </w:tcPr>
          <w:p w14:paraId="5FC7814C">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highlight w:val="none"/>
              </w:rPr>
            </w:pPr>
            <w:r>
              <w:rPr>
                <w:rFonts w:hint="default" w:eastAsia="仿宋_GB2312"/>
                <w:color w:val="auto"/>
                <w:sz w:val="24"/>
                <w:highlight w:val="none"/>
              </w:rPr>
              <w:t>13806733129</w:t>
            </w:r>
          </w:p>
        </w:tc>
      </w:tr>
      <w:tr w14:paraId="040A5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66DEE7E1">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建设地点</w:t>
            </w:r>
          </w:p>
        </w:tc>
        <w:tc>
          <w:tcPr>
            <w:tcW w:w="7507" w:type="dxa"/>
            <w:gridSpan w:val="3"/>
            <w:vAlign w:val="center"/>
          </w:tcPr>
          <w:p w14:paraId="050CAFF0">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常州市金坛区金城镇西城路118号</w:t>
            </w:r>
          </w:p>
        </w:tc>
      </w:tr>
      <w:tr w14:paraId="2E928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26C739ED">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地理坐标</w:t>
            </w:r>
          </w:p>
        </w:tc>
        <w:tc>
          <w:tcPr>
            <w:tcW w:w="7507" w:type="dxa"/>
            <w:gridSpan w:val="3"/>
            <w:vAlign w:val="center"/>
          </w:tcPr>
          <w:p w14:paraId="664A7842">
            <w:pPr>
              <w:keepNext w:val="0"/>
              <w:keepLines w:val="0"/>
              <w:suppressLineNumbers w:val="0"/>
              <w:spacing w:before="0" w:beforeAutospacing="0" w:after="0" w:afterAutospacing="0"/>
              <w:ind w:left="0" w:right="0"/>
              <w:jc w:val="center"/>
              <w:rPr>
                <w:rFonts w:hint="default" w:eastAsia="仿宋_GB2312"/>
                <w:color w:val="auto"/>
                <w:sz w:val="24"/>
              </w:rPr>
            </w:pPr>
            <w:r>
              <w:rPr>
                <w:rFonts w:hint="default" w:eastAsia="仿宋_GB2312"/>
                <w:color w:val="auto"/>
                <w:sz w:val="24"/>
                <w:highlight w:val="none"/>
              </w:rPr>
              <w:t>东经：</w:t>
            </w:r>
            <w:r>
              <w:rPr>
                <w:rFonts w:hint="default" w:eastAsia="仿宋_GB2312"/>
                <w:color w:val="auto"/>
                <w:sz w:val="24"/>
                <w:highlight w:val="none"/>
                <w:u w:val="single"/>
              </w:rPr>
              <w:t xml:space="preserve"> </w:t>
            </w:r>
            <w:r>
              <w:rPr>
                <w:rFonts w:hint="eastAsia" w:eastAsia="仿宋_GB2312"/>
                <w:color w:val="auto"/>
                <w:sz w:val="24"/>
                <w:highlight w:val="none"/>
                <w:u w:val="single"/>
                <w:lang w:val="en-US" w:eastAsia="zh-CN"/>
              </w:rPr>
              <w:t>119</w:t>
            </w:r>
            <w:r>
              <w:rPr>
                <w:rFonts w:hint="default" w:eastAsia="仿宋_GB2312"/>
                <w:color w:val="auto"/>
                <w:sz w:val="24"/>
                <w:highlight w:val="none"/>
                <w:u w:val="single"/>
              </w:rPr>
              <w:t xml:space="preserve"> </w:t>
            </w:r>
            <w:r>
              <w:rPr>
                <w:rFonts w:hint="default" w:eastAsia="仿宋_GB2312"/>
                <w:color w:val="auto"/>
                <w:sz w:val="24"/>
                <w:highlight w:val="none"/>
              </w:rPr>
              <w:t>度</w:t>
            </w:r>
            <w:r>
              <w:rPr>
                <w:rFonts w:hint="default" w:eastAsia="仿宋_GB2312"/>
                <w:color w:val="auto"/>
                <w:sz w:val="24"/>
                <w:highlight w:val="none"/>
                <w:u w:val="single"/>
              </w:rPr>
              <w:t xml:space="preserve"> </w:t>
            </w:r>
            <w:r>
              <w:rPr>
                <w:rFonts w:hint="eastAsia" w:eastAsia="仿宋_GB2312"/>
                <w:color w:val="auto"/>
                <w:sz w:val="24"/>
                <w:highlight w:val="none"/>
                <w:u w:val="single"/>
                <w:lang w:val="en-US" w:eastAsia="zh-CN"/>
              </w:rPr>
              <w:t>34</w:t>
            </w:r>
            <w:r>
              <w:rPr>
                <w:rFonts w:hint="default" w:eastAsia="仿宋_GB2312"/>
                <w:color w:val="auto"/>
                <w:sz w:val="24"/>
                <w:highlight w:val="none"/>
                <w:u w:val="single"/>
              </w:rPr>
              <w:t xml:space="preserve"> </w:t>
            </w:r>
            <w:r>
              <w:rPr>
                <w:rFonts w:hint="default" w:eastAsia="仿宋_GB2312"/>
                <w:color w:val="auto"/>
                <w:sz w:val="24"/>
                <w:highlight w:val="none"/>
              </w:rPr>
              <w:t>分</w:t>
            </w:r>
            <w:r>
              <w:rPr>
                <w:rFonts w:hint="default" w:eastAsia="仿宋_GB2312"/>
                <w:color w:val="auto"/>
                <w:sz w:val="24"/>
                <w:highlight w:val="none"/>
                <w:u w:val="single"/>
              </w:rPr>
              <w:t xml:space="preserve"> </w:t>
            </w:r>
            <w:r>
              <w:rPr>
                <w:rFonts w:hint="eastAsia" w:eastAsia="仿宋_GB2312"/>
                <w:color w:val="auto"/>
                <w:sz w:val="24"/>
                <w:highlight w:val="none"/>
                <w:u w:val="single"/>
                <w:lang w:val="en-US" w:eastAsia="zh-CN"/>
              </w:rPr>
              <w:t>8.846</w:t>
            </w:r>
            <w:r>
              <w:rPr>
                <w:rFonts w:hint="default" w:eastAsia="仿宋_GB2312"/>
                <w:color w:val="auto"/>
                <w:sz w:val="24"/>
                <w:highlight w:val="none"/>
                <w:u w:val="single"/>
              </w:rPr>
              <w:t xml:space="preserve"> </w:t>
            </w:r>
            <w:r>
              <w:rPr>
                <w:rFonts w:hint="default" w:eastAsia="仿宋_GB2312"/>
                <w:color w:val="auto"/>
                <w:sz w:val="24"/>
                <w:highlight w:val="none"/>
              </w:rPr>
              <w:t>秒，北纬：</w:t>
            </w:r>
            <w:r>
              <w:rPr>
                <w:rFonts w:hint="default" w:eastAsia="仿宋_GB2312"/>
                <w:color w:val="auto"/>
                <w:sz w:val="24"/>
                <w:highlight w:val="none"/>
                <w:u w:val="single"/>
              </w:rPr>
              <w:t xml:space="preserve"> 31 </w:t>
            </w:r>
            <w:r>
              <w:rPr>
                <w:rFonts w:hint="default" w:eastAsia="仿宋_GB2312"/>
                <w:color w:val="auto"/>
                <w:sz w:val="24"/>
                <w:highlight w:val="none"/>
              </w:rPr>
              <w:t>度</w:t>
            </w:r>
            <w:r>
              <w:rPr>
                <w:rFonts w:hint="default" w:eastAsia="仿宋_GB2312"/>
                <w:color w:val="auto"/>
                <w:sz w:val="24"/>
                <w:highlight w:val="none"/>
                <w:u w:val="single"/>
              </w:rPr>
              <w:t xml:space="preserve"> 4</w:t>
            </w:r>
            <w:r>
              <w:rPr>
                <w:rFonts w:hint="eastAsia" w:eastAsia="仿宋_GB2312"/>
                <w:color w:val="auto"/>
                <w:sz w:val="24"/>
                <w:highlight w:val="none"/>
                <w:u w:val="single"/>
                <w:lang w:val="en-US" w:eastAsia="zh-CN"/>
              </w:rPr>
              <w:t>5</w:t>
            </w:r>
            <w:r>
              <w:rPr>
                <w:rFonts w:hint="default" w:eastAsia="仿宋_GB2312"/>
                <w:color w:val="auto"/>
                <w:sz w:val="24"/>
                <w:highlight w:val="none"/>
                <w:u w:val="single"/>
              </w:rPr>
              <w:t xml:space="preserve"> </w:t>
            </w:r>
            <w:r>
              <w:rPr>
                <w:rFonts w:hint="default" w:eastAsia="仿宋_GB2312"/>
                <w:color w:val="auto"/>
                <w:sz w:val="24"/>
                <w:highlight w:val="none"/>
              </w:rPr>
              <w:t>分</w:t>
            </w:r>
            <w:r>
              <w:rPr>
                <w:rFonts w:hint="default" w:eastAsia="仿宋_GB2312"/>
                <w:color w:val="auto"/>
                <w:sz w:val="24"/>
                <w:highlight w:val="none"/>
                <w:u w:val="single"/>
              </w:rPr>
              <w:t xml:space="preserve"> </w:t>
            </w:r>
            <w:r>
              <w:rPr>
                <w:rFonts w:hint="eastAsia" w:eastAsia="仿宋_GB2312"/>
                <w:color w:val="auto"/>
                <w:sz w:val="24"/>
                <w:highlight w:val="none"/>
                <w:u w:val="single"/>
                <w:lang w:val="en-US" w:eastAsia="zh-CN"/>
              </w:rPr>
              <w:t>45.991</w:t>
            </w:r>
            <w:r>
              <w:rPr>
                <w:rFonts w:hint="default" w:eastAsia="仿宋_GB2312"/>
                <w:color w:val="auto"/>
                <w:sz w:val="24"/>
                <w:highlight w:val="none"/>
                <w:u w:val="single"/>
              </w:rPr>
              <w:t xml:space="preserve"> </w:t>
            </w:r>
            <w:r>
              <w:rPr>
                <w:rFonts w:hint="default" w:eastAsia="仿宋_GB2312"/>
                <w:color w:val="auto"/>
                <w:sz w:val="24"/>
                <w:highlight w:val="none"/>
              </w:rPr>
              <w:t>秒</w:t>
            </w:r>
          </w:p>
        </w:tc>
      </w:tr>
      <w:tr w14:paraId="673D0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92" w:type="dxa"/>
            <w:tcMar>
              <w:top w:w="16" w:type="dxa"/>
              <w:left w:w="16" w:type="dxa"/>
              <w:right w:w="16" w:type="dxa"/>
            </w:tcMar>
            <w:vAlign w:val="center"/>
          </w:tcPr>
          <w:p w14:paraId="6DFC03F6">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国民经济</w:t>
            </w:r>
          </w:p>
          <w:p w14:paraId="0027B104">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行业类别</w:t>
            </w:r>
          </w:p>
        </w:tc>
        <w:tc>
          <w:tcPr>
            <w:tcW w:w="2421" w:type="dxa"/>
            <w:vAlign w:val="center"/>
          </w:tcPr>
          <w:p w14:paraId="2E10A84F">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C14</w:t>
            </w:r>
            <w:r>
              <w:rPr>
                <w:rFonts w:hint="eastAsia" w:eastAsia="仿宋_GB2312"/>
                <w:color w:val="auto"/>
                <w:sz w:val="24"/>
                <w:lang w:val="en-US" w:eastAsia="zh-CN"/>
              </w:rPr>
              <w:t>99</w:t>
            </w:r>
            <w:r>
              <w:rPr>
                <w:rFonts w:hint="default" w:eastAsia="仿宋_GB2312"/>
                <w:color w:val="auto"/>
                <w:sz w:val="24"/>
              </w:rPr>
              <w:t>其他未列明食品制造、C149</w:t>
            </w:r>
            <w:r>
              <w:rPr>
                <w:rFonts w:hint="eastAsia" w:eastAsia="仿宋_GB2312"/>
                <w:color w:val="auto"/>
                <w:sz w:val="24"/>
                <w:lang w:val="en-US" w:eastAsia="zh-CN"/>
              </w:rPr>
              <w:t>2</w:t>
            </w:r>
            <w:r>
              <w:rPr>
                <w:rFonts w:hint="default" w:eastAsia="仿宋_GB2312"/>
                <w:color w:val="auto"/>
                <w:sz w:val="24"/>
              </w:rPr>
              <w:t>保健食品制造</w:t>
            </w:r>
          </w:p>
        </w:tc>
        <w:tc>
          <w:tcPr>
            <w:tcW w:w="2107" w:type="dxa"/>
            <w:vAlign w:val="center"/>
          </w:tcPr>
          <w:p w14:paraId="194DC788">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bookmarkStart w:id="2" w:name="_Hlk49843745"/>
            <w:r>
              <w:rPr>
                <w:rFonts w:hint="default" w:eastAsia="仿宋_GB2312"/>
                <w:color w:val="auto"/>
                <w:sz w:val="24"/>
              </w:rPr>
              <w:t>建设项目</w:t>
            </w:r>
          </w:p>
          <w:p w14:paraId="74949454">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行业类别</w:t>
            </w:r>
            <w:bookmarkEnd w:id="2"/>
          </w:p>
        </w:tc>
        <w:tc>
          <w:tcPr>
            <w:tcW w:w="2979" w:type="dxa"/>
            <w:vAlign w:val="center"/>
          </w:tcPr>
          <w:p w14:paraId="1AA3D60F">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lang w:val="en-US" w:eastAsia="zh-CN"/>
              </w:rPr>
            </w:pPr>
            <w:r>
              <w:rPr>
                <w:rFonts w:hint="eastAsia" w:eastAsia="仿宋_GB2312"/>
                <w:color w:val="auto"/>
                <w:sz w:val="24"/>
                <w:lang w:val="en-US" w:eastAsia="zh-CN"/>
              </w:rPr>
              <w:t>14-149其他食品制造</w:t>
            </w:r>
          </w:p>
        </w:tc>
      </w:tr>
      <w:tr w14:paraId="56364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92" w:type="dxa"/>
            <w:tcMar>
              <w:top w:w="16" w:type="dxa"/>
              <w:left w:w="16" w:type="dxa"/>
              <w:right w:w="16" w:type="dxa"/>
            </w:tcMar>
            <w:vAlign w:val="center"/>
          </w:tcPr>
          <w:p w14:paraId="26BCFBED">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建设性质</w:t>
            </w:r>
          </w:p>
        </w:tc>
        <w:tc>
          <w:tcPr>
            <w:tcW w:w="2421" w:type="dxa"/>
            <w:vAlign w:val="center"/>
          </w:tcPr>
          <w:p w14:paraId="0AA18019">
            <w:pPr>
              <w:keepNext w:val="0"/>
              <w:keepLines w:val="0"/>
              <w:suppressLineNumbers w:val="0"/>
              <w:spacing w:before="0" w:beforeAutospacing="0" w:after="0" w:afterAutospacing="0"/>
              <w:ind w:left="0" w:right="0"/>
              <w:jc w:val="left"/>
              <w:rPr>
                <w:rFonts w:hint="default" w:eastAsia="仿宋_GB2312"/>
                <w:color w:val="auto"/>
                <w:sz w:val="24"/>
              </w:rPr>
            </w:pPr>
            <w:r>
              <w:rPr>
                <w:rFonts w:hint="default" w:eastAsia="仿宋_GB2312"/>
                <w:color w:val="auto"/>
                <w:sz w:val="24"/>
              </w:rPr>
              <w:t>√新建（迁建）</w:t>
            </w:r>
          </w:p>
          <w:p w14:paraId="5DE3214B">
            <w:pPr>
              <w:keepNext w:val="0"/>
              <w:keepLines w:val="0"/>
              <w:suppressLineNumbers w:val="0"/>
              <w:spacing w:before="0" w:beforeAutospacing="0" w:after="0" w:afterAutospacing="0"/>
              <w:ind w:left="0" w:right="0"/>
              <w:jc w:val="left"/>
              <w:rPr>
                <w:rFonts w:hint="default" w:eastAsia="仿宋_GB2312"/>
                <w:color w:val="auto"/>
                <w:sz w:val="24"/>
              </w:rPr>
            </w:pPr>
            <w:r>
              <w:rPr>
                <w:rFonts w:hint="default" w:eastAsia="仿宋_GB2312"/>
                <w:color w:val="auto"/>
                <w:sz w:val="24"/>
              </w:rPr>
              <w:t>□改建</w:t>
            </w:r>
          </w:p>
          <w:p w14:paraId="44002C5E">
            <w:pPr>
              <w:keepNext w:val="0"/>
              <w:keepLines w:val="0"/>
              <w:suppressLineNumbers w:val="0"/>
              <w:spacing w:before="0" w:beforeAutospacing="0" w:after="0" w:afterAutospacing="0"/>
              <w:ind w:left="0" w:right="0"/>
              <w:jc w:val="left"/>
              <w:rPr>
                <w:rFonts w:hint="default" w:eastAsia="仿宋_GB2312"/>
                <w:color w:val="auto"/>
                <w:sz w:val="24"/>
              </w:rPr>
            </w:pPr>
            <w:r>
              <w:rPr>
                <w:rFonts w:hint="default" w:eastAsia="仿宋_GB2312"/>
                <w:color w:val="auto"/>
                <w:sz w:val="24"/>
              </w:rPr>
              <w:t>□扩建</w:t>
            </w:r>
          </w:p>
          <w:p w14:paraId="0B97C01A">
            <w:pPr>
              <w:keepNext w:val="0"/>
              <w:keepLines w:val="0"/>
              <w:suppressLineNumbers w:val="0"/>
              <w:spacing w:before="0" w:beforeAutospacing="0" w:after="0" w:afterAutospacing="0"/>
              <w:ind w:left="0" w:right="0"/>
              <w:jc w:val="left"/>
              <w:rPr>
                <w:rFonts w:hint="default" w:eastAsia="仿宋_GB2312"/>
                <w:color w:val="auto"/>
                <w:sz w:val="24"/>
              </w:rPr>
            </w:pPr>
            <w:r>
              <w:rPr>
                <w:rFonts w:hint="default" w:eastAsia="仿宋_GB2312"/>
                <w:color w:val="auto"/>
                <w:sz w:val="24"/>
              </w:rPr>
              <w:t>□技术改造</w:t>
            </w:r>
          </w:p>
        </w:tc>
        <w:tc>
          <w:tcPr>
            <w:tcW w:w="2107" w:type="dxa"/>
            <w:vAlign w:val="center"/>
          </w:tcPr>
          <w:p w14:paraId="29A4359A">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建设项目</w:t>
            </w:r>
          </w:p>
          <w:p w14:paraId="69C62A6B">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申报情形</w:t>
            </w:r>
          </w:p>
        </w:tc>
        <w:tc>
          <w:tcPr>
            <w:tcW w:w="2979" w:type="dxa"/>
            <w:vAlign w:val="center"/>
          </w:tcPr>
          <w:p w14:paraId="33046D51">
            <w:pPr>
              <w:keepNext w:val="0"/>
              <w:keepLines w:val="0"/>
              <w:suppressLineNumbers w:val="0"/>
              <w:spacing w:before="0" w:beforeAutospacing="0" w:after="0" w:afterAutospacing="0"/>
              <w:ind w:left="0" w:right="0"/>
              <w:jc w:val="left"/>
              <w:rPr>
                <w:rFonts w:hint="default" w:eastAsia="仿宋_GB2312"/>
                <w:color w:val="auto"/>
                <w:sz w:val="24"/>
              </w:rPr>
            </w:pPr>
            <w:r>
              <w:rPr>
                <w:rFonts w:hint="default" w:eastAsia="仿宋_GB2312"/>
                <w:color w:val="auto"/>
                <w:sz w:val="24"/>
              </w:rPr>
              <w:t xml:space="preserve">√首次申报项目             </w:t>
            </w:r>
          </w:p>
          <w:p w14:paraId="36E84B72">
            <w:pPr>
              <w:keepNext w:val="0"/>
              <w:keepLines w:val="0"/>
              <w:suppressLineNumbers w:val="0"/>
              <w:spacing w:before="0" w:beforeAutospacing="0" w:after="0" w:afterAutospacing="0"/>
              <w:ind w:left="0" w:right="0"/>
              <w:jc w:val="left"/>
              <w:rPr>
                <w:rFonts w:hint="default" w:eastAsia="仿宋_GB2312"/>
                <w:color w:val="auto"/>
                <w:sz w:val="24"/>
              </w:rPr>
            </w:pPr>
            <w:r>
              <w:rPr>
                <w:rFonts w:hint="default" w:eastAsia="仿宋_GB2312"/>
                <w:color w:val="auto"/>
                <w:sz w:val="24"/>
              </w:rPr>
              <w:t>□不予批准后再次申报项目</w:t>
            </w:r>
          </w:p>
          <w:p w14:paraId="0AB7B03A">
            <w:pPr>
              <w:keepNext w:val="0"/>
              <w:keepLines w:val="0"/>
              <w:suppressLineNumbers w:val="0"/>
              <w:spacing w:before="0" w:beforeAutospacing="0" w:after="0" w:afterAutospacing="0"/>
              <w:ind w:left="0" w:right="0"/>
              <w:jc w:val="left"/>
              <w:rPr>
                <w:rFonts w:hint="default" w:eastAsia="仿宋_GB2312"/>
                <w:color w:val="auto"/>
                <w:sz w:val="24"/>
              </w:rPr>
            </w:pPr>
            <w:r>
              <w:rPr>
                <w:rFonts w:hint="default" w:eastAsia="仿宋_GB2312"/>
                <w:color w:val="auto"/>
                <w:sz w:val="24"/>
              </w:rPr>
              <w:t xml:space="preserve">□超五年重新审核项目     </w:t>
            </w:r>
          </w:p>
          <w:p w14:paraId="2CCF83E5">
            <w:pPr>
              <w:keepNext w:val="0"/>
              <w:keepLines w:val="0"/>
              <w:suppressLineNumbers w:val="0"/>
              <w:spacing w:before="0" w:beforeAutospacing="0" w:after="0" w:afterAutospacing="0"/>
              <w:ind w:left="0" w:right="0"/>
              <w:jc w:val="left"/>
              <w:rPr>
                <w:rFonts w:hint="default" w:eastAsia="仿宋_GB2312"/>
                <w:color w:val="auto"/>
                <w:sz w:val="24"/>
              </w:rPr>
            </w:pPr>
            <w:r>
              <w:rPr>
                <w:rFonts w:hint="default" w:eastAsia="仿宋_GB2312"/>
                <w:color w:val="auto"/>
                <w:sz w:val="24"/>
              </w:rPr>
              <w:t>□重大变动重新报批项目</w:t>
            </w:r>
          </w:p>
        </w:tc>
      </w:tr>
      <w:tr w14:paraId="4192D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92" w:type="dxa"/>
            <w:tcMar>
              <w:top w:w="16" w:type="dxa"/>
              <w:left w:w="16" w:type="dxa"/>
              <w:right w:w="16" w:type="dxa"/>
            </w:tcMar>
            <w:vAlign w:val="center"/>
          </w:tcPr>
          <w:p w14:paraId="22D07CBF">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项目审批（核准/备案）部门（选填）</w:t>
            </w:r>
          </w:p>
        </w:tc>
        <w:tc>
          <w:tcPr>
            <w:tcW w:w="2421" w:type="dxa"/>
            <w:vAlign w:val="center"/>
          </w:tcPr>
          <w:p w14:paraId="7CAC5C63">
            <w:pPr>
              <w:keepNext w:val="0"/>
              <w:keepLines w:val="0"/>
              <w:suppressLineNumbers w:val="0"/>
              <w:adjustRightInd w:val="0"/>
              <w:snapToGrid w:val="0"/>
              <w:spacing w:before="0" w:beforeAutospacing="0" w:after="0" w:afterAutospacing="0"/>
              <w:ind w:left="0" w:right="0"/>
              <w:jc w:val="center"/>
              <w:rPr>
                <w:rFonts w:hint="eastAsia" w:eastAsia="仿宋_GB2312"/>
                <w:color w:val="auto"/>
                <w:sz w:val="24"/>
                <w:lang w:eastAsia="zh-CN"/>
              </w:rPr>
            </w:pPr>
            <w:r>
              <w:rPr>
                <w:rFonts w:hint="eastAsia" w:eastAsia="仿宋_GB2312"/>
                <w:color w:val="auto"/>
                <w:sz w:val="24"/>
                <w:highlight w:val="none"/>
                <w:lang w:eastAsia="zh-CN"/>
              </w:rPr>
              <w:t>江苏金坛经济开发区经济发展局</w:t>
            </w:r>
          </w:p>
        </w:tc>
        <w:tc>
          <w:tcPr>
            <w:tcW w:w="2107" w:type="dxa"/>
            <w:vAlign w:val="center"/>
          </w:tcPr>
          <w:p w14:paraId="702E9904">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项目审批（核准/</w:t>
            </w:r>
          </w:p>
          <w:p w14:paraId="24A64806">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备案）文号（选填）</w:t>
            </w:r>
          </w:p>
        </w:tc>
        <w:tc>
          <w:tcPr>
            <w:tcW w:w="2979" w:type="dxa"/>
            <w:vAlign w:val="center"/>
          </w:tcPr>
          <w:p w14:paraId="5562117C">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坛开经发备字[202</w:t>
            </w:r>
            <w:r>
              <w:rPr>
                <w:rFonts w:hint="eastAsia" w:eastAsia="仿宋_GB2312"/>
                <w:color w:val="auto"/>
                <w:sz w:val="24"/>
                <w:lang w:val="en-US" w:eastAsia="zh-CN"/>
              </w:rPr>
              <w:t>5</w:t>
            </w:r>
            <w:r>
              <w:rPr>
                <w:rFonts w:hint="default" w:eastAsia="仿宋_GB2312"/>
                <w:color w:val="auto"/>
                <w:sz w:val="24"/>
              </w:rPr>
              <w:t>]</w:t>
            </w:r>
            <w:r>
              <w:rPr>
                <w:rFonts w:hint="eastAsia" w:eastAsia="仿宋_GB2312"/>
                <w:color w:val="auto"/>
                <w:sz w:val="24"/>
                <w:lang w:val="en-US" w:eastAsia="zh-CN"/>
              </w:rPr>
              <w:t>307</w:t>
            </w:r>
            <w:r>
              <w:rPr>
                <w:rFonts w:hint="default" w:eastAsia="仿宋_GB2312"/>
                <w:color w:val="auto"/>
                <w:sz w:val="24"/>
              </w:rPr>
              <w:t>号</w:t>
            </w:r>
          </w:p>
        </w:tc>
      </w:tr>
      <w:tr w14:paraId="7B9A8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3B8C65D9">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总投资（万元）</w:t>
            </w:r>
          </w:p>
        </w:tc>
        <w:tc>
          <w:tcPr>
            <w:tcW w:w="2421" w:type="dxa"/>
            <w:vAlign w:val="center"/>
          </w:tcPr>
          <w:p w14:paraId="2DB10735">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lang w:val="en-US" w:eastAsia="zh-CN"/>
              </w:rPr>
            </w:pPr>
            <w:r>
              <w:rPr>
                <w:rFonts w:hint="eastAsia" w:eastAsia="仿宋_GB2312"/>
                <w:color w:val="auto"/>
                <w:sz w:val="24"/>
                <w:lang w:val="en-US" w:eastAsia="zh-CN"/>
              </w:rPr>
              <w:t>5000</w:t>
            </w:r>
          </w:p>
        </w:tc>
        <w:tc>
          <w:tcPr>
            <w:tcW w:w="2107" w:type="dxa"/>
            <w:tcMar>
              <w:top w:w="16" w:type="dxa"/>
              <w:left w:w="16" w:type="dxa"/>
              <w:right w:w="16" w:type="dxa"/>
            </w:tcMar>
            <w:vAlign w:val="center"/>
          </w:tcPr>
          <w:p w14:paraId="5DB8FE9A">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环保投资（万元）</w:t>
            </w:r>
          </w:p>
        </w:tc>
        <w:tc>
          <w:tcPr>
            <w:tcW w:w="2979" w:type="dxa"/>
            <w:vAlign w:val="center"/>
          </w:tcPr>
          <w:p w14:paraId="424E811E">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lang w:val="en-US" w:eastAsia="zh-CN"/>
              </w:rPr>
            </w:pPr>
            <w:r>
              <w:rPr>
                <w:rFonts w:hint="eastAsia" w:eastAsia="仿宋_GB2312"/>
                <w:color w:val="auto"/>
                <w:sz w:val="24"/>
                <w:lang w:val="en-US" w:eastAsia="zh-CN"/>
              </w:rPr>
              <w:t>151</w:t>
            </w:r>
          </w:p>
        </w:tc>
      </w:tr>
      <w:tr w14:paraId="3A765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3CAEB5EA">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环保投资占比（%）</w:t>
            </w:r>
          </w:p>
        </w:tc>
        <w:tc>
          <w:tcPr>
            <w:tcW w:w="2421" w:type="dxa"/>
            <w:vAlign w:val="center"/>
          </w:tcPr>
          <w:p w14:paraId="72ACD8D3">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eastAsia" w:eastAsia="仿宋_GB2312"/>
                <w:color w:val="auto"/>
                <w:sz w:val="24"/>
                <w:lang w:val="en-US" w:eastAsia="zh-CN"/>
              </w:rPr>
              <w:t>3.02</w:t>
            </w:r>
            <w:r>
              <w:rPr>
                <w:rFonts w:hint="default" w:eastAsia="仿宋_GB2312"/>
                <w:color w:val="auto"/>
                <w:sz w:val="24"/>
              </w:rPr>
              <w:t>%</w:t>
            </w:r>
          </w:p>
        </w:tc>
        <w:tc>
          <w:tcPr>
            <w:tcW w:w="2107" w:type="dxa"/>
            <w:tcMar>
              <w:top w:w="16" w:type="dxa"/>
              <w:left w:w="16" w:type="dxa"/>
              <w:right w:w="16" w:type="dxa"/>
            </w:tcMar>
            <w:vAlign w:val="center"/>
          </w:tcPr>
          <w:p w14:paraId="7A6F0D1F">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施工工期</w:t>
            </w:r>
          </w:p>
        </w:tc>
        <w:tc>
          <w:tcPr>
            <w:tcW w:w="2979" w:type="dxa"/>
            <w:vAlign w:val="center"/>
          </w:tcPr>
          <w:p w14:paraId="7479FD55">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12个月</w:t>
            </w:r>
          </w:p>
        </w:tc>
      </w:tr>
      <w:tr w14:paraId="4EF0A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2" w:type="dxa"/>
            <w:tcMar>
              <w:top w:w="16" w:type="dxa"/>
              <w:left w:w="16" w:type="dxa"/>
              <w:right w:w="16" w:type="dxa"/>
            </w:tcMar>
            <w:vAlign w:val="center"/>
          </w:tcPr>
          <w:p w14:paraId="0CABE207">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z w:val="24"/>
              </w:rPr>
              <w:t>是否开工建设</w:t>
            </w:r>
          </w:p>
        </w:tc>
        <w:tc>
          <w:tcPr>
            <w:tcW w:w="2421" w:type="dxa"/>
            <w:vAlign w:val="center"/>
          </w:tcPr>
          <w:p w14:paraId="0A9D6558">
            <w:pPr>
              <w:keepNext w:val="0"/>
              <w:keepLines w:val="0"/>
              <w:suppressLineNumbers w:val="0"/>
              <w:adjustRightInd w:val="0"/>
              <w:snapToGrid w:val="0"/>
              <w:spacing w:before="0" w:beforeAutospacing="0" w:after="0" w:afterAutospacing="0"/>
              <w:ind w:left="0" w:right="0"/>
              <w:rPr>
                <w:rFonts w:hint="default" w:eastAsia="仿宋_GB2312"/>
                <w:color w:val="auto"/>
                <w:sz w:val="24"/>
              </w:rPr>
            </w:pPr>
            <w:r>
              <w:rPr>
                <w:rFonts w:hint="default" w:eastAsia="仿宋_GB2312"/>
                <w:color w:val="auto"/>
                <w:sz w:val="24"/>
              </w:rPr>
              <w:t>√否</w:t>
            </w:r>
          </w:p>
          <w:p w14:paraId="25B82195">
            <w:pPr>
              <w:keepNext w:val="0"/>
              <w:keepLines w:val="0"/>
              <w:suppressLineNumbers w:val="0"/>
              <w:adjustRightInd w:val="0"/>
              <w:snapToGrid w:val="0"/>
              <w:spacing w:before="0" w:beforeAutospacing="0" w:after="0" w:afterAutospacing="0"/>
              <w:ind w:left="0" w:right="0"/>
              <w:rPr>
                <w:rFonts w:hint="default" w:eastAsia="仿宋_GB2312"/>
                <w:color w:val="auto"/>
                <w:sz w:val="24"/>
              </w:rPr>
            </w:pPr>
            <w:r>
              <w:rPr>
                <w:rFonts w:hint="default" w:eastAsia="仿宋_GB2312"/>
                <w:color w:val="auto"/>
                <w:sz w:val="24"/>
              </w:rPr>
              <w:sym w:font="Wingdings 2" w:char="00A3"/>
            </w:r>
            <w:r>
              <w:rPr>
                <w:rFonts w:hint="default" w:eastAsia="仿宋_GB2312"/>
                <w:color w:val="auto"/>
                <w:sz w:val="24"/>
              </w:rPr>
              <w:t>是：</w:t>
            </w:r>
            <w:r>
              <w:rPr>
                <w:rFonts w:hint="default" w:eastAsia="仿宋_GB2312"/>
                <w:color w:val="auto"/>
                <w:sz w:val="24"/>
                <w:u w:val="single"/>
              </w:rPr>
              <w:t xml:space="preserve">           </w:t>
            </w:r>
          </w:p>
        </w:tc>
        <w:tc>
          <w:tcPr>
            <w:tcW w:w="2107" w:type="dxa"/>
            <w:tcMar>
              <w:top w:w="16" w:type="dxa"/>
              <w:left w:w="16" w:type="dxa"/>
              <w:right w:w="16" w:type="dxa"/>
            </w:tcMar>
            <w:vAlign w:val="center"/>
          </w:tcPr>
          <w:p w14:paraId="60276495">
            <w:pPr>
              <w:keepNext w:val="0"/>
              <w:keepLines w:val="0"/>
              <w:suppressLineNumbers w:val="0"/>
              <w:adjustRightInd w:val="0"/>
              <w:snapToGrid w:val="0"/>
              <w:spacing w:before="0" w:beforeAutospacing="0" w:after="0" w:afterAutospacing="0"/>
              <w:ind w:left="0" w:right="0"/>
              <w:jc w:val="center"/>
              <w:rPr>
                <w:rFonts w:hint="default" w:eastAsia="仿宋_GB2312"/>
                <w:color w:val="auto"/>
                <w:spacing w:val="-6"/>
                <w:sz w:val="24"/>
              </w:rPr>
            </w:pPr>
            <w:r>
              <w:rPr>
                <w:rFonts w:hint="default" w:eastAsia="仿宋_GB2312"/>
                <w:color w:val="auto"/>
                <w:spacing w:val="-6"/>
                <w:sz w:val="24"/>
              </w:rPr>
              <w:t>用地（用海）</w:t>
            </w:r>
          </w:p>
          <w:p w14:paraId="214C0D0B">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rPr>
            </w:pPr>
            <w:r>
              <w:rPr>
                <w:rFonts w:hint="default" w:eastAsia="仿宋_GB2312"/>
                <w:color w:val="auto"/>
                <w:spacing w:val="-6"/>
                <w:sz w:val="24"/>
              </w:rPr>
              <w:t>面积（m</w:t>
            </w:r>
            <w:r>
              <w:rPr>
                <w:rFonts w:hint="default" w:eastAsia="仿宋_GB2312"/>
                <w:color w:val="auto"/>
                <w:spacing w:val="-6"/>
                <w:sz w:val="24"/>
                <w:vertAlign w:val="superscript"/>
              </w:rPr>
              <w:t>2</w:t>
            </w:r>
            <w:r>
              <w:rPr>
                <w:rFonts w:hint="default" w:eastAsia="仿宋_GB2312"/>
                <w:color w:val="auto"/>
                <w:spacing w:val="-6"/>
                <w:sz w:val="24"/>
              </w:rPr>
              <w:t>）</w:t>
            </w:r>
          </w:p>
        </w:tc>
        <w:tc>
          <w:tcPr>
            <w:tcW w:w="2979" w:type="dxa"/>
            <w:vAlign w:val="center"/>
          </w:tcPr>
          <w:p w14:paraId="1D66DDC3">
            <w:pPr>
              <w:keepNext w:val="0"/>
              <w:keepLines w:val="0"/>
              <w:suppressLineNumbers w:val="0"/>
              <w:adjustRightInd w:val="0"/>
              <w:snapToGrid w:val="0"/>
              <w:spacing w:before="0" w:beforeAutospacing="0" w:after="0" w:afterAutospacing="0"/>
              <w:ind w:left="0" w:right="0"/>
              <w:jc w:val="center"/>
              <w:rPr>
                <w:rFonts w:hint="default" w:eastAsia="仿宋_GB2312"/>
                <w:color w:val="auto"/>
                <w:sz w:val="24"/>
                <w:lang w:val="en-US" w:eastAsia="zh-CN"/>
              </w:rPr>
            </w:pPr>
            <w:r>
              <w:rPr>
                <w:rFonts w:hint="eastAsia" w:eastAsia="仿宋_GB2312"/>
                <w:color w:val="auto"/>
                <w:sz w:val="24"/>
                <w:highlight w:val="none"/>
                <w:lang w:val="en-US" w:eastAsia="zh-CN"/>
              </w:rPr>
              <w:t>2398.48</w:t>
            </w:r>
          </w:p>
        </w:tc>
      </w:tr>
      <w:tr w14:paraId="5BBE4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792" w:type="dxa"/>
            <w:vAlign w:val="center"/>
          </w:tcPr>
          <w:p w14:paraId="15C7FEB4">
            <w:pPr>
              <w:keepNext w:val="0"/>
              <w:keepLines w:val="0"/>
              <w:suppressLineNumbers w:val="0"/>
              <w:autoSpaceDE w:val="0"/>
              <w:autoSpaceDN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专项评价设置情况</w:t>
            </w:r>
          </w:p>
        </w:tc>
        <w:tc>
          <w:tcPr>
            <w:tcW w:w="7507" w:type="dxa"/>
            <w:gridSpan w:val="3"/>
            <w:vAlign w:val="center"/>
          </w:tcPr>
          <w:p w14:paraId="096F9787">
            <w:pPr>
              <w:keepNext w:val="0"/>
              <w:keepLines w:val="0"/>
              <w:suppressLineNumbers w:val="0"/>
              <w:adjustRightInd w:val="0"/>
              <w:snapToGrid w:val="0"/>
              <w:spacing w:before="0" w:beforeAutospacing="0" w:after="0" w:afterAutospacing="0" w:line="400" w:lineRule="exact"/>
              <w:ind w:left="0" w:right="0"/>
              <w:jc w:val="left"/>
              <w:rPr>
                <w:rFonts w:hint="eastAsia" w:eastAsia="仿宋_GB2312"/>
                <w:color w:val="auto"/>
                <w:sz w:val="24"/>
                <w:lang w:val="en-US" w:eastAsia="zh-CN"/>
              </w:rPr>
            </w:pPr>
            <w:r>
              <w:rPr>
                <w:rFonts w:hint="eastAsia" w:eastAsia="仿宋_GB2312"/>
                <w:color w:val="auto"/>
                <w:sz w:val="24"/>
                <w:lang w:val="en-US" w:eastAsia="zh-CN"/>
              </w:rPr>
              <w:t>无</w:t>
            </w:r>
          </w:p>
        </w:tc>
      </w:tr>
      <w:tr w14:paraId="12A29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92" w:type="dxa"/>
            <w:vAlign w:val="center"/>
          </w:tcPr>
          <w:p w14:paraId="65A9D105">
            <w:pPr>
              <w:keepNext w:val="0"/>
              <w:keepLines w:val="0"/>
              <w:suppressLineNumbers w:val="0"/>
              <w:autoSpaceDE w:val="0"/>
              <w:autoSpaceDN w:val="0"/>
              <w:spacing w:before="0" w:beforeAutospacing="0" w:after="0" w:afterAutospacing="0" w:line="500" w:lineRule="exact"/>
              <w:ind w:left="0" w:right="0"/>
              <w:rPr>
                <w:rFonts w:hint="default" w:eastAsia="仿宋_GB2312"/>
                <w:color w:val="auto"/>
                <w:kern w:val="0"/>
                <w:sz w:val="24"/>
              </w:rPr>
            </w:pPr>
            <w:r>
              <w:rPr>
                <w:rFonts w:hint="default" w:eastAsia="仿宋_GB2312"/>
                <w:color w:val="auto"/>
                <w:kern w:val="0"/>
                <w:sz w:val="24"/>
              </w:rPr>
              <w:t>规划情况</w:t>
            </w:r>
          </w:p>
        </w:tc>
        <w:tc>
          <w:tcPr>
            <w:tcW w:w="7507" w:type="dxa"/>
            <w:gridSpan w:val="3"/>
            <w:vAlign w:val="center"/>
          </w:tcPr>
          <w:p w14:paraId="1B426508">
            <w:pPr>
              <w:keepNext w:val="0"/>
              <w:keepLines w:val="0"/>
              <w:suppressLineNumbers w:val="0"/>
              <w:autoSpaceDE w:val="0"/>
              <w:autoSpaceDN w:val="0"/>
              <w:spacing w:before="0" w:beforeAutospacing="0" w:after="0" w:afterAutospacing="0" w:line="500" w:lineRule="exact"/>
              <w:ind w:left="0" w:right="0"/>
              <w:rPr>
                <w:rFonts w:hint="default" w:eastAsia="仿宋_GB2312"/>
                <w:color w:val="auto"/>
                <w:kern w:val="0"/>
                <w:sz w:val="24"/>
                <w:lang w:eastAsia="zh-CN"/>
              </w:rPr>
            </w:pPr>
            <w:r>
              <w:rPr>
                <w:rFonts w:hint="default" w:eastAsia="仿宋_GB2312"/>
                <w:color w:val="auto"/>
                <w:kern w:val="0"/>
                <w:sz w:val="24"/>
              </w:rPr>
              <w:t>规划名称：</w:t>
            </w:r>
            <w:r>
              <w:rPr>
                <w:rFonts w:hint="eastAsia" w:eastAsia="仿宋_GB2312"/>
                <w:color w:val="auto"/>
                <w:kern w:val="0"/>
                <w:sz w:val="24"/>
                <w:lang w:eastAsia="zh-CN"/>
              </w:rPr>
              <w:t>《</w:t>
            </w:r>
            <w:r>
              <w:rPr>
                <w:rFonts w:hint="default" w:eastAsia="仿宋_GB2312"/>
                <w:color w:val="auto"/>
                <w:kern w:val="0"/>
                <w:sz w:val="24"/>
              </w:rPr>
              <w:t>金坛金城科技产业园发展规划（2023-2035年）</w:t>
            </w:r>
            <w:r>
              <w:rPr>
                <w:rFonts w:hint="eastAsia" w:eastAsia="仿宋_GB2312"/>
                <w:color w:val="auto"/>
                <w:kern w:val="0"/>
                <w:sz w:val="24"/>
                <w:lang w:eastAsia="zh-CN"/>
              </w:rPr>
              <w:t>》</w:t>
            </w:r>
          </w:p>
        </w:tc>
      </w:tr>
      <w:tr w14:paraId="47423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1792" w:type="dxa"/>
            <w:vAlign w:val="center"/>
          </w:tcPr>
          <w:p w14:paraId="29EC83A9">
            <w:pPr>
              <w:keepNext w:val="0"/>
              <w:keepLines w:val="0"/>
              <w:suppressLineNumbers w:val="0"/>
              <w:autoSpaceDE w:val="0"/>
              <w:autoSpaceDN w:val="0"/>
              <w:spacing w:before="0" w:beforeAutospacing="0" w:after="0" w:afterAutospacing="0" w:line="500" w:lineRule="exact"/>
              <w:ind w:left="0" w:right="0"/>
              <w:rPr>
                <w:rFonts w:hint="default" w:eastAsia="仿宋_GB2312"/>
                <w:color w:val="auto"/>
                <w:kern w:val="0"/>
                <w:sz w:val="24"/>
              </w:rPr>
            </w:pPr>
            <w:r>
              <w:rPr>
                <w:rFonts w:hint="default" w:eastAsia="仿宋_GB2312"/>
                <w:color w:val="auto"/>
                <w:kern w:val="0"/>
                <w:sz w:val="24"/>
              </w:rPr>
              <w:t>规划环境影响</w:t>
            </w:r>
          </w:p>
          <w:p w14:paraId="38F5434A">
            <w:pPr>
              <w:keepNext w:val="0"/>
              <w:keepLines w:val="0"/>
              <w:suppressLineNumbers w:val="0"/>
              <w:autoSpaceDE w:val="0"/>
              <w:autoSpaceDN w:val="0"/>
              <w:spacing w:before="0" w:beforeAutospacing="0" w:after="0" w:afterAutospacing="0" w:line="500" w:lineRule="exact"/>
              <w:ind w:left="0" w:right="0"/>
              <w:rPr>
                <w:rFonts w:hint="default" w:eastAsia="仿宋_GB2312"/>
                <w:color w:val="auto"/>
                <w:kern w:val="0"/>
                <w:sz w:val="24"/>
              </w:rPr>
            </w:pPr>
            <w:r>
              <w:rPr>
                <w:rFonts w:hint="default" w:eastAsia="仿宋_GB2312"/>
                <w:color w:val="auto"/>
                <w:kern w:val="0"/>
                <w:sz w:val="24"/>
              </w:rPr>
              <w:t>评价情况</w:t>
            </w:r>
          </w:p>
        </w:tc>
        <w:tc>
          <w:tcPr>
            <w:tcW w:w="7507" w:type="dxa"/>
            <w:gridSpan w:val="3"/>
            <w:vAlign w:val="center"/>
          </w:tcPr>
          <w:p w14:paraId="3D505F70">
            <w:pPr>
              <w:keepNext w:val="0"/>
              <w:keepLines w:val="0"/>
              <w:suppressLineNumbers w:val="0"/>
              <w:autoSpaceDE w:val="0"/>
              <w:autoSpaceDN w:val="0"/>
              <w:spacing w:before="0" w:beforeAutospacing="0" w:after="0" w:afterAutospacing="0" w:line="500" w:lineRule="exact"/>
              <w:ind w:left="0" w:right="0"/>
              <w:rPr>
                <w:rFonts w:hint="default" w:eastAsia="仿宋_GB2312"/>
                <w:color w:val="auto"/>
                <w:kern w:val="0"/>
                <w:sz w:val="24"/>
              </w:rPr>
            </w:pPr>
            <w:r>
              <w:rPr>
                <w:rFonts w:hint="default" w:eastAsia="仿宋_GB2312"/>
                <w:color w:val="auto"/>
                <w:kern w:val="0"/>
                <w:sz w:val="24"/>
              </w:rPr>
              <w:t>规划环境影响评价文件名称：《金坛金城科技产业园发展规划环境影响报告书》</w:t>
            </w:r>
          </w:p>
          <w:p w14:paraId="197F6CF8">
            <w:pPr>
              <w:keepNext w:val="0"/>
              <w:keepLines w:val="0"/>
              <w:suppressLineNumbers w:val="0"/>
              <w:autoSpaceDE w:val="0"/>
              <w:autoSpaceDN w:val="0"/>
              <w:spacing w:before="0" w:beforeAutospacing="0" w:after="0" w:afterAutospacing="0" w:line="500" w:lineRule="exact"/>
              <w:ind w:left="0" w:right="0"/>
              <w:rPr>
                <w:rFonts w:hint="default" w:eastAsia="仿宋_GB2312"/>
                <w:color w:val="auto"/>
                <w:kern w:val="0"/>
                <w:sz w:val="24"/>
              </w:rPr>
            </w:pPr>
            <w:r>
              <w:rPr>
                <w:rFonts w:hint="default" w:eastAsia="仿宋_GB2312"/>
                <w:color w:val="auto"/>
                <w:kern w:val="0"/>
                <w:sz w:val="24"/>
              </w:rPr>
              <w:t>召集审查机关：常州市生态环境局</w:t>
            </w:r>
          </w:p>
          <w:p w14:paraId="4B310D7E">
            <w:pPr>
              <w:keepNext w:val="0"/>
              <w:keepLines w:val="0"/>
              <w:suppressLineNumbers w:val="0"/>
              <w:autoSpaceDE w:val="0"/>
              <w:autoSpaceDN w:val="0"/>
              <w:spacing w:before="0" w:beforeAutospacing="0" w:after="0" w:afterAutospacing="0" w:line="500" w:lineRule="exact"/>
              <w:ind w:left="0" w:right="0"/>
              <w:rPr>
                <w:rFonts w:hint="default" w:eastAsia="仿宋_GB2312"/>
                <w:color w:val="auto"/>
                <w:kern w:val="0"/>
                <w:sz w:val="24"/>
              </w:rPr>
            </w:pPr>
            <w:r>
              <w:rPr>
                <w:rFonts w:hint="default" w:eastAsia="仿宋_GB2312"/>
                <w:color w:val="auto"/>
                <w:kern w:val="0"/>
                <w:sz w:val="24"/>
              </w:rPr>
              <w:t>审查文件名称及文号：《市生态环境局关于金坛金城科技产业园发展规划（2023-2035年）环境影响报告书的审查意见》（常金环审〔2024〕40号）</w:t>
            </w:r>
          </w:p>
        </w:tc>
      </w:tr>
    </w:tbl>
    <w:p w14:paraId="16EE4063">
      <w:pPr>
        <w:widowControl/>
        <w:jc w:val="left"/>
        <w:rPr>
          <w:color w:val="auto"/>
        </w:rPr>
      </w:pPr>
      <w:r>
        <w:rPr>
          <w:color w:val="auto"/>
        </w:rPr>
        <w:br w:type="page"/>
      </w:r>
    </w:p>
    <w:tbl>
      <w:tblPr>
        <w:tblStyle w:val="87"/>
        <w:tblW w:w="514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78"/>
      </w:tblGrid>
      <w:tr w14:paraId="26D83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2" w:type="dxa"/>
            <w:vAlign w:val="center"/>
          </w:tcPr>
          <w:p w14:paraId="7CA03F87">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仿宋_GB2312"/>
                <w:color w:val="auto"/>
                <w:kern w:val="0"/>
                <w:sz w:val="24"/>
              </w:rPr>
            </w:pPr>
            <w:r>
              <w:rPr>
                <w:rFonts w:hint="default" w:eastAsia="仿宋_GB2312"/>
                <w:color w:val="auto"/>
                <w:kern w:val="0"/>
                <w:sz w:val="24"/>
              </w:rPr>
              <w:t>规划及规划环境影响评价符合性分析</w:t>
            </w:r>
          </w:p>
        </w:tc>
        <w:tc>
          <w:tcPr>
            <w:tcW w:w="8512" w:type="dxa"/>
            <w:vAlign w:val="center"/>
          </w:tcPr>
          <w:p w14:paraId="7FF286CB">
            <w:pPr>
              <w:keepNext w:val="0"/>
              <w:keepLines w:val="0"/>
              <w:suppressLineNumbers w:val="0"/>
              <w:snapToGrid w:val="0"/>
              <w:spacing w:before="0" w:beforeAutospacing="0" w:after="0" w:afterAutospacing="0" w:line="500" w:lineRule="exact"/>
              <w:ind w:left="0" w:right="0"/>
              <w:rPr>
                <w:rFonts w:hint="default" w:eastAsia="仿宋_GB2312"/>
                <w:b/>
                <w:bCs/>
                <w:color w:val="auto"/>
                <w:sz w:val="24"/>
              </w:rPr>
            </w:pPr>
            <w:r>
              <w:rPr>
                <w:rFonts w:hint="default" w:eastAsia="仿宋_GB2312"/>
                <w:b/>
                <w:bCs/>
                <w:color w:val="auto"/>
                <w:sz w:val="24"/>
              </w:rPr>
              <w:t>一、与规划相符性分析</w:t>
            </w:r>
          </w:p>
          <w:p w14:paraId="23568E32">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根据</w:t>
            </w:r>
            <w:r>
              <w:rPr>
                <w:rFonts w:hint="eastAsia" w:eastAsia="仿宋_GB2312"/>
                <w:color w:val="auto"/>
                <w:kern w:val="0"/>
                <w:sz w:val="24"/>
                <w:lang w:eastAsia="zh-CN"/>
              </w:rPr>
              <w:t>《</w:t>
            </w:r>
            <w:r>
              <w:rPr>
                <w:rFonts w:hint="default" w:eastAsia="仿宋_GB2312"/>
                <w:color w:val="auto"/>
                <w:kern w:val="0"/>
                <w:sz w:val="24"/>
              </w:rPr>
              <w:t>金坛金城科技产业园发展规划（2023-2035年）</w:t>
            </w:r>
            <w:r>
              <w:rPr>
                <w:rFonts w:hint="eastAsia" w:eastAsia="仿宋_GB2312"/>
                <w:color w:val="auto"/>
                <w:kern w:val="0"/>
                <w:sz w:val="24"/>
                <w:lang w:eastAsia="zh-CN"/>
              </w:rPr>
              <w:t>》</w:t>
            </w:r>
            <w:r>
              <w:rPr>
                <w:rFonts w:hint="default" w:eastAsia="仿宋_GB2312"/>
                <w:color w:val="auto"/>
                <w:sz w:val="24"/>
              </w:rPr>
              <w:t>，本项目符合性分析如下：</w:t>
            </w:r>
          </w:p>
          <w:p w14:paraId="0DAF5962">
            <w:pPr>
              <w:keepNext w:val="0"/>
              <w:keepLines w:val="0"/>
              <w:suppressLineNumbers w:val="0"/>
              <w:snapToGrid w:val="0"/>
              <w:spacing w:before="0" w:beforeAutospacing="0" w:after="0" w:afterAutospacing="0" w:line="500" w:lineRule="exact"/>
              <w:ind w:left="0" w:right="0" w:firstLine="482" w:firstLineChars="200"/>
              <w:rPr>
                <w:rFonts w:hint="default" w:eastAsia="仿宋_GB2312"/>
                <w:b/>
                <w:bCs/>
                <w:color w:val="auto"/>
                <w:kern w:val="0"/>
                <w:sz w:val="24"/>
              </w:rPr>
            </w:pPr>
            <w:r>
              <w:rPr>
                <w:rFonts w:hint="eastAsia" w:eastAsia="仿宋_GB2312"/>
                <w:b/>
                <w:bCs/>
                <w:color w:val="auto"/>
                <w:kern w:val="0"/>
                <w:sz w:val="24"/>
              </w:rPr>
              <w:t>1、规划范围</w:t>
            </w:r>
          </w:p>
          <w:p w14:paraId="474169FA">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rPr>
            </w:pPr>
            <w:r>
              <w:rPr>
                <w:rFonts w:hint="eastAsia" w:eastAsia="仿宋_GB2312"/>
                <w:color w:val="auto"/>
                <w:kern w:val="0"/>
                <w:sz w:val="24"/>
              </w:rPr>
              <w:t>东至老丹金溧漕河、南至良常路、西至新丹金溧漕河、北至新丹金溧漕河，面积11.8km</w:t>
            </w:r>
            <w:r>
              <w:rPr>
                <w:rFonts w:hint="eastAsia" w:eastAsia="仿宋_GB2312"/>
                <w:color w:val="auto"/>
                <w:kern w:val="0"/>
                <w:sz w:val="24"/>
                <w:vertAlign w:val="superscript"/>
              </w:rPr>
              <w:t>2</w:t>
            </w:r>
            <w:r>
              <w:rPr>
                <w:rFonts w:hint="eastAsia" w:eastAsia="仿宋_GB2312"/>
                <w:color w:val="auto"/>
                <w:kern w:val="0"/>
                <w:sz w:val="24"/>
              </w:rPr>
              <w:t>，囊括原金城镇工业园区（北区）。</w:t>
            </w:r>
          </w:p>
          <w:p w14:paraId="648D4C49">
            <w:pPr>
              <w:keepNext w:val="0"/>
              <w:keepLines w:val="0"/>
              <w:suppressLineNumbers w:val="0"/>
              <w:snapToGrid w:val="0"/>
              <w:spacing w:before="0" w:beforeAutospacing="0" w:after="0" w:afterAutospacing="0" w:line="500" w:lineRule="exact"/>
              <w:ind w:left="0" w:right="0" w:firstLine="482" w:firstLineChars="200"/>
              <w:rPr>
                <w:rFonts w:hint="default" w:eastAsia="仿宋_GB2312"/>
                <w:b/>
                <w:bCs/>
                <w:color w:val="auto"/>
                <w:kern w:val="0"/>
                <w:sz w:val="24"/>
              </w:rPr>
            </w:pPr>
            <w:r>
              <w:rPr>
                <w:rFonts w:hint="eastAsia" w:eastAsia="仿宋_GB2312"/>
                <w:b/>
                <w:bCs/>
                <w:color w:val="auto"/>
                <w:kern w:val="0"/>
                <w:sz w:val="24"/>
              </w:rPr>
              <w:t>2、规划期限</w:t>
            </w:r>
          </w:p>
          <w:p w14:paraId="32516784">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eastAsia" w:eastAsia="仿宋_GB2312"/>
                <w:color w:val="auto"/>
                <w:kern w:val="0"/>
                <w:sz w:val="24"/>
              </w:rPr>
              <w:t>2</w:t>
            </w:r>
            <w:r>
              <w:rPr>
                <w:rFonts w:hint="default" w:eastAsia="仿宋_GB2312"/>
                <w:color w:val="auto"/>
                <w:kern w:val="0"/>
                <w:sz w:val="24"/>
              </w:rPr>
              <w:t>02</w:t>
            </w:r>
            <w:r>
              <w:rPr>
                <w:rFonts w:hint="eastAsia" w:eastAsia="仿宋_GB2312"/>
                <w:color w:val="auto"/>
                <w:kern w:val="0"/>
                <w:sz w:val="24"/>
                <w:lang w:val="en-US" w:eastAsia="zh-CN"/>
              </w:rPr>
              <w:t>3</w:t>
            </w:r>
            <w:r>
              <w:rPr>
                <w:rFonts w:hint="eastAsia" w:eastAsia="仿宋_GB2312"/>
                <w:color w:val="auto"/>
                <w:kern w:val="0"/>
                <w:sz w:val="24"/>
              </w:rPr>
              <w:t>~</w:t>
            </w:r>
            <w:r>
              <w:rPr>
                <w:rFonts w:hint="default" w:eastAsia="仿宋_GB2312"/>
                <w:color w:val="auto"/>
                <w:kern w:val="0"/>
                <w:sz w:val="24"/>
              </w:rPr>
              <w:t>2035</w:t>
            </w:r>
            <w:r>
              <w:rPr>
                <w:rFonts w:hint="eastAsia" w:eastAsia="仿宋_GB2312"/>
                <w:color w:val="auto"/>
                <w:kern w:val="0"/>
                <w:sz w:val="24"/>
              </w:rPr>
              <w:t>年</w:t>
            </w:r>
          </w:p>
          <w:p w14:paraId="5EA3A515">
            <w:pPr>
              <w:keepNext w:val="0"/>
              <w:keepLines w:val="0"/>
              <w:suppressLineNumbers w:val="0"/>
              <w:snapToGrid w:val="0"/>
              <w:spacing w:before="0" w:beforeAutospacing="0" w:after="0" w:afterAutospacing="0" w:line="500" w:lineRule="exact"/>
              <w:ind w:left="0" w:right="0" w:firstLine="482" w:firstLineChars="200"/>
              <w:rPr>
                <w:rFonts w:hint="eastAsia" w:eastAsia="仿宋_GB2312"/>
                <w:b/>
                <w:bCs/>
                <w:color w:val="auto"/>
                <w:kern w:val="0"/>
                <w:sz w:val="24"/>
                <w:lang w:eastAsia="zh-CN"/>
              </w:rPr>
            </w:pPr>
            <w:r>
              <w:rPr>
                <w:rFonts w:hint="eastAsia" w:eastAsia="仿宋_GB2312"/>
                <w:b/>
                <w:bCs/>
                <w:color w:val="auto"/>
                <w:kern w:val="0"/>
                <w:sz w:val="24"/>
              </w:rPr>
              <w:t>3、</w:t>
            </w:r>
            <w:r>
              <w:rPr>
                <w:rFonts w:hint="eastAsia" w:eastAsia="仿宋_GB2312"/>
                <w:b/>
                <w:bCs/>
                <w:color w:val="auto"/>
                <w:kern w:val="0"/>
                <w:sz w:val="24"/>
                <w:lang w:eastAsia="zh-CN"/>
              </w:rPr>
              <w:t>功能布局</w:t>
            </w:r>
          </w:p>
          <w:p w14:paraId="32AD05E9">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rPr>
            </w:pPr>
            <w:r>
              <w:rPr>
                <w:rFonts w:hint="eastAsia" w:eastAsia="仿宋_GB2312"/>
                <w:color w:val="auto"/>
                <w:kern w:val="0"/>
                <w:sz w:val="24"/>
              </w:rPr>
              <w:t xml:space="preserve">金城科技产业园规划形成“四轴、四片”的规划空间结构。 </w:t>
            </w:r>
          </w:p>
          <w:p w14:paraId="70E86FC8">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rPr>
            </w:pPr>
            <w:r>
              <w:rPr>
                <w:rFonts w:hint="eastAsia" w:eastAsia="仿宋_GB2312"/>
                <w:color w:val="auto"/>
                <w:kern w:val="0"/>
                <w:sz w:val="24"/>
              </w:rPr>
              <w:t>四轴：金城大道产业联动轴、良常路区域发展轴、南北产业联动轴、金沙大道快速交通轴四条城市发展轴线。</w:t>
            </w:r>
          </w:p>
          <w:p w14:paraId="21783976">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rPr>
            </w:pPr>
            <w:r>
              <w:rPr>
                <w:rFonts w:hint="eastAsia" w:eastAsia="仿宋_GB2312"/>
                <w:color w:val="auto"/>
                <w:kern w:val="0"/>
                <w:sz w:val="24"/>
              </w:rPr>
              <w:t>四片：智能智造板块、智慧物流板块、生命健康板块、生态服务板块四个城市发展功能板块。</w:t>
            </w:r>
          </w:p>
          <w:p w14:paraId="3BF79DB3">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rPr>
            </w:pPr>
            <w:r>
              <w:rPr>
                <w:rFonts w:hint="eastAsia" w:eastAsia="仿宋_GB2312"/>
                <w:color w:val="auto"/>
                <w:kern w:val="0"/>
                <w:sz w:val="24"/>
              </w:rPr>
              <w:t>智能智造板块：错位联动发展，重点布局三新产业，补链强链，加快传统智造数智转型；</w:t>
            </w:r>
          </w:p>
          <w:p w14:paraId="404EB5A6">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rPr>
            </w:pPr>
            <w:r>
              <w:rPr>
                <w:rFonts w:hint="eastAsia" w:eastAsia="仿宋_GB2312"/>
                <w:color w:val="auto"/>
                <w:kern w:val="0"/>
                <w:sz w:val="24"/>
              </w:rPr>
              <w:t>智慧物流板块：依托现有金坛港，借力良好的交通区位，优化港口布局，提升服务能级。</w:t>
            </w:r>
          </w:p>
          <w:p w14:paraId="2078299B">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rPr>
            </w:pPr>
            <w:r>
              <w:rPr>
                <w:rFonts w:hint="eastAsia" w:eastAsia="仿宋_GB2312"/>
                <w:color w:val="auto"/>
                <w:kern w:val="0"/>
                <w:sz w:val="24"/>
              </w:rPr>
              <w:t>生命健康板块：从生命健康全周期的角度，将生命健康制造业、生命健康服务业、生命健康管理、田园健体休闲等产业与业态联动发展，深度串联“生命健康”为产业链条，引领一二三产融合互促。</w:t>
            </w:r>
          </w:p>
          <w:p w14:paraId="1F477AAD">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rPr>
            </w:pPr>
            <w:r>
              <w:rPr>
                <w:rFonts w:hint="eastAsia" w:eastAsia="仿宋_GB2312"/>
                <w:color w:val="auto"/>
                <w:kern w:val="0"/>
                <w:sz w:val="24"/>
              </w:rPr>
              <w:t>生态服务板块：依托园区良好的水绿生态环境、以水为媒，强化产业园区内的生态环境建设及特色水绿空间塑造，打造生产+科普+绿色+休闲“四位一体”的现代化生态服务岛。</w:t>
            </w:r>
          </w:p>
          <w:p w14:paraId="0339F109">
            <w:pPr>
              <w:keepNext w:val="0"/>
              <w:keepLines w:val="0"/>
              <w:suppressLineNumbers w:val="0"/>
              <w:snapToGrid w:val="0"/>
              <w:spacing w:before="0" w:beforeAutospacing="0" w:after="0" w:afterAutospacing="0" w:line="500" w:lineRule="exact"/>
              <w:ind w:left="0" w:right="0" w:firstLine="482" w:firstLineChars="200"/>
              <w:rPr>
                <w:rFonts w:hint="eastAsia" w:eastAsia="仿宋_GB2312"/>
                <w:b w:val="0"/>
                <w:bCs w:val="0"/>
                <w:color w:val="auto"/>
                <w:kern w:val="0"/>
                <w:sz w:val="24"/>
              </w:rPr>
            </w:pPr>
            <w:r>
              <w:rPr>
                <w:rFonts w:hint="eastAsia" w:eastAsia="仿宋_GB2312"/>
                <w:b/>
                <w:bCs/>
                <w:color w:val="auto"/>
                <w:kern w:val="0"/>
                <w:sz w:val="24"/>
                <w:highlight w:val="none"/>
              </w:rPr>
              <w:t>对照分析：</w:t>
            </w:r>
            <w:r>
              <w:rPr>
                <w:rFonts w:hint="eastAsia" w:eastAsia="仿宋_GB2312"/>
                <w:b w:val="0"/>
                <w:bCs w:val="0"/>
                <w:color w:val="auto"/>
                <w:kern w:val="0"/>
                <w:sz w:val="24"/>
              </w:rPr>
              <w:t>本项目所在地土地性质为工业用地，规划为工业用地，故本项目用地规划与《金坛金城科技产业园发展规划（2023-2035年）》相符。金坛金城科技产业园基于现状产业基础，并立足现有产业优势，规划重点发展高端装备制造、新能源新材料、智慧物流、生命健康四大主导产业。本项目生产产品为食品用原料（γ-氨基丁酸），保健食品粉（二氢槲皮素）</w:t>
            </w:r>
            <w:r>
              <w:rPr>
                <w:rFonts w:hint="eastAsia" w:eastAsia="仿宋_GB2312"/>
                <w:b w:val="0"/>
                <w:bCs w:val="0"/>
                <w:color w:val="auto"/>
                <w:kern w:val="0"/>
                <w:sz w:val="24"/>
                <w:lang w:eastAsia="zh-CN"/>
              </w:rPr>
              <w:t>，</w:t>
            </w:r>
            <w:r>
              <w:rPr>
                <w:rFonts w:hint="eastAsia" w:eastAsia="仿宋_GB2312"/>
                <w:b w:val="0"/>
                <w:bCs w:val="0"/>
                <w:color w:val="auto"/>
                <w:kern w:val="0"/>
                <w:sz w:val="24"/>
              </w:rPr>
              <w:t>保健食品</w:t>
            </w:r>
            <w:r>
              <w:rPr>
                <w:rFonts w:hint="eastAsia" w:eastAsia="仿宋_GB2312"/>
                <w:b w:val="0"/>
                <w:bCs w:val="0"/>
                <w:color w:val="auto"/>
                <w:kern w:val="0"/>
                <w:sz w:val="24"/>
                <w:lang w:eastAsia="zh-CN"/>
              </w:rPr>
              <w:t>胶囊</w:t>
            </w:r>
            <w:r>
              <w:rPr>
                <w:rFonts w:hint="eastAsia" w:eastAsia="仿宋_GB2312"/>
                <w:b w:val="0"/>
                <w:bCs w:val="0"/>
                <w:color w:val="auto"/>
                <w:kern w:val="0"/>
                <w:sz w:val="24"/>
              </w:rPr>
              <w:t>，属于园区重点发展的“生命健康”类产业。因此，本项目与《金坛金城科技产业园发展规划（2023-2035年）》中产业定位相符。</w:t>
            </w:r>
          </w:p>
          <w:p w14:paraId="22532215">
            <w:pPr>
              <w:keepNext w:val="0"/>
              <w:keepLines w:val="0"/>
              <w:suppressLineNumbers w:val="0"/>
              <w:snapToGrid w:val="0"/>
              <w:spacing w:before="0" w:beforeAutospacing="0" w:after="0" w:afterAutospacing="0" w:line="500" w:lineRule="exact"/>
              <w:ind w:left="0" w:right="0"/>
              <w:rPr>
                <w:rFonts w:hint="default" w:eastAsia="仿宋_GB2312"/>
                <w:b/>
                <w:bCs/>
                <w:color w:val="auto"/>
                <w:sz w:val="24"/>
              </w:rPr>
            </w:pPr>
            <w:r>
              <w:rPr>
                <w:rFonts w:hint="eastAsia" w:eastAsia="仿宋_GB2312"/>
                <w:b/>
                <w:bCs/>
                <w:color w:val="auto"/>
                <w:sz w:val="24"/>
              </w:rPr>
              <w:t>二、规划环评相符性分析</w:t>
            </w:r>
          </w:p>
          <w:p w14:paraId="1166F234">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根据《金坛金城科技产业园发展规划环境影响报告书》，本项目符合性分析如下：</w:t>
            </w:r>
          </w:p>
          <w:p w14:paraId="4ECA1ED9">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1、规划范围</w:t>
            </w:r>
          </w:p>
          <w:p w14:paraId="77993FBE">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kern w:val="0"/>
                <w:sz w:val="24"/>
                <w:lang w:val="en-US" w:eastAsia="zh-CN"/>
              </w:rPr>
            </w:pPr>
            <w:r>
              <w:rPr>
                <w:rFonts w:hint="eastAsia" w:eastAsia="仿宋_GB2312"/>
                <w:color w:val="auto"/>
                <w:kern w:val="0"/>
                <w:sz w:val="24"/>
                <w:lang w:val="en-US" w:eastAsia="zh-CN"/>
              </w:rPr>
              <w:t>东至老丹金溧漕河、南至良常路、西至新丹金溧漕河、北至新丹金溧漕河，面积11.8km</w:t>
            </w:r>
            <w:r>
              <w:rPr>
                <w:rFonts w:hint="eastAsia" w:eastAsia="仿宋_GB2312"/>
                <w:color w:val="auto"/>
                <w:kern w:val="0"/>
                <w:sz w:val="24"/>
                <w:vertAlign w:val="superscript"/>
                <w:lang w:val="en-US" w:eastAsia="zh-CN"/>
              </w:rPr>
              <w:t>2</w:t>
            </w:r>
            <w:r>
              <w:rPr>
                <w:rFonts w:hint="eastAsia" w:eastAsia="仿宋_GB2312"/>
                <w:color w:val="auto"/>
                <w:kern w:val="0"/>
                <w:sz w:val="24"/>
                <w:lang w:val="en-US" w:eastAsia="zh-CN"/>
              </w:rPr>
              <w:t xml:space="preserve">，囊括原金城镇工业园区（北区）。 </w:t>
            </w:r>
          </w:p>
          <w:p w14:paraId="34083CE5">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2、规划期限</w:t>
            </w:r>
          </w:p>
          <w:p w14:paraId="1A0C85DD">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2023~2035年</w:t>
            </w:r>
          </w:p>
          <w:p w14:paraId="7279F9CF">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3、功能布局</w:t>
            </w:r>
          </w:p>
          <w:p w14:paraId="5A493F7F">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 xml:space="preserve">金城科技产业园规划形成“四轴、四片”的规划空间结构。 </w:t>
            </w:r>
          </w:p>
          <w:p w14:paraId="5F846BBF">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四轴：金城大道产业联动轴、良常路区域发展轴、南北产业联动轴、金沙大道快速交通轴四条城市发展轴线。</w:t>
            </w:r>
          </w:p>
          <w:p w14:paraId="6720A483">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四片：智能智造板块、智慧物流板块、生命健康板块、生态服务板块四个城市发展功能板块。</w:t>
            </w:r>
          </w:p>
          <w:p w14:paraId="63D4DCB9">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智能智造板块：错位联动发展，重点布局三新产业，补链强链，加快传统智造数智转型；</w:t>
            </w:r>
          </w:p>
          <w:p w14:paraId="5482EDF3">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智慧物流板块：依托现有金坛港，借力良好的交通区位，优化港口布局，提升服务能级。</w:t>
            </w:r>
          </w:p>
          <w:p w14:paraId="578BCB35">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生命健康板块：从生命健康全周期的角度，将生命健康制造业、生命健康服务业、生命健康管理、田园健体休闲等产业与业态联动发展，深度串联“生命健康”为产业链条，引领一二三产融合互促。</w:t>
            </w:r>
          </w:p>
          <w:p w14:paraId="7B6D81DF">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生态服务板块：依托园区良好的水绿生态环境、以水为媒，强化产业园区内的生态环境建设及特色水绿空间塑造，打造生产+科普+绿色+休闲“四位一体”的现代化生态服务岛。</w:t>
            </w:r>
          </w:p>
          <w:p w14:paraId="52E84B3A">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4、产业定位</w:t>
            </w:r>
          </w:p>
          <w:p w14:paraId="50BE3240">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现阶段，金城科技产业园产业门类众多，其中通用设备制造、其他制造业以及化工产业为现状三大主导产业，基于现状产业基础，并立足现有产业优势，规划重点发展高端装备制造、新能源新材料、生命健康、智慧物流四大主导产业，构建“3+1”的产业体系。</w:t>
            </w:r>
          </w:p>
          <w:p w14:paraId="60D02AEF">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高端装备制造：以装备制造业龙头企业为核心，促进产业链横向融合、纵向延伸、高端发展，引导企业集聚，形成专业化分工、上下游产品衔接配套的产业体系。根据扶持高端装备制造企业发展意见，引导装备制造企业做大做强，推动企业在自主创新、突破关键技术、提升核心竞争力、壮大产业规模等方面有新进展，促进装备制造业向高端转型升级。重点发展新能源汽车核心零部件、汽车零部件、高端装备部件、精密零部件制造等主导产业。聚焦新能源汽车产业链，重点发展电机制造，对外以电机系统制造，融入区域新能源汽车产业链，形成产业间联动，对内已电机系统内部上下游产业链为主体，结合周边智能制造产业，形成内部产业联动。</w:t>
            </w:r>
          </w:p>
          <w:p w14:paraId="6B79F90B">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新能源新材料：积极引进和导入新能源新材料产业，打造新材料产业园，与周边直溪现代产业园、中德（常州）创新产业园、华罗庚高新技术产业开发区等形成产业联动。引导企业紧密跟踪新型材料技术的研究开发，重点发展光伏新能源以及新型金属合金材料、新型显示材料、核辐射改性材料、环保阻燃新型高分子功能材料、高性能密封材料、节能环保型材料、石墨稀材料、高性能锂电池、燃料电池关键材料等新材料产业。</w:t>
            </w:r>
          </w:p>
          <w:p w14:paraId="218AB765">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智慧物流：强化港口运营，发展智慧物流体系。保留金坛港港口功能，初期以装卸、仓储、理货等港口基本服务为主，中后期配合周边产业需求，强化软硬件拓展延伸，硬件拓展聚焦物流装备研发、制造、检测、冻品消杀储备首仓建设，软件助力聚焦物流应用软件开发、系统研发、区域物流平台等。通过结合现状制造产业，引入物流装备研发、制造等相关产业，培育和壮大现代智慧物流产业。强化运用管理，近距离结合绿色绿色食品产业体系，发挥首仓存储、城市配送等服务；远距离提供大中型区域物流服务；同时提升物流金融、物流商贸等延伸服务。</w:t>
            </w:r>
          </w:p>
          <w:p w14:paraId="459A07C1">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生命健康：抢抓常州市推动合成生物和生物医药产业高质量发展机遇，积蓄发展新动能，抢占新一轮产业发展的制高点，重点支持创新药物、高端医疗器械与设备、生物类电子类医疗美容产品、高端化妆品、长寿及抗衰老产品等大健康领域，以及合成生物技术、基因与细胞诊疗技术、前沿生物技术、脑科学（类脑智能）和医疗大数据等新兴领域，打造生命健康产业高地。以培育产业为主线，搭建合成生物和生物医药科技创新中心，积极承接长三角生物技术及新医药产业外溢。生物医药产业规划采用生产拉动型为主要发展模式，以成熟产业引进为主，逐步建设孵化器、研发机构。首先引入医疗器械、合成生物、生物制造、生物制药企业的空间集聚与技术提升；进而从人的全生命周期视角入手，深化生物医药产业向生命健康产业的升级，带动城乡全面融合发展。在金城大道（盐港路）以南、西城北路以东、丹阳北路以西、良常路以北形成开放组团式产业中心，打开原有封闭大地块，围绕中心湖组团布局，分期建设，补足产业社区功能，打造产业高地。</w:t>
            </w:r>
          </w:p>
          <w:p w14:paraId="31AF5FAA">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kern w:val="0"/>
                <w:sz w:val="24"/>
                <w:lang w:val="en-US" w:eastAsia="zh-CN"/>
              </w:rPr>
            </w:pPr>
            <w:r>
              <w:rPr>
                <w:rFonts w:hint="eastAsia" w:eastAsia="仿宋_GB2312"/>
                <w:color w:val="auto"/>
                <w:kern w:val="0"/>
                <w:sz w:val="24"/>
                <w:lang w:val="en-US" w:eastAsia="zh-CN"/>
              </w:rPr>
              <w:t>5、环保基础设施</w:t>
            </w:r>
          </w:p>
          <w:p w14:paraId="6352EB3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b w:val="0"/>
                <w:bCs w:val="0"/>
                <w:color w:val="auto"/>
                <w:kern w:val="0"/>
                <w:sz w:val="24"/>
                <w:lang w:val="en-US" w:eastAsia="zh-CN"/>
              </w:rPr>
            </w:pPr>
            <w:r>
              <w:rPr>
                <w:rFonts w:hint="default" w:ascii="Times New Roman" w:hAnsi="Times New Roman" w:eastAsia="仿宋_GB2312" w:cs="Times New Roman"/>
                <w:b w:val="0"/>
                <w:bCs w:val="0"/>
                <w:color w:val="auto"/>
                <w:kern w:val="0"/>
                <w:sz w:val="24"/>
                <w:lang w:val="en-US" w:eastAsia="zh-CN"/>
              </w:rPr>
              <w:t>由长荡湖水厂供水，供水规模为30万吨m</w:t>
            </w:r>
            <w:r>
              <w:rPr>
                <w:rFonts w:hint="eastAsia" w:ascii="Times New Roman" w:hAnsi="Times New Roman" w:eastAsia="仿宋_GB2312" w:cs="Times New Roman"/>
                <w:b w:val="0"/>
                <w:bCs w:val="0"/>
                <w:color w:val="auto"/>
                <w:kern w:val="0"/>
                <w:sz w:val="24"/>
                <w:vertAlign w:val="superscript"/>
                <w:lang w:val="en-US" w:eastAsia="zh-CN"/>
              </w:rPr>
              <w:t>3</w:t>
            </w:r>
            <w:r>
              <w:rPr>
                <w:rFonts w:hint="default" w:ascii="Times New Roman" w:hAnsi="Times New Roman" w:eastAsia="仿宋_GB2312" w:cs="Times New Roman"/>
                <w:b w:val="0"/>
                <w:bCs w:val="0"/>
                <w:color w:val="auto"/>
                <w:kern w:val="0"/>
                <w:sz w:val="24"/>
                <w:lang w:val="en-US" w:eastAsia="zh-CN"/>
              </w:rPr>
              <w:t>/d，水源取自长荡湖，以常金供水、金武供水为应急</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园区采用雨污分流的排水体制，污水分片收集后，经泵站提升进金坛第二污水处理厂集中处理，待金坛工业污水厂建成且相关管网敷设到位后，特殊产业及化工类污水由单独管道输送至金坛</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工业污水厂处理。保留并充分利用现有污水主干管，新建金沙大道以西片区、红山路、西环二路</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白塔路</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、丹阳门北路污水管网，污水经邮堂庙泵站提升，邮堂庙泵站规模规划扩建至3万m</w:t>
            </w:r>
            <w:r>
              <w:rPr>
                <w:rFonts w:hint="eastAsia" w:ascii="Times New Roman" w:hAnsi="Times New Roman" w:eastAsia="仿宋_GB2312" w:cs="Times New Roman"/>
                <w:b w:val="0"/>
                <w:bCs w:val="0"/>
                <w:color w:val="auto"/>
                <w:kern w:val="0"/>
                <w:sz w:val="24"/>
                <w:vertAlign w:val="superscript"/>
                <w:lang w:val="en-US" w:eastAsia="zh-CN"/>
              </w:rPr>
              <w:t>3</w:t>
            </w:r>
            <w:r>
              <w:rPr>
                <w:rFonts w:hint="default" w:ascii="Times New Roman" w:hAnsi="Times New Roman" w:eastAsia="仿宋_GB2312" w:cs="Times New Roman"/>
                <w:b w:val="0"/>
                <w:bCs w:val="0"/>
                <w:color w:val="auto"/>
                <w:kern w:val="0"/>
                <w:sz w:val="24"/>
                <w:lang w:val="en-US" w:eastAsia="zh-CN"/>
              </w:rPr>
              <w:t>/d</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以加怡热电作为热源点，保留现状热力管网，根据热用户分布</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延伸、完善和新增热力管道，满足工业园新增热用户需求</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保留现状高、中压燃气管道，完善园区中压干管网络规划沿金沙大道、金城大道</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盐港路</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、春风东路各敷设1根中压管</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DN200</w:t>
            </w:r>
            <w:r>
              <w:rPr>
                <w:rFonts w:hint="eastAsia" w:ascii="Times New Roman" w:hAnsi="Times New Roman" w:eastAsia="仿宋_GB2312" w:cs="Times New Roman"/>
                <w:b w:val="0"/>
                <w:bCs w:val="0"/>
                <w:color w:val="auto"/>
                <w:kern w:val="0"/>
                <w:sz w:val="24"/>
                <w:lang w:val="en-US" w:eastAsia="zh-CN"/>
              </w:rPr>
              <w:t>）</w:t>
            </w:r>
            <w:r>
              <w:rPr>
                <w:rFonts w:hint="default" w:ascii="Times New Roman" w:hAnsi="Times New Roman" w:eastAsia="仿宋_GB2312" w:cs="Times New Roman"/>
                <w:b w:val="0"/>
                <w:bCs w:val="0"/>
                <w:color w:val="auto"/>
                <w:kern w:val="0"/>
                <w:sz w:val="24"/>
                <w:lang w:val="en-US" w:eastAsia="zh-CN"/>
              </w:rPr>
              <w:t>，与现状中压管接通。</w:t>
            </w:r>
          </w:p>
          <w:p w14:paraId="70F07217">
            <w:pPr>
              <w:keepNext w:val="0"/>
              <w:keepLines w:val="0"/>
              <w:suppressLineNumbers w:val="0"/>
              <w:snapToGrid w:val="0"/>
              <w:spacing w:before="0" w:beforeAutospacing="0" w:after="0" w:afterAutospacing="0" w:line="500" w:lineRule="exact"/>
              <w:ind w:left="0" w:right="0" w:firstLine="482" w:firstLineChars="200"/>
              <w:rPr>
                <w:rFonts w:hint="eastAsia" w:eastAsia="仿宋_GB2312"/>
                <w:b w:val="0"/>
                <w:bCs w:val="0"/>
                <w:color w:val="auto"/>
                <w:kern w:val="0"/>
                <w:sz w:val="24"/>
                <w:lang w:val="en-US" w:eastAsia="zh-CN"/>
              </w:rPr>
            </w:pPr>
            <w:r>
              <w:rPr>
                <w:rFonts w:hint="eastAsia" w:eastAsia="仿宋_GB2312"/>
                <w:b/>
                <w:bCs/>
                <w:color w:val="auto"/>
                <w:kern w:val="0"/>
                <w:sz w:val="24"/>
                <w:lang w:val="en-US" w:eastAsia="zh-CN"/>
              </w:rPr>
              <w:t>对照分析：</w:t>
            </w:r>
            <w:r>
              <w:rPr>
                <w:rFonts w:hint="eastAsia" w:eastAsia="仿宋_GB2312"/>
                <w:b w:val="0"/>
                <w:bCs w:val="0"/>
                <w:color w:val="auto"/>
                <w:kern w:val="0"/>
                <w:sz w:val="24"/>
                <w:lang w:val="en-US" w:eastAsia="zh-CN"/>
              </w:rPr>
              <w:t>本项目位于常州市金坛经济开发区西城路118号，位于金坛金城科技产业园内，本项目利用合成生物技术进行</w:t>
            </w:r>
            <w:r>
              <w:rPr>
                <w:rFonts w:hint="eastAsia" w:eastAsia="仿宋_GB2312"/>
                <w:b w:val="0"/>
                <w:bCs w:val="0"/>
                <w:color w:val="auto"/>
                <w:kern w:val="0"/>
                <w:sz w:val="24"/>
              </w:rPr>
              <w:t>食品用原料</w:t>
            </w:r>
            <w:r>
              <w:rPr>
                <w:rFonts w:hint="eastAsia" w:eastAsia="仿宋_GB2312"/>
                <w:b w:val="0"/>
                <w:bCs w:val="0"/>
                <w:color w:val="auto"/>
                <w:kern w:val="0"/>
                <w:sz w:val="24"/>
                <w:lang w:eastAsia="zh-CN"/>
              </w:rPr>
              <w:t>（γ-氨基丁酸），</w:t>
            </w:r>
            <w:r>
              <w:rPr>
                <w:rFonts w:hint="eastAsia" w:eastAsia="仿宋_GB2312"/>
                <w:b w:val="0"/>
                <w:bCs w:val="0"/>
                <w:color w:val="auto"/>
                <w:kern w:val="0"/>
                <w:sz w:val="24"/>
              </w:rPr>
              <w:t>保健食品粉</w:t>
            </w:r>
            <w:r>
              <w:rPr>
                <w:rFonts w:hint="eastAsia" w:eastAsia="仿宋_GB2312"/>
                <w:b w:val="0"/>
                <w:bCs w:val="0"/>
                <w:color w:val="auto"/>
                <w:kern w:val="0"/>
                <w:sz w:val="24"/>
                <w:lang w:eastAsia="zh-CN"/>
              </w:rPr>
              <w:t>（二氢槲皮素）和</w:t>
            </w:r>
            <w:r>
              <w:rPr>
                <w:rFonts w:hint="eastAsia" w:eastAsia="仿宋_GB2312"/>
                <w:b w:val="0"/>
                <w:bCs w:val="0"/>
                <w:color w:val="auto"/>
                <w:kern w:val="0"/>
                <w:sz w:val="24"/>
              </w:rPr>
              <w:t>保健食品</w:t>
            </w:r>
            <w:r>
              <w:rPr>
                <w:rFonts w:hint="eastAsia" w:eastAsia="仿宋_GB2312"/>
                <w:b w:val="0"/>
                <w:bCs w:val="0"/>
                <w:color w:val="auto"/>
                <w:kern w:val="0"/>
                <w:sz w:val="24"/>
                <w:lang w:eastAsia="zh-CN"/>
              </w:rPr>
              <w:t>胶囊</w:t>
            </w:r>
            <w:r>
              <w:rPr>
                <w:rFonts w:hint="eastAsia" w:eastAsia="仿宋_GB2312"/>
                <w:b w:val="0"/>
                <w:bCs w:val="0"/>
                <w:color w:val="auto"/>
                <w:kern w:val="0"/>
                <w:sz w:val="24"/>
                <w:lang w:val="en-US" w:eastAsia="zh-CN"/>
              </w:rPr>
              <w:t>的生产，属于园区重点发展的“生命健康”类产业。因此本项目与《金坛金城科技产业园发展规划（2023-2035年）环境影响报告书》相符。</w:t>
            </w:r>
          </w:p>
          <w:p w14:paraId="2DC62D94">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0000FF"/>
                <w:sz w:val="24"/>
              </w:rPr>
            </w:pPr>
          </w:p>
          <w:p w14:paraId="572C875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D7CCF78">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748A33A">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5D2B636">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05301BB">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60B004B">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28EC350C">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0A60875C">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69679BA">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CEB547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1418D048">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41965F5D">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28447B44">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4434603C">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D77C153">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28ABB4B">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83DC54F">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A4219AD">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22B811E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2A50936D">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0C96CC4">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58A7A4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0BEB0548">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07BD0FE0">
            <w:pPr>
              <w:pStyle w:val="2"/>
              <w:keepNext w:val="0"/>
              <w:keepLines w:val="0"/>
              <w:suppressLineNumbers w:val="0"/>
              <w:spacing w:beforeAutospacing="0" w:afterAutospacing="0"/>
              <w:ind w:left="0"/>
              <w:rPr>
                <w:rFonts w:hint="default" w:eastAsia="仿宋_GB2312"/>
                <w:color w:val="auto"/>
                <w:sz w:val="24"/>
              </w:rPr>
            </w:pPr>
          </w:p>
          <w:p w14:paraId="6490FF94">
            <w:pPr>
              <w:pStyle w:val="3"/>
              <w:keepNext w:val="0"/>
              <w:keepLines w:val="0"/>
              <w:suppressLineNumbers w:val="0"/>
              <w:spacing w:before="0" w:beforeAutospacing="0" w:after="0" w:afterAutospacing="0"/>
              <w:ind w:right="0"/>
              <w:rPr>
                <w:rFonts w:hint="default" w:eastAsia="仿宋_GB2312"/>
                <w:color w:val="auto"/>
                <w:sz w:val="24"/>
              </w:rPr>
            </w:pPr>
          </w:p>
          <w:p w14:paraId="68FF46A8">
            <w:pPr>
              <w:pStyle w:val="3"/>
              <w:keepNext w:val="0"/>
              <w:keepLines w:val="0"/>
              <w:suppressLineNumbers w:val="0"/>
              <w:spacing w:before="0" w:beforeAutospacing="0" w:after="0" w:afterAutospacing="0"/>
              <w:ind w:left="0" w:leftChars="0" w:right="0" w:firstLine="0" w:firstLineChars="0"/>
              <w:rPr>
                <w:rFonts w:hint="default" w:eastAsia="仿宋_GB2312"/>
                <w:color w:val="auto"/>
                <w:sz w:val="24"/>
              </w:rPr>
            </w:pPr>
          </w:p>
          <w:p w14:paraId="64CCB7F1">
            <w:pPr>
              <w:pStyle w:val="3"/>
              <w:keepNext w:val="0"/>
              <w:keepLines w:val="0"/>
              <w:suppressLineNumbers w:val="0"/>
              <w:spacing w:before="0" w:beforeAutospacing="0" w:after="0" w:afterAutospacing="0"/>
              <w:ind w:left="0" w:leftChars="0" w:right="0" w:firstLine="0" w:firstLineChars="0"/>
              <w:rPr>
                <w:rFonts w:hint="default" w:eastAsia="仿宋_GB2312"/>
                <w:color w:val="auto"/>
                <w:sz w:val="24"/>
              </w:rPr>
            </w:pPr>
          </w:p>
        </w:tc>
      </w:tr>
      <w:tr w14:paraId="7247C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94" w:hRule="atLeast"/>
          <w:jc w:val="center"/>
        </w:trPr>
        <w:tc>
          <w:tcPr>
            <w:tcW w:w="802" w:type="dxa"/>
            <w:vAlign w:val="center"/>
          </w:tcPr>
          <w:p w14:paraId="4A1E234E">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仿宋_GB2312"/>
                <w:color w:val="auto"/>
                <w:kern w:val="0"/>
                <w:sz w:val="24"/>
              </w:rPr>
            </w:pPr>
            <w:r>
              <w:rPr>
                <w:rFonts w:hint="default" w:eastAsia="仿宋_GB2312"/>
                <w:color w:val="auto"/>
                <w:kern w:val="0"/>
                <w:sz w:val="24"/>
              </w:rPr>
              <w:t>其他符合性分析</w:t>
            </w:r>
          </w:p>
        </w:tc>
        <w:tc>
          <w:tcPr>
            <w:tcW w:w="8512" w:type="dxa"/>
            <w:vAlign w:val="center"/>
          </w:tcPr>
          <w:p w14:paraId="53993A94">
            <w:pPr>
              <w:keepNext w:val="0"/>
              <w:keepLines w:val="0"/>
              <w:suppressLineNumbers w:val="0"/>
              <w:autoSpaceDE w:val="0"/>
              <w:autoSpaceDN w:val="0"/>
              <w:adjustRightInd w:val="0"/>
              <w:snapToGrid w:val="0"/>
              <w:spacing w:before="0" w:beforeAutospacing="0" w:after="0" w:afterAutospacing="0" w:line="500" w:lineRule="exact"/>
              <w:ind w:left="0" w:right="0"/>
              <w:rPr>
                <w:rFonts w:hint="default" w:eastAsia="仿宋_GB2312"/>
                <w:b/>
                <w:color w:val="auto"/>
                <w:kern w:val="0"/>
                <w:sz w:val="24"/>
              </w:rPr>
            </w:pPr>
            <w:r>
              <w:rPr>
                <w:rFonts w:hint="default" w:eastAsia="仿宋_GB2312"/>
                <w:b/>
                <w:color w:val="auto"/>
                <w:kern w:val="0"/>
                <w:sz w:val="24"/>
              </w:rPr>
              <w:t>一、与“三线一单”相符性分析</w:t>
            </w:r>
          </w:p>
          <w:p w14:paraId="7B109CEC">
            <w:pPr>
              <w:keepNext w:val="0"/>
              <w:keepLines w:val="0"/>
              <w:suppressLineNumbers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1、根据《关于以改善环境质量为核心加强环境影响评价管理的通知》（环评[2016]150号）：“为适应以改善环境质量为核心的环境管理要求，切实加强环境影响评价管理，落实生态保护红线、环境质量底线、资源利用上线和环境准入负面清单约束”。对本项目进行“三线一单”相符性分析。</w:t>
            </w:r>
          </w:p>
          <w:p w14:paraId="6EF06F90">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（1）生态环境保护红线</w:t>
            </w:r>
          </w:p>
          <w:p w14:paraId="061F4872">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根据《江苏省生态空间管控区域规划》（苏政发[2020]1号）和《省政府关于印发江苏省国家级生态保护红线规划的通知》（苏政发[2018]74号），常州市共有陆域生态红线区域面积905.71km</w:t>
            </w:r>
            <w:r>
              <w:rPr>
                <w:rFonts w:hint="default" w:eastAsia="仿宋_GB2312"/>
                <w:color w:val="auto"/>
                <w:kern w:val="0"/>
                <w:sz w:val="24"/>
                <w:vertAlign w:val="superscript"/>
              </w:rPr>
              <w:t>2</w:t>
            </w:r>
            <w:r>
              <w:rPr>
                <w:rFonts w:hint="default" w:eastAsia="仿宋_GB2312"/>
                <w:color w:val="auto"/>
                <w:kern w:val="0"/>
                <w:sz w:val="24"/>
              </w:rPr>
              <w:t>，其中一级管控区面积68.88km</w:t>
            </w:r>
            <w:r>
              <w:rPr>
                <w:rFonts w:hint="default" w:eastAsia="仿宋_GB2312"/>
                <w:color w:val="auto"/>
                <w:kern w:val="0"/>
                <w:sz w:val="24"/>
                <w:vertAlign w:val="superscript"/>
              </w:rPr>
              <w:t>2</w:t>
            </w:r>
            <w:r>
              <w:rPr>
                <w:rFonts w:hint="default" w:eastAsia="仿宋_GB2312"/>
                <w:color w:val="auto"/>
                <w:kern w:val="0"/>
                <w:sz w:val="24"/>
              </w:rPr>
              <w:t>，二级管控区面积836.83km</w:t>
            </w:r>
            <w:r>
              <w:rPr>
                <w:rFonts w:hint="default" w:eastAsia="仿宋_GB2312"/>
                <w:color w:val="auto"/>
                <w:kern w:val="0"/>
                <w:sz w:val="24"/>
                <w:vertAlign w:val="superscript"/>
              </w:rPr>
              <w:t>2</w:t>
            </w:r>
            <w:r>
              <w:rPr>
                <w:rFonts w:hint="default" w:eastAsia="仿宋_GB2312"/>
                <w:color w:val="auto"/>
                <w:kern w:val="0"/>
                <w:sz w:val="24"/>
              </w:rPr>
              <w:t>。</w:t>
            </w:r>
            <w:r>
              <w:rPr>
                <w:rStyle w:val="130"/>
                <w:rFonts w:hint="default" w:eastAsia="仿宋_GB2312"/>
                <w:b w:val="0"/>
                <w:bCs w:val="0"/>
                <w:color w:val="auto"/>
                <w:sz w:val="24"/>
              </w:rPr>
              <w:t>本项目位于</w:t>
            </w:r>
            <w:r>
              <w:rPr>
                <w:rFonts w:hint="eastAsia" w:eastAsia="仿宋_GB2312"/>
                <w:color w:val="auto"/>
                <w:kern w:val="0"/>
                <w:sz w:val="24"/>
              </w:rPr>
              <w:t>金城科技产业园</w:t>
            </w:r>
            <w:r>
              <w:rPr>
                <w:rFonts w:hint="default" w:eastAsia="仿宋_GB2312"/>
                <w:color w:val="auto"/>
                <w:sz w:val="24"/>
              </w:rPr>
              <w:t>内</w:t>
            </w:r>
            <w:r>
              <w:rPr>
                <w:rFonts w:hint="default" w:eastAsia="仿宋_GB2312"/>
                <w:color w:val="auto"/>
                <w:kern w:val="0"/>
                <w:sz w:val="24"/>
              </w:rPr>
              <w:t>，对照《江苏省生态空间管控区域规划》和《江苏省国家级生态保护红线规划》，不在常州市国家级生态保护红线和生态空间管控区域的保护区范围内，距离丹金溧漕河（金坛区）洪水调蓄区约为2.65km，距离天荒湖重要渔业水域3.1km，距离钱资荡重要湿地约为5.39km，距离金坛长荡湖国家湿地公园（试点）10.4km。。</w:t>
            </w:r>
          </w:p>
          <w:p w14:paraId="71038B37">
            <w:pPr>
              <w:keepNext w:val="0"/>
              <w:keepLines w:val="0"/>
              <w:suppressLineNumbers w:val="0"/>
              <w:spacing w:before="0" w:beforeAutospacing="0" w:after="0" w:afterAutospacing="0" w:line="500" w:lineRule="exact"/>
              <w:ind w:left="0" w:right="0" w:firstLine="480" w:firstLineChars="200"/>
              <w:rPr>
                <w:rStyle w:val="130"/>
                <w:rFonts w:hint="default" w:eastAsia="仿宋_GB2312"/>
                <w:b w:val="0"/>
                <w:bCs w:val="0"/>
                <w:color w:val="auto"/>
                <w:sz w:val="24"/>
              </w:rPr>
            </w:pPr>
            <w:r>
              <w:rPr>
                <w:rFonts w:hint="default" w:eastAsia="仿宋_GB2312"/>
                <w:color w:val="auto"/>
                <w:kern w:val="0"/>
                <w:sz w:val="24"/>
              </w:rPr>
              <w:t>因此，本项目选址符合生态红线区域保护规划。</w:t>
            </w:r>
          </w:p>
          <w:p w14:paraId="37D7CE39">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（2）环境质量底线</w:t>
            </w:r>
          </w:p>
          <w:p w14:paraId="5B43493F">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color w:val="auto"/>
                <w:kern w:val="0"/>
                <w:sz w:val="24"/>
              </w:rPr>
              <w:t>①</w:t>
            </w:r>
            <w:r>
              <w:rPr>
                <w:rFonts w:hint="default" w:eastAsia="仿宋_GB2312"/>
                <w:color w:val="auto"/>
                <w:kern w:val="0"/>
                <w:sz w:val="24"/>
              </w:rPr>
              <w:t>大气：根据《2024年常州市生态环境状况公报》，2024年常州市SO</w:t>
            </w:r>
            <w:r>
              <w:rPr>
                <w:rFonts w:hint="default" w:eastAsia="仿宋_GB2312"/>
                <w:color w:val="auto"/>
                <w:kern w:val="0"/>
                <w:sz w:val="24"/>
                <w:vertAlign w:val="subscript"/>
              </w:rPr>
              <w:t>2</w:t>
            </w:r>
            <w:r>
              <w:rPr>
                <w:rFonts w:hint="default" w:eastAsia="仿宋_GB2312"/>
                <w:color w:val="auto"/>
                <w:kern w:val="0"/>
                <w:sz w:val="24"/>
              </w:rPr>
              <w:t>、CO、NO</w:t>
            </w:r>
            <w:r>
              <w:rPr>
                <w:rFonts w:hint="default" w:eastAsia="仿宋_GB2312"/>
                <w:color w:val="auto"/>
                <w:kern w:val="0"/>
                <w:sz w:val="24"/>
                <w:vertAlign w:val="subscript"/>
              </w:rPr>
              <w:t>2</w:t>
            </w:r>
            <w:r>
              <w:rPr>
                <w:rFonts w:hint="default" w:eastAsia="仿宋_GB2312"/>
                <w:color w:val="auto"/>
                <w:kern w:val="0"/>
                <w:sz w:val="24"/>
              </w:rPr>
              <w:t>、PM</w:t>
            </w:r>
            <w:r>
              <w:rPr>
                <w:rFonts w:hint="default" w:eastAsia="仿宋_GB2312"/>
                <w:color w:val="auto"/>
                <w:kern w:val="0"/>
                <w:sz w:val="24"/>
                <w:vertAlign w:val="subscript"/>
              </w:rPr>
              <w:t>10</w:t>
            </w:r>
            <w:r>
              <w:rPr>
                <w:rFonts w:hint="default" w:eastAsia="仿宋_GB2312"/>
                <w:color w:val="auto"/>
                <w:kern w:val="0"/>
                <w:sz w:val="24"/>
              </w:rPr>
              <w:t>污染物各评价指标均达标，O</w:t>
            </w:r>
            <w:r>
              <w:rPr>
                <w:rFonts w:hint="default" w:eastAsia="仿宋_GB2312"/>
                <w:color w:val="auto"/>
                <w:kern w:val="0"/>
                <w:sz w:val="24"/>
                <w:vertAlign w:val="subscript"/>
              </w:rPr>
              <w:t>3</w:t>
            </w:r>
            <w:r>
              <w:rPr>
                <w:rFonts w:hint="default" w:eastAsia="仿宋_GB2312"/>
                <w:color w:val="auto"/>
                <w:kern w:val="0"/>
                <w:sz w:val="24"/>
              </w:rPr>
              <w:t>、PM</w:t>
            </w:r>
            <w:r>
              <w:rPr>
                <w:rFonts w:hint="default" w:eastAsia="仿宋_GB2312"/>
                <w:color w:val="auto"/>
                <w:kern w:val="0"/>
                <w:sz w:val="24"/>
                <w:vertAlign w:val="subscript"/>
              </w:rPr>
              <w:t>2.5</w:t>
            </w:r>
            <w:r>
              <w:rPr>
                <w:rFonts w:hint="default" w:eastAsia="仿宋_GB2312"/>
                <w:color w:val="auto"/>
                <w:kern w:val="0"/>
                <w:sz w:val="24"/>
              </w:rPr>
              <w:t>超过《环境空气质量标准》（GB3095-2012）中二级标准，总体而言本项目所在地为环境空气质量不达标区。根据补充现状监测结果可知，评价区域内补充大气评价因子均满足相关标准要求。本项目废气通过采取有效的治理措施后能够达标排放，且本项目各废气因子排放量较小，对周围空气环境影响较小。因此，本项目的建设符合大气环境质量底线的要求。</w:t>
            </w:r>
          </w:p>
          <w:p w14:paraId="2946670C">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②地表水：根据监测结果分析可知，尧塘河各监测断面各监测因子均符合《地表水环境质量标准》（GB3838-2002）中的Ⅲ类水标准。本项目生活污水</w:t>
            </w:r>
            <w:r>
              <w:rPr>
                <w:rFonts w:hint="eastAsia" w:eastAsia="仿宋_GB2312"/>
                <w:color w:val="auto"/>
                <w:kern w:val="0"/>
                <w:sz w:val="24"/>
                <w:lang w:eastAsia="zh-CN"/>
              </w:rPr>
              <w:t>经化粪池处理后</w:t>
            </w:r>
            <w:r>
              <w:rPr>
                <w:rFonts w:hint="default" w:eastAsia="仿宋_GB2312"/>
                <w:color w:val="auto"/>
                <w:kern w:val="0"/>
                <w:sz w:val="24"/>
              </w:rPr>
              <w:t>和纯水制备过程中产生浓水达标接管至常州金坛区第二污水处理有限公司集中处理。工艺废水、设备清洗废水、地面清洁废水、洗衣废水、循环冷却系统排水、废气喷淋废水和质检区废水经污水站处理后回用至循环冷却水系统。废水不直接排入地表水环境，对地表水环境无直接影响。因此，本项目的建设符合地表水环境质量底线的要求。</w:t>
            </w:r>
          </w:p>
          <w:p w14:paraId="6320ECED">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1D35AD"/>
                <w:kern w:val="0"/>
                <w:sz w:val="24"/>
              </w:rPr>
            </w:pPr>
            <w:r>
              <w:rPr>
                <w:rFonts w:hint="default"/>
                <w:color w:val="1D35AD"/>
                <w:kern w:val="0"/>
                <w:sz w:val="24"/>
              </w:rPr>
              <w:t>③</w:t>
            </w:r>
            <w:r>
              <w:rPr>
                <w:rFonts w:hint="default" w:eastAsia="仿宋_GB2312"/>
                <w:color w:val="1D35AD"/>
                <w:kern w:val="0"/>
                <w:sz w:val="24"/>
              </w:rPr>
              <w:t>声：据现状监测结果可知，项目所在地南厂界符合《声环境质量标准》（GB3096-2008）中4a类功能区环境噪声限值标准，东、西、北厂界符合《声环境质量标准》（GB3096-2008）中3类功能区环境噪声限值标准。</w:t>
            </w:r>
          </w:p>
          <w:p w14:paraId="07F6B510">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1D35AD"/>
                <w:kern w:val="0"/>
                <w:sz w:val="24"/>
              </w:rPr>
            </w:pPr>
            <w:r>
              <w:rPr>
                <w:rFonts w:hint="default" w:eastAsia="仿宋_GB2312"/>
                <w:color w:val="1D35AD"/>
                <w:kern w:val="0"/>
                <w:sz w:val="24"/>
              </w:rPr>
              <w:t>经预测，本项目在采取减振、隔声等降噪措施后，项目所在地东、西、北厂界噪声贡献值能够符合《工业企业厂界环境噪声排放标准》（GB12348-2008）中的3类标准限值，南厂界噪声贡献值能够符合《工业企业厂界环境噪声排放标准》（GB12348-2008）中的4类标准限值。</w:t>
            </w:r>
          </w:p>
          <w:p w14:paraId="65BF5EBF">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④固废：本项目产生的固体废物均能有效处置，处理处置率100%，对周边环境影响较小。</w:t>
            </w:r>
          </w:p>
          <w:p w14:paraId="65B9FDFD">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eastAsia" w:eastAsia="仿宋_GB2312"/>
                <w:color w:val="auto"/>
                <w:kern w:val="0"/>
                <w:sz w:val="24"/>
              </w:rPr>
              <w:t>⑤</w:t>
            </w:r>
            <w:r>
              <w:rPr>
                <w:rFonts w:hint="eastAsia" w:eastAsia="仿宋_GB2312"/>
                <w:color w:val="auto"/>
                <w:kern w:val="0"/>
                <w:sz w:val="24"/>
                <w:lang w:eastAsia="zh-CN"/>
              </w:rPr>
              <w:t>地下水：</w:t>
            </w:r>
            <w:r>
              <w:rPr>
                <w:rFonts w:hint="default" w:eastAsia="仿宋_GB2312"/>
                <w:color w:val="auto"/>
                <w:kern w:val="0"/>
                <w:sz w:val="24"/>
              </w:rPr>
              <w:t>从地下水监测评价结果可知，各监测因子除部分监测点挥发酚、氨氮、总大肠菌群达到《地下水质量标准》（GB/T14848-2017）Ⅴ类，其他监测因子均符合或优于Ⅳ类水质标准。本项目在施工质量保证较好、运营过程中各项措施充分落实，污染防渗措施有效情况下（正常工况下），建设项目对区域地下水质不产生影响。在非正常工况下，会在场区及周边较小范围内污染土壤和地下水。总体来说污染物在地下水中迁移速度缓慢，项目场地污染物的渗漏/泄漏对地下水影响范围很小，高浓度的污染物主要出现在项目所在地的废水排放处范围内的地下水中，而不会影响到区域地下水水质。因此，本项目的建设符合地下水环境质量底线的要求。</w:t>
            </w:r>
          </w:p>
          <w:p w14:paraId="422BFC40">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Style w:val="130"/>
                <w:rFonts w:hint="default" w:eastAsia="仿宋_GB2312"/>
                <w:b w:val="0"/>
                <w:bCs w:val="0"/>
                <w:color w:val="auto"/>
                <w:sz w:val="24"/>
              </w:rPr>
            </w:pPr>
            <w:r>
              <w:rPr>
                <w:rFonts w:hint="default" w:eastAsia="仿宋_GB2312"/>
                <w:color w:val="auto"/>
                <w:kern w:val="0"/>
                <w:sz w:val="24"/>
              </w:rPr>
              <w:t>综上所述，本项目对周边环境影响较小，建成后不会突破当地环境质量底线。</w:t>
            </w:r>
          </w:p>
          <w:p w14:paraId="533AAA9F">
            <w:pPr>
              <w:keepNext w:val="0"/>
              <w:keepLines w:val="0"/>
              <w:suppressLineNumbers w:val="0"/>
              <w:spacing w:before="0" w:beforeAutospacing="0" w:after="0" w:afterAutospacing="0" w:line="500" w:lineRule="exact"/>
              <w:ind w:left="0" w:right="0" w:firstLine="480" w:firstLineChars="200"/>
              <w:rPr>
                <w:rStyle w:val="130"/>
                <w:rFonts w:hint="default" w:eastAsia="仿宋_GB2312"/>
                <w:b w:val="0"/>
                <w:bCs w:val="0"/>
                <w:color w:val="auto"/>
                <w:sz w:val="24"/>
              </w:rPr>
            </w:pPr>
            <w:r>
              <w:rPr>
                <w:rStyle w:val="130"/>
                <w:rFonts w:hint="default" w:eastAsia="仿宋_GB2312"/>
                <w:b w:val="0"/>
                <w:bCs w:val="0"/>
                <w:color w:val="auto"/>
                <w:sz w:val="24"/>
              </w:rPr>
              <w:t>（3）资源利用上线</w:t>
            </w:r>
          </w:p>
          <w:p w14:paraId="011E3926">
            <w:pPr>
              <w:keepNext w:val="0"/>
              <w:keepLines w:val="0"/>
              <w:suppressLineNumbers w:val="0"/>
              <w:spacing w:before="0" w:beforeAutospacing="0" w:after="0" w:afterAutospacing="0" w:line="500" w:lineRule="exact"/>
              <w:ind w:left="0" w:right="0" w:firstLine="480" w:firstLineChars="200"/>
              <w:rPr>
                <w:rStyle w:val="130"/>
                <w:rFonts w:hint="default" w:eastAsia="仿宋_GB2312"/>
                <w:b w:val="0"/>
                <w:bCs w:val="0"/>
                <w:color w:val="auto"/>
                <w:sz w:val="24"/>
              </w:rPr>
            </w:pPr>
            <w:r>
              <w:rPr>
                <w:rStyle w:val="130"/>
                <w:rFonts w:hint="default" w:eastAsia="仿宋_GB2312"/>
                <w:b w:val="0"/>
                <w:bCs w:val="0"/>
                <w:color w:val="auto"/>
                <w:sz w:val="24"/>
              </w:rPr>
              <w:t>本项目生产过程中所用的资源主要为水和电资源。本项目所在地水资源丰富，同时本项目采用了多项节水措施，本项目产生蒸汽冷凝水回用作循环冷却系统补水，工艺废水、设备清洗废水、地面清洁废水、洗衣废水、循环冷却系统排水、废气喷淋废水和质检区废水经污水站处理后回用。企业将采取有效的节电节水措施，符合资源利用上线相关要求。</w:t>
            </w:r>
          </w:p>
          <w:p w14:paraId="336516ED">
            <w:pPr>
              <w:keepNext w:val="0"/>
              <w:keepLines w:val="0"/>
              <w:suppressLineNumbers w:val="0"/>
              <w:spacing w:before="0" w:beforeAutospacing="0" w:after="0" w:afterAutospacing="0" w:line="500" w:lineRule="exact"/>
              <w:ind w:left="0" w:right="0" w:firstLine="480" w:firstLineChars="200"/>
              <w:rPr>
                <w:rStyle w:val="130"/>
                <w:rFonts w:hint="default" w:eastAsia="仿宋_GB2312"/>
                <w:b w:val="0"/>
                <w:bCs w:val="0"/>
                <w:color w:val="auto"/>
                <w:sz w:val="24"/>
              </w:rPr>
            </w:pPr>
            <w:r>
              <w:rPr>
                <w:rStyle w:val="130"/>
                <w:rFonts w:hint="default" w:eastAsia="仿宋_GB2312"/>
                <w:b w:val="0"/>
                <w:bCs w:val="0"/>
                <w:color w:val="auto"/>
                <w:sz w:val="24"/>
              </w:rPr>
              <w:t>（4）环境准入负面清单</w:t>
            </w:r>
          </w:p>
          <w:p w14:paraId="19516A3C">
            <w:pPr>
              <w:keepNext w:val="0"/>
              <w:keepLines w:val="0"/>
              <w:suppressLineNumbers w:val="0"/>
              <w:spacing w:before="0" w:beforeAutospacing="0" w:after="0" w:afterAutospacing="0" w:line="500" w:lineRule="exact"/>
              <w:ind w:left="0" w:right="0" w:firstLine="480" w:firstLineChars="200"/>
              <w:rPr>
                <w:rStyle w:val="130"/>
                <w:rFonts w:hint="default" w:eastAsia="仿宋_GB2312"/>
                <w:b w:val="0"/>
                <w:bCs w:val="0"/>
                <w:color w:val="auto"/>
                <w:sz w:val="24"/>
              </w:rPr>
            </w:pPr>
            <w:r>
              <w:rPr>
                <w:rStyle w:val="130"/>
                <w:rFonts w:hint="default" w:eastAsia="仿宋_GB2312"/>
                <w:b w:val="0"/>
                <w:bCs w:val="0"/>
                <w:color w:val="auto"/>
                <w:sz w:val="24"/>
              </w:rPr>
              <w:t>经对照，本项目不属于《市场准入负面清单（2025年版）》（发改体改规[2025]466号）、《长江经济带发展负面清单指南（试行，2022年版）》（长江办[2022]7号）中禁止建设类项目。因此本项目符合环境准入负面清单相关要求。</w:t>
            </w:r>
          </w:p>
          <w:p w14:paraId="0DD3FAA0">
            <w:pPr>
              <w:keepNext w:val="0"/>
              <w:keepLines w:val="0"/>
              <w:suppressLineNumbers w:val="0"/>
              <w:spacing w:before="0" w:beforeAutospacing="0" w:after="0" w:afterAutospacing="0" w:line="500" w:lineRule="exact"/>
              <w:ind w:left="0" w:right="0" w:firstLine="480" w:firstLineChars="200"/>
              <w:rPr>
                <w:rStyle w:val="130"/>
                <w:rFonts w:hint="default" w:eastAsia="仿宋_GB2312"/>
                <w:b w:val="0"/>
                <w:bCs w:val="0"/>
                <w:color w:val="auto"/>
                <w:sz w:val="24"/>
                <w:highlight w:val="none"/>
              </w:rPr>
            </w:pPr>
            <w:r>
              <w:rPr>
                <w:rStyle w:val="130"/>
                <w:rFonts w:hint="default" w:eastAsia="仿宋_GB2312"/>
                <w:b w:val="0"/>
                <w:bCs w:val="0"/>
                <w:color w:val="auto"/>
                <w:sz w:val="24"/>
                <w:highlight w:val="none"/>
              </w:rPr>
              <w:t>2、与《常州市“三线一单”生态环境分区管控实施方案》（常环[2020]95号）以及常州市生态环境分区管控动态更新成果（2023年版）相符性分析</w:t>
            </w:r>
          </w:p>
          <w:p w14:paraId="20A5A22E">
            <w:pPr>
              <w:keepNext w:val="0"/>
              <w:keepLines w:val="0"/>
              <w:suppressLineNumbers w:val="0"/>
              <w:spacing w:before="0" w:beforeAutospacing="0" w:after="0" w:afterAutospacing="0" w:line="500" w:lineRule="exact"/>
              <w:ind w:left="0" w:right="0" w:firstLine="480" w:firstLineChars="200"/>
              <w:rPr>
                <w:rStyle w:val="130"/>
                <w:rFonts w:hint="default" w:eastAsia="仿宋_GB2312"/>
                <w:b w:val="0"/>
                <w:bCs w:val="0"/>
                <w:color w:val="auto"/>
                <w:sz w:val="24"/>
              </w:rPr>
            </w:pPr>
            <w:r>
              <w:rPr>
                <w:rStyle w:val="130"/>
                <w:rFonts w:hint="default" w:eastAsia="仿宋_GB2312"/>
                <w:b w:val="0"/>
                <w:bCs w:val="0"/>
                <w:color w:val="auto"/>
                <w:sz w:val="24"/>
              </w:rPr>
              <w:t>根据《常州市“三线一单”生态环境分区管控实施方案》，金坛金城科技产业园为重点管控单元。园区基于现状产业基础，并立足现有产业优势，规划重点发展高端装备制造、新能源新材料、智慧物流、生命健康四大主导产业，构建“3+1”的产业体系，产业定位及发展内容均无淘汰类产业。规划期限内，园区将会进一步落实《方案》中相关要求，严格控制入园企业类型，禁止引进其他属于国家和地方产业政策淘汰类或禁止类的建设项目和工艺，禁止建设未开展环境影响评价、未经环境保护行政主管部门批准的企业项目以及不符合《太湖流域管理条例》（中华人民共和国国务院令第604号）、《江苏省太湖水污染防治条例》等相关太湖流域管理规定的项目。</w:t>
            </w:r>
          </w:p>
          <w:p w14:paraId="0E9574B3">
            <w:pPr>
              <w:keepNext w:val="0"/>
              <w:keepLines w:val="0"/>
              <w:suppressLineNumbers w:val="0"/>
              <w:spacing w:before="0" w:beforeAutospacing="0" w:after="0" w:afterAutospacing="0" w:line="500" w:lineRule="exact"/>
              <w:ind w:left="0" w:right="0" w:firstLine="480" w:firstLineChars="200"/>
              <w:rPr>
                <w:rStyle w:val="130"/>
                <w:rFonts w:hint="default" w:eastAsia="仿宋_GB2312"/>
                <w:b w:val="0"/>
                <w:bCs w:val="0"/>
                <w:color w:val="auto"/>
                <w:sz w:val="24"/>
              </w:rPr>
            </w:pPr>
            <w:r>
              <w:rPr>
                <w:rStyle w:val="130"/>
                <w:rFonts w:hint="default" w:eastAsia="仿宋_GB2312"/>
                <w:b w:val="0"/>
                <w:bCs w:val="0"/>
                <w:color w:val="auto"/>
                <w:sz w:val="24"/>
              </w:rPr>
              <w:t>金坛金城科技产业园生态环境准入清单如下：</w:t>
            </w:r>
          </w:p>
          <w:p w14:paraId="6EDAC005">
            <w:pPr>
              <w:keepNext w:val="0"/>
              <w:keepLines w:val="0"/>
              <w:suppressLineNumbers w:val="0"/>
              <w:spacing w:before="0" w:beforeAutospacing="0" w:after="0" w:afterAutospacing="0"/>
              <w:ind w:left="0" w:right="0" w:firstLine="422" w:firstLineChars="200"/>
              <w:contextualSpacing/>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表1</w:t>
            </w:r>
            <w:r>
              <w:rPr>
                <w:rFonts w:hint="eastAsia" w:eastAsia="仿宋_GB2312" w:cs="Times New Roman"/>
                <w:b/>
                <w:color w:val="auto"/>
                <w:sz w:val="21"/>
                <w:szCs w:val="21"/>
                <w:lang w:val="en-US" w:eastAsia="zh-CN"/>
              </w:rPr>
              <w:t>-1</w:t>
            </w:r>
            <w:r>
              <w:rPr>
                <w:rFonts w:hint="default" w:ascii="Times New Roman" w:hAnsi="Times New Roman" w:eastAsia="仿宋_GB2312" w:cs="Times New Roman"/>
                <w:b/>
                <w:color w:val="auto"/>
                <w:sz w:val="21"/>
                <w:szCs w:val="21"/>
              </w:rPr>
              <w:t xml:space="preserve">  园区生态环境准入清单对照表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4345"/>
              <w:gridCol w:w="3669"/>
            </w:tblGrid>
            <w:tr w14:paraId="49DF1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2C466A71">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类别</w:t>
                  </w:r>
                </w:p>
              </w:tc>
              <w:tc>
                <w:tcPr>
                  <w:tcW w:w="2517" w:type="pct"/>
                  <w:tcBorders>
                    <w:tl2br w:val="nil"/>
                    <w:tr2bl w:val="nil"/>
                  </w:tcBorders>
                  <w:vAlign w:val="center"/>
                </w:tcPr>
                <w:p w14:paraId="71550322">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生态环境准入清单要求</w:t>
                  </w:r>
                </w:p>
              </w:tc>
              <w:tc>
                <w:tcPr>
                  <w:tcW w:w="2125" w:type="pct"/>
                  <w:tcBorders>
                    <w:tl2br w:val="nil"/>
                    <w:tr2bl w:val="nil"/>
                  </w:tcBorders>
                  <w:vAlign w:val="center"/>
                </w:tcPr>
                <w:p w14:paraId="1F3B360E">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本项目情况</w:t>
                  </w:r>
                </w:p>
              </w:tc>
            </w:tr>
            <w:tr w14:paraId="51DC1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10097BF8">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rPr>
                    <w:t>产业定位</w:t>
                  </w:r>
                </w:p>
              </w:tc>
              <w:tc>
                <w:tcPr>
                  <w:tcW w:w="2517" w:type="pct"/>
                  <w:tcBorders>
                    <w:tl2br w:val="nil"/>
                    <w:tr2bl w:val="nil"/>
                  </w:tcBorders>
                  <w:vAlign w:val="center"/>
                </w:tcPr>
                <w:p w14:paraId="51782461">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rPr>
                    <w:t>重点发展高端装备制造、新能源新材料、生命健康、智慧物流为主导“3+1”产业体系</w:t>
                  </w:r>
                </w:p>
              </w:tc>
              <w:tc>
                <w:tcPr>
                  <w:tcW w:w="2125" w:type="pct"/>
                  <w:tcBorders>
                    <w:tl2br w:val="nil"/>
                    <w:tr2bl w:val="nil"/>
                  </w:tcBorders>
                  <w:vAlign w:val="center"/>
                </w:tcPr>
                <w:p w14:paraId="10C9AAF3">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本项目属于金坛区金城科技产业园的生命健康板块，本项目为C14</w:t>
                  </w:r>
                  <w:r>
                    <w:rPr>
                      <w:rFonts w:hint="eastAsia" w:ascii="Times New Roman" w:hAnsi="Times New Roman" w:eastAsia="仿宋_GB2312" w:cs="Times New Roman"/>
                      <w:bCs/>
                      <w:color w:val="auto"/>
                      <w:sz w:val="21"/>
                      <w:szCs w:val="21"/>
                      <w:lang w:val="en-US" w:eastAsia="zh-CN"/>
                    </w:rPr>
                    <w:t>99</w:t>
                  </w:r>
                  <w:r>
                    <w:rPr>
                      <w:rFonts w:hint="default" w:ascii="Times New Roman" w:hAnsi="Times New Roman" w:eastAsia="仿宋_GB2312" w:cs="Times New Roman"/>
                      <w:bCs/>
                      <w:color w:val="auto"/>
                      <w:sz w:val="21"/>
                      <w:szCs w:val="21"/>
                    </w:rPr>
                    <w:t>其他未列明食品制造、C149</w:t>
                  </w:r>
                  <w:r>
                    <w:rPr>
                      <w:rFonts w:hint="eastAsia" w:ascii="Times New Roman" w:hAnsi="Times New Roman" w:eastAsia="仿宋_GB2312" w:cs="Times New Roman"/>
                      <w:bCs/>
                      <w:color w:val="auto"/>
                      <w:sz w:val="21"/>
                      <w:szCs w:val="21"/>
                      <w:lang w:val="en-US" w:eastAsia="zh-CN"/>
                    </w:rPr>
                    <w:t>2</w:t>
                  </w:r>
                  <w:r>
                    <w:rPr>
                      <w:rFonts w:hint="default" w:ascii="Times New Roman" w:hAnsi="Times New Roman" w:eastAsia="仿宋_GB2312" w:cs="Times New Roman"/>
                      <w:bCs/>
                      <w:color w:val="auto"/>
                      <w:sz w:val="21"/>
                      <w:szCs w:val="21"/>
                    </w:rPr>
                    <w:t>保健食品制造新建项目，产品食品用原料（γ-氨基丁酸），保健食品粉（二氢槲皮素）和保健食品胶囊应用于食品领域。符合园区产业定位。</w:t>
                  </w:r>
                </w:p>
              </w:tc>
            </w:tr>
            <w:tr w14:paraId="6C57E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356" w:type="pct"/>
                  <w:vMerge w:val="restart"/>
                  <w:tcBorders>
                    <w:tl2br w:val="nil"/>
                    <w:tr2bl w:val="nil"/>
                  </w:tcBorders>
                  <w:vAlign w:val="center"/>
                </w:tcPr>
                <w:p w14:paraId="67EA8394">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禁止引入项目</w:t>
                  </w:r>
                </w:p>
              </w:tc>
              <w:tc>
                <w:tcPr>
                  <w:tcW w:w="2517" w:type="pct"/>
                  <w:tcBorders>
                    <w:tl2br w:val="nil"/>
                    <w:tr2bl w:val="nil"/>
                  </w:tcBorders>
                  <w:vAlign w:val="center"/>
                </w:tcPr>
                <w:p w14:paraId="27E0EA37">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（1）高端装备制造：禁止引入含冶炼、轧钢项目（先进高端铸造类项目除外）。</w:t>
                  </w:r>
                </w:p>
                <w:p w14:paraId="6925035D">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（2）新能源新材料：禁止使用高VOCs含量的溶剂型涂料、油墨、胶粘剂等项目（具有不可替代性的原料除外）。</w:t>
                  </w:r>
                </w:p>
                <w:p w14:paraId="363193F6">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（3）生命健康：禁止引进化学合成原料药的中试及生产项目，禁止引进医药中间体的项目。</w:t>
                  </w:r>
                </w:p>
              </w:tc>
              <w:tc>
                <w:tcPr>
                  <w:tcW w:w="2125" w:type="pct"/>
                  <w:tcBorders>
                    <w:tl2br w:val="nil"/>
                    <w:tr2bl w:val="nil"/>
                  </w:tcBorders>
                  <w:vAlign w:val="center"/>
                </w:tcPr>
                <w:p w14:paraId="4B28ED15">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本项目属于C14</w:t>
                  </w:r>
                  <w:r>
                    <w:rPr>
                      <w:rFonts w:hint="eastAsia" w:ascii="Times New Roman" w:hAnsi="Times New Roman" w:eastAsia="仿宋_GB2312" w:cs="Times New Roman"/>
                      <w:bCs/>
                      <w:color w:val="auto"/>
                      <w:sz w:val="21"/>
                      <w:szCs w:val="21"/>
                      <w:lang w:val="en-US" w:eastAsia="zh-CN"/>
                    </w:rPr>
                    <w:t>99</w:t>
                  </w:r>
                  <w:r>
                    <w:rPr>
                      <w:rFonts w:hint="default" w:ascii="Times New Roman" w:hAnsi="Times New Roman" w:eastAsia="仿宋_GB2312" w:cs="Times New Roman"/>
                      <w:bCs/>
                      <w:color w:val="auto"/>
                      <w:sz w:val="21"/>
                      <w:szCs w:val="21"/>
                    </w:rPr>
                    <w:t>其他未列明食品制造、C149</w:t>
                  </w:r>
                  <w:r>
                    <w:rPr>
                      <w:rFonts w:hint="eastAsia" w:ascii="Times New Roman" w:hAnsi="Times New Roman" w:eastAsia="仿宋_GB2312" w:cs="Times New Roman"/>
                      <w:bCs/>
                      <w:color w:val="auto"/>
                      <w:sz w:val="21"/>
                      <w:szCs w:val="21"/>
                      <w:lang w:val="en-US" w:eastAsia="zh-CN"/>
                    </w:rPr>
                    <w:t>2</w:t>
                  </w:r>
                  <w:r>
                    <w:rPr>
                      <w:rFonts w:hint="default" w:ascii="Times New Roman" w:hAnsi="Times New Roman" w:eastAsia="仿宋_GB2312" w:cs="Times New Roman"/>
                      <w:bCs/>
                      <w:color w:val="auto"/>
                      <w:sz w:val="21"/>
                      <w:szCs w:val="21"/>
                    </w:rPr>
                    <w:t>保健食品制造，不属于使用高VOCs含量的溶剂型涂料、油墨、胶粘剂等项目。本项目不属于园区禁止引入行业项目。</w:t>
                  </w:r>
                </w:p>
              </w:tc>
            </w:tr>
            <w:tr w14:paraId="14B7C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8" w:hRule="atLeast"/>
                <w:jc w:val="center"/>
              </w:trPr>
              <w:tc>
                <w:tcPr>
                  <w:tcW w:w="356" w:type="pct"/>
                  <w:vMerge w:val="continue"/>
                  <w:tcBorders>
                    <w:tl2br w:val="nil"/>
                    <w:tr2bl w:val="nil"/>
                  </w:tcBorders>
                  <w:vAlign w:val="center"/>
                </w:tcPr>
                <w:p w14:paraId="4A7E3DE3">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color w:val="auto"/>
                      <w:sz w:val="21"/>
                      <w:szCs w:val="21"/>
                    </w:rPr>
                  </w:pPr>
                </w:p>
              </w:tc>
              <w:tc>
                <w:tcPr>
                  <w:tcW w:w="2517" w:type="pct"/>
                  <w:tcBorders>
                    <w:tl2br w:val="nil"/>
                    <w:tr2bl w:val="nil"/>
                  </w:tcBorders>
                  <w:vAlign w:val="center"/>
                </w:tcPr>
                <w:p w14:paraId="42E321FF">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（4）禁止新建、扩建涉重点重金属污染物（铅、汞、镉、铬和砷）排放的项目。</w:t>
                  </w:r>
                </w:p>
                <w:p w14:paraId="4238F010">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（5）禁止引入排放含磷氮等污染物的项目（《江苏省太湖水污染防治条例》第四十六条规定的情形除外，即新建、改建、扩建排放含磷、氮等污染物的战略性新兴产业项目）。</w:t>
                  </w:r>
                </w:p>
                <w:p w14:paraId="13DAF65E">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（6）禁止新建钢铁、煤电、化工、印染项目；禁止引入不符合《印染行业规范条件》的改建印染项目。</w:t>
                  </w:r>
                </w:p>
                <w:p w14:paraId="22AED2B5">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（7）《环境保护综合名录（2021年版）》“高污染、高环境风险”产品。</w:t>
                  </w:r>
                </w:p>
                <w:p w14:paraId="7883C984">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（8）禁止引进其他属于国家和地方产业政策淘汰类或禁止类的建设项目和工艺。（8）不得建设《长江经济带发展负面清单指南》中禁止类项目。</w:t>
                  </w:r>
                </w:p>
                <w:p w14:paraId="2503C200">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（9）禁止引入危险化学品仓储企业。</w:t>
                  </w:r>
                </w:p>
              </w:tc>
              <w:tc>
                <w:tcPr>
                  <w:tcW w:w="2125" w:type="pct"/>
                  <w:tcBorders>
                    <w:tl2br w:val="nil"/>
                    <w:tr2bl w:val="nil"/>
                  </w:tcBorders>
                  <w:vAlign w:val="center"/>
                </w:tcPr>
                <w:p w14:paraId="2E67C631">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color w:val="auto"/>
                      <w:sz w:val="21"/>
                      <w:szCs w:val="21"/>
                    </w:rPr>
                    <w:t>本项目不属于涉重点重金属污染物（铅、汞、镉、铬和砷）排放的项目；本项目不排放含氮、磷的生产废水；本项目不属于钢铁、煤电、化工、印染项目；本项目不属于《环境保护综合名录（2021年版）》“高污染、高环境风险”产品，也不属于《江苏省“两高”项目管理目录(2024年版)》中的“两高”项目；本项目不属于国家和地方产业政策淘汰类或禁止类的建设项目和工艺；本项目不属于《长江经济带发展负面清单指南》中禁止类项目；本项目不属于新引入的危险化学品仓储企业。</w:t>
                  </w:r>
                </w:p>
              </w:tc>
            </w:tr>
            <w:tr w14:paraId="19A0E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5A8E23EE">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空间布局约束</w:t>
                  </w:r>
                </w:p>
              </w:tc>
              <w:tc>
                <w:tcPr>
                  <w:tcW w:w="2517" w:type="pct"/>
                  <w:tcBorders>
                    <w:tl2br w:val="nil"/>
                    <w:tr2bl w:val="nil"/>
                  </w:tcBorders>
                  <w:vAlign w:val="center"/>
                </w:tcPr>
                <w:p w14:paraId="3E6270BC">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（1）水域及绿地，禁止一切与环境保护功能无关的建设活动；</w:t>
                  </w:r>
                </w:p>
                <w:p w14:paraId="0070EEC4">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（2）丹金溧漕河、尧塘河沿岸河道范围内（两岸堤防背水坡堤脚外10m）禁止建设妨碍行洪的建筑物、构筑物；</w:t>
                  </w:r>
                </w:p>
                <w:p w14:paraId="5779FDEA">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（3）禁止引进不能满足环评测算出的环境防护距离，或环评事故风险防范和应急措施难以落实到位的项目。</w:t>
                  </w:r>
                </w:p>
              </w:tc>
              <w:tc>
                <w:tcPr>
                  <w:tcW w:w="2125" w:type="pct"/>
                  <w:tcBorders>
                    <w:tl2br w:val="nil"/>
                    <w:tr2bl w:val="nil"/>
                  </w:tcBorders>
                  <w:vAlign w:val="center"/>
                </w:tcPr>
                <w:p w14:paraId="2449A0D7">
                  <w:pPr>
                    <w:keepNext w:val="0"/>
                    <w:keepLines w:val="0"/>
                    <w:suppressLineNumbers w:val="0"/>
                    <w:adjustRightInd w:val="0"/>
                    <w:spacing w:before="0" w:beforeAutospacing="0" w:after="0" w:afterAutospacing="0" w:line="256" w:lineRule="exact"/>
                    <w:ind w:left="0" w:right="0"/>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sz w:val="21"/>
                      <w:szCs w:val="21"/>
                    </w:rPr>
                    <w:t>①</w:t>
                  </w:r>
                  <w:r>
                    <w:rPr>
                      <w:rFonts w:hint="default" w:ascii="Times New Roman" w:hAnsi="Times New Roman" w:eastAsia="仿宋_GB2312" w:cs="Times New Roman"/>
                      <w:color w:val="auto"/>
                      <w:kern w:val="0"/>
                      <w:sz w:val="21"/>
                      <w:szCs w:val="21"/>
                    </w:rPr>
                    <w:t>本项目在现有厂区内实施，不涉及水域及绿地开发建设活动；不涉及丹金溧漕河、尧塘河沿岸河道范围内建设活动；</w:t>
                  </w:r>
                </w:p>
                <w:p w14:paraId="246BEA6E">
                  <w:pPr>
                    <w:pStyle w:val="74"/>
                    <w:keepNext w:val="0"/>
                    <w:keepLines w:val="0"/>
                    <w:suppressLineNumbers w:val="0"/>
                    <w:tabs>
                      <w:tab w:val="left" w:pos="460"/>
                      <w:tab w:val="right" w:leader="dot" w:pos="8296"/>
                    </w:tabs>
                    <w:spacing w:before="0" w:beforeAutospacing="0" w:after="0" w:afterAutospacing="0" w:line="256" w:lineRule="exact"/>
                    <w:ind w:left="0" w:right="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②本项目实施后，确定全厂卫生防护距离为厂房、污水站分别外扩100米形成的包络线范围，在此范围内无大气环境敏感保护目标。本项目实施后将严格落实各项环境事故风险防范和应急措施，并委托编制《突发环境事件应急预案》，以防止发生环境污染事故。符合园区空间布局约束。</w:t>
                  </w:r>
                </w:p>
              </w:tc>
            </w:tr>
            <w:tr w14:paraId="1B59D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3EF0EB8D">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环境风险防控</w:t>
                  </w:r>
                </w:p>
              </w:tc>
              <w:tc>
                <w:tcPr>
                  <w:tcW w:w="2517" w:type="pct"/>
                  <w:tcBorders>
                    <w:tl2br w:val="nil"/>
                    <w:tr2bl w:val="nil"/>
                  </w:tcBorders>
                  <w:vAlign w:val="center"/>
                </w:tcPr>
                <w:p w14:paraId="204E7B44">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（1）针对搬迁关闭的企业，应当在其土地出让或项目批准核准前完成场地环境调查和风险评估工作，以保障工业企业场地再开发利用的环境安全。</w:t>
                  </w:r>
                </w:p>
                <w:p w14:paraId="2BA5F1B0">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（2）禁止安全风险大、工艺设施落后、安全水平低的企业或项目进入。</w:t>
                  </w:r>
                </w:p>
                <w:p w14:paraId="22FD504A">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（3）存储危险化学品及产生大量废水的企业，应配套有效措施，防止因渗漏污染地下水、土壤，以及因事故废水直排污染地表水体。</w:t>
                  </w:r>
                </w:p>
                <w:p w14:paraId="5C3A3DE4">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（4）产生、利用或处置固体废物（含危险废物）的企业，在贮存、转移、利用、处置固体废物（含危险废物）过程中，应配套防扬散、防流失、防渗漏及其他防止污染环境的措施。</w:t>
                  </w:r>
                </w:p>
                <w:p w14:paraId="0729D944">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（5）禁止无法落实危险废物处置途径的项目入园。</w:t>
                  </w:r>
                </w:p>
              </w:tc>
              <w:tc>
                <w:tcPr>
                  <w:tcW w:w="2125" w:type="pct"/>
                  <w:tcBorders>
                    <w:tl2br w:val="nil"/>
                    <w:tr2bl w:val="nil"/>
                  </w:tcBorders>
                  <w:vAlign w:val="center"/>
                </w:tcPr>
                <w:p w14:paraId="3410AEBA">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①</w:t>
                  </w:r>
                  <w:r>
                    <w:rPr>
                      <w:rFonts w:hint="default" w:ascii="Times New Roman" w:hAnsi="Times New Roman" w:eastAsia="仿宋_GB2312" w:cs="Times New Roman"/>
                      <w:color w:val="auto"/>
                      <w:kern w:val="0"/>
                      <w:sz w:val="21"/>
                      <w:szCs w:val="21"/>
                    </w:rPr>
                    <w:t>本项目在现有厂区内实施，不属于搬迁关闭企业，不属于</w:t>
                  </w:r>
                  <w:r>
                    <w:rPr>
                      <w:rFonts w:hint="default" w:ascii="Times New Roman" w:hAnsi="Times New Roman" w:eastAsia="仿宋_GB2312" w:cs="Times New Roman"/>
                      <w:bCs/>
                      <w:color w:val="auto"/>
                      <w:sz w:val="21"/>
                      <w:szCs w:val="21"/>
                    </w:rPr>
                    <w:t>安全风险大、工艺设施落后、安全水平低的企业，不属于存储危险化学品及产生大量废水的企业。</w:t>
                  </w:r>
                </w:p>
                <w:p w14:paraId="09C0401C">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②本项目危险废物委托有资质单位处置，一般固废委外处置。固废处置率100%。企业设置了1座10m</w:t>
                  </w:r>
                  <w:r>
                    <w:rPr>
                      <w:rFonts w:hint="default" w:ascii="Times New Roman" w:hAnsi="Times New Roman" w:eastAsia="仿宋_GB2312" w:cs="Times New Roman"/>
                      <w:bCs/>
                      <w:color w:val="auto"/>
                      <w:sz w:val="21"/>
                      <w:szCs w:val="21"/>
                      <w:vertAlign w:val="superscript"/>
                    </w:rPr>
                    <w:t>2</w:t>
                  </w:r>
                  <w:r>
                    <w:rPr>
                      <w:rFonts w:hint="default" w:ascii="Times New Roman" w:hAnsi="Times New Roman" w:eastAsia="仿宋_GB2312" w:cs="Times New Roman"/>
                      <w:bCs/>
                      <w:color w:val="auto"/>
                      <w:sz w:val="21"/>
                      <w:szCs w:val="21"/>
                    </w:rPr>
                    <w:t>危废库、1座10m</w:t>
                  </w:r>
                  <w:r>
                    <w:rPr>
                      <w:rFonts w:hint="default" w:ascii="Times New Roman" w:hAnsi="Times New Roman" w:eastAsia="仿宋_GB2312" w:cs="Times New Roman"/>
                      <w:bCs/>
                      <w:color w:val="auto"/>
                      <w:sz w:val="21"/>
                      <w:szCs w:val="21"/>
                      <w:vertAlign w:val="superscript"/>
                    </w:rPr>
                    <w:t>2</w:t>
                  </w:r>
                  <w:r>
                    <w:rPr>
                      <w:rFonts w:hint="default" w:ascii="Times New Roman" w:hAnsi="Times New Roman" w:eastAsia="仿宋_GB2312" w:cs="Times New Roman"/>
                      <w:bCs/>
                      <w:color w:val="auto"/>
                      <w:sz w:val="21"/>
                      <w:szCs w:val="21"/>
                    </w:rPr>
                    <w:t>一般固废库，并配套防扬散、防流失、防渗漏等防止污染环境的措施。符合园区环境风险防控要求。</w:t>
                  </w:r>
                </w:p>
              </w:tc>
            </w:tr>
            <w:tr w14:paraId="2D739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tcBorders>
                    <w:tl2br w:val="nil"/>
                    <w:tr2bl w:val="nil"/>
                  </w:tcBorders>
                  <w:vAlign w:val="center"/>
                </w:tcPr>
                <w:p w14:paraId="4474C5FD">
                  <w:pPr>
                    <w:keepNext w:val="0"/>
                    <w:keepLines w:val="0"/>
                    <w:suppressLineNumbers w:val="0"/>
                    <w:adjustRightInd w:val="0"/>
                    <w:snapToGrid w:val="0"/>
                    <w:spacing w:before="0" w:beforeAutospacing="0" w:after="0" w:afterAutospacing="0" w:line="256"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资源开发效率要求</w:t>
                  </w:r>
                </w:p>
              </w:tc>
              <w:tc>
                <w:tcPr>
                  <w:tcW w:w="2517" w:type="pct"/>
                  <w:tcBorders>
                    <w:tl2br w:val="nil"/>
                    <w:tr2bl w:val="nil"/>
                  </w:tcBorders>
                  <w:vAlign w:val="center"/>
                </w:tcPr>
                <w:p w14:paraId="4476BA12">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（1）大力倡导使用清洁能源。</w:t>
                  </w:r>
                </w:p>
                <w:p w14:paraId="16F3198A">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（2）提升废水资源化技术，提高水资源回用率。</w:t>
                  </w:r>
                </w:p>
              </w:tc>
              <w:tc>
                <w:tcPr>
                  <w:tcW w:w="2125" w:type="pct"/>
                  <w:tcBorders>
                    <w:tl2br w:val="nil"/>
                    <w:tr2bl w:val="nil"/>
                  </w:tcBorders>
                  <w:vAlign w:val="center"/>
                </w:tcPr>
                <w:p w14:paraId="30BFB782">
                  <w:pPr>
                    <w:keepNext w:val="0"/>
                    <w:keepLines w:val="0"/>
                    <w:suppressLineNumbers w:val="0"/>
                    <w:adjustRightInd w:val="0"/>
                    <w:snapToGrid w:val="0"/>
                    <w:spacing w:before="0" w:beforeAutospacing="0" w:after="0" w:afterAutospacing="0" w:line="256" w:lineRule="exact"/>
                    <w:ind w:left="0" w:right="0"/>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本项目所用的资源主要为电、水、天然气等。本项目将蒸汽冷凝水和</w:t>
                  </w:r>
                  <w:r>
                    <w:rPr>
                      <w:rFonts w:hint="default" w:ascii="Times New Roman" w:hAnsi="Times New Roman" w:eastAsia="仿宋_GB2312" w:cs="Times New Roman"/>
                      <w:color w:val="auto"/>
                      <w:sz w:val="21"/>
                      <w:szCs w:val="21"/>
                    </w:rPr>
                    <w:t>经污水站处理后的水</w:t>
                  </w:r>
                  <w:r>
                    <w:rPr>
                      <w:rFonts w:hint="default" w:ascii="Times New Roman" w:hAnsi="Times New Roman" w:eastAsia="仿宋_GB2312" w:cs="Times New Roman"/>
                      <w:bCs/>
                      <w:color w:val="auto"/>
                      <w:sz w:val="21"/>
                      <w:szCs w:val="21"/>
                    </w:rPr>
                    <w:t>回用于循环冷却系统补水，减少了新鲜水用量，提高水资源重复利用率。</w:t>
                  </w:r>
                </w:p>
              </w:tc>
            </w:tr>
          </w:tbl>
          <w:p w14:paraId="59289DB9">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综上所述，本项目与</w:t>
            </w:r>
            <w:r>
              <w:rPr>
                <w:rFonts w:hint="eastAsia" w:eastAsia="仿宋_GB2312"/>
                <w:color w:val="auto"/>
                <w:kern w:val="0"/>
                <w:sz w:val="24"/>
                <w:lang w:val="en-US" w:eastAsia="zh-CN"/>
              </w:rPr>
              <w:t>《金坛金城科技产业园发展规划环境影响报告书》</w:t>
            </w:r>
            <w:r>
              <w:rPr>
                <w:rStyle w:val="130"/>
                <w:rFonts w:hint="default" w:eastAsia="仿宋_GB2312"/>
                <w:b w:val="0"/>
                <w:bCs w:val="0"/>
                <w:color w:val="auto"/>
                <w:sz w:val="24"/>
              </w:rPr>
              <w:t>及审查意见中生态环境准入清单</w:t>
            </w:r>
            <w:r>
              <w:rPr>
                <w:rStyle w:val="130"/>
                <w:rFonts w:hint="eastAsia" w:eastAsia="仿宋_GB2312"/>
                <w:b w:val="0"/>
                <w:bCs w:val="0"/>
                <w:color w:val="auto"/>
                <w:sz w:val="24"/>
              </w:rPr>
              <w:t>要求相符</w:t>
            </w:r>
            <w:r>
              <w:rPr>
                <w:rFonts w:hint="default" w:eastAsia="仿宋_GB2312"/>
                <w:color w:val="auto"/>
                <w:sz w:val="24"/>
              </w:rPr>
              <w:t>。</w:t>
            </w:r>
          </w:p>
          <w:p w14:paraId="29811481">
            <w:pPr>
              <w:keepNext w:val="0"/>
              <w:keepLines w:val="0"/>
              <w:suppressLineNumbers w:val="0"/>
              <w:spacing w:before="0" w:beforeAutospacing="0" w:after="0" w:afterAutospacing="0" w:line="500" w:lineRule="exact"/>
              <w:ind w:left="0" w:right="0"/>
              <w:rPr>
                <w:rStyle w:val="130"/>
                <w:rFonts w:hint="default" w:eastAsia="仿宋_GB2312"/>
                <w:color w:val="auto"/>
                <w:sz w:val="24"/>
              </w:rPr>
            </w:pPr>
            <w:r>
              <w:rPr>
                <w:rStyle w:val="130"/>
                <w:rFonts w:hint="default" w:eastAsia="仿宋_GB2312"/>
                <w:color w:val="auto"/>
                <w:sz w:val="24"/>
              </w:rPr>
              <w:t>二、相关生态环境保护法律法规政策相符性分析</w:t>
            </w:r>
          </w:p>
          <w:p w14:paraId="7479C591">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eastAsia" w:ascii="Times New Roman" w:hAnsi="Times New Roman" w:eastAsia="仿宋_GB2312" w:cs="Times New Roman"/>
                <w:color w:val="auto"/>
                <w:sz w:val="24"/>
                <w:szCs w:val="24"/>
                <w:lang w:val="en-US" w:eastAsia="zh-CN" w:bidi="ar"/>
              </w:rPr>
            </w:pPr>
            <w:r>
              <w:rPr>
                <w:rFonts w:hint="default" w:eastAsia="仿宋_GB2312"/>
                <w:color w:val="auto"/>
                <w:kern w:val="0"/>
                <w:sz w:val="24"/>
              </w:rPr>
              <w:t>（1）对照与《产业结构调整指导目录（2024年本）》相符性分析，</w:t>
            </w:r>
            <w:r>
              <w:rPr>
                <w:rFonts w:hint="eastAsia" w:ascii="Times New Roman" w:hAnsi="Times New Roman" w:eastAsia="仿宋_GB2312" w:cs="Times New Roman"/>
                <w:color w:val="auto"/>
                <w:kern w:val="2"/>
                <w:sz w:val="24"/>
                <w:szCs w:val="24"/>
                <w:lang w:val="en-US" w:eastAsia="zh-CN" w:bidi="ar"/>
              </w:rPr>
              <w:t>本项目</w:t>
            </w:r>
            <w:r>
              <w:rPr>
                <w:rFonts w:hint="eastAsia" w:eastAsia="仿宋_GB2312" w:cs="Times New Roman"/>
                <w:color w:val="auto"/>
                <w:kern w:val="2"/>
                <w:sz w:val="24"/>
                <w:szCs w:val="24"/>
                <w:lang w:val="en-US" w:eastAsia="zh-CN" w:bidi="ar"/>
              </w:rPr>
              <w:t>不属于限制和淘汰类项目</w:t>
            </w:r>
            <w:r>
              <w:rPr>
                <w:rFonts w:hint="eastAsia" w:ascii="Times New Roman" w:hAnsi="Times New Roman" w:eastAsia="仿宋_GB2312" w:cs="Times New Roman"/>
                <w:color w:val="auto"/>
                <w:sz w:val="24"/>
                <w:szCs w:val="24"/>
                <w:lang w:val="en-US" w:eastAsia="zh-CN" w:bidi="ar"/>
              </w:rPr>
              <w:t>。</w:t>
            </w:r>
          </w:p>
          <w:p w14:paraId="6E9EB7BC">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eastAsia" w:eastAsia="仿宋_GB2312"/>
                <w:color w:val="auto"/>
                <w:kern w:val="0"/>
                <w:sz w:val="24"/>
                <w:lang w:eastAsia="zh-CN"/>
              </w:rPr>
            </w:pPr>
            <w:r>
              <w:rPr>
                <w:rFonts w:hint="default" w:eastAsia="仿宋_GB2312"/>
                <w:color w:val="auto"/>
                <w:kern w:val="0"/>
                <w:sz w:val="24"/>
              </w:rPr>
              <w:t>（2）对照与《江苏省太湖流域禁止和限制的产业产品目录（2024年本）》（苏发改规发[2024]3号）相符性分析</w:t>
            </w:r>
            <w:r>
              <w:rPr>
                <w:rFonts w:hint="eastAsia" w:eastAsia="仿宋_GB2312"/>
                <w:color w:val="auto"/>
                <w:kern w:val="0"/>
                <w:sz w:val="24"/>
                <w:lang w:eastAsia="zh-CN"/>
              </w:rPr>
              <w:t>，本项目不属于《江苏省太湖流域禁止和限制的产业产品目录（2024年本）》（苏发改规发[2024]3号）中限制、淘汰和禁止类项目。</w:t>
            </w:r>
          </w:p>
          <w:p w14:paraId="0DEBFE66">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bCs/>
                <w:color w:val="auto"/>
                <w:kern w:val="0"/>
                <w:sz w:val="24"/>
              </w:rPr>
            </w:pPr>
            <w:r>
              <w:rPr>
                <w:rFonts w:hint="default" w:eastAsia="仿宋_GB2312"/>
                <w:b/>
                <w:bCs/>
                <w:color w:val="auto"/>
                <w:kern w:val="0"/>
                <w:sz w:val="24"/>
              </w:rPr>
              <w:t>（3）与《&lt;长江经济带发展负面清单指南&gt;（试行，2022年版）》（长江办[2022]7号）的相符性分析</w:t>
            </w:r>
          </w:p>
          <w:p w14:paraId="7CE3303E">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对照《&lt;长江经济带发展负面清单指南&gt;（试行，2022年版）》（长江办[2022]7号），分析如下：</w:t>
            </w:r>
          </w:p>
          <w:p w14:paraId="490B9BC1">
            <w:pPr>
              <w:keepNext w:val="0"/>
              <w:keepLines w:val="0"/>
              <w:suppressLineNumbers w:val="0"/>
              <w:spacing w:before="0" w:beforeAutospacing="0" w:after="0" w:afterAutospacing="0"/>
              <w:ind w:left="0" w:right="0" w:firstLine="48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表1</w:t>
            </w:r>
            <w:r>
              <w:rPr>
                <w:rFonts w:hint="eastAsia" w:eastAsia="仿宋_GB2312" w:cs="Times New Roman"/>
                <w:b/>
                <w:color w:val="auto"/>
                <w:sz w:val="21"/>
                <w:szCs w:val="21"/>
                <w:lang w:val="en-US" w:eastAsia="zh-CN"/>
              </w:rPr>
              <w:t>-2</w:t>
            </w:r>
            <w:r>
              <w:rPr>
                <w:rFonts w:hint="default" w:ascii="Times New Roman" w:hAnsi="Times New Roman" w:eastAsia="仿宋_GB2312" w:cs="Times New Roman"/>
                <w:b/>
                <w:color w:val="auto"/>
                <w:sz w:val="21"/>
                <w:szCs w:val="21"/>
              </w:rPr>
              <w:t xml:space="preserve"> 与长江办发[2022]7号文对照分析</w:t>
            </w:r>
          </w:p>
          <w:tbl>
            <w:tblPr>
              <w:tblStyle w:val="8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44"/>
              <w:gridCol w:w="4264"/>
              <w:gridCol w:w="3621"/>
            </w:tblGrid>
            <w:tr w14:paraId="744E61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31" w:type="pct"/>
                  <w:tcBorders>
                    <w:tl2br w:val="nil"/>
                    <w:tr2bl w:val="nil"/>
                  </w:tcBorders>
                  <w:vAlign w:val="center"/>
                </w:tcPr>
                <w:p w14:paraId="6FE8FD8C">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b/>
                      <w:color w:val="auto"/>
                      <w:kern w:val="2"/>
                      <w:sz w:val="21"/>
                      <w:szCs w:val="21"/>
                    </w:rPr>
                  </w:pPr>
                  <w:r>
                    <w:rPr>
                      <w:rFonts w:hint="default" w:ascii="Times New Roman" w:hAnsi="Times New Roman" w:eastAsia="仿宋_GB2312" w:cs="Times New Roman"/>
                      <w:b/>
                      <w:color w:val="auto"/>
                      <w:kern w:val="2"/>
                      <w:sz w:val="21"/>
                      <w:szCs w:val="21"/>
                    </w:rPr>
                    <w:t>序号</w:t>
                  </w:r>
                </w:p>
              </w:tc>
              <w:tc>
                <w:tcPr>
                  <w:tcW w:w="2471" w:type="pct"/>
                  <w:tcBorders>
                    <w:tl2br w:val="nil"/>
                    <w:tr2bl w:val="nil"/>
                  </w:tcBorders>
                  <w:vAlign w:val="center"/>
                </w:tcPr>
                <w:p w14:paraId="3190F75A">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b/>
                      <w:color w:val="auto"/>
                      <w:kern w:val="2"/>
                      <w:sz w:val="21"/>
                      <w:szCs w:val="21"/>
                    </w:rPr>
                  </w:pPr>
                  <w:r>
                    <w:rPr>
                      <w:rFonts w:hint="default" w:ascii="Times New Roman" w:hAnsi="Times New Roman" w:eastAsia="仿宋_GB2312" w:cs="Times New Roman"/>
                      <w:b/>
                      <w:color w:val="auto"/>
                      <w:kern w:val="2"/>
                      <w:sz w:val="21"/>
                      <w:szCs w:val="21"/>
                    </w:rPr>
                    <w:t>文件要求</w:t>
                  </w:r>
                </w:p>
              </w:tc>
              <w:tc>
                <w:tcPr>
                  <w:tcW w:w="2098" w:type="pct"/>
                  <w:tcBorders>
                    <w:tl2br w:val="nil"/>
                    <w:tr2bl w:val="nil"/>
                  </w:tcBorders>
                  <w:vAlign w:val="center"/>
                </w:tcPr>
                <w:p w14:paraId="64A9A2E2">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b/>
                      <w:color w:val="auto"/>
                      <w:kern w:val="2"/>
                      <w:sz w:val="21"/>
                      <w:szCs w:val="21"/>
                    </w:rPr>
                  </w:pPr>
                  <w:r>
                    <w:rPr>
                      <w:rFonts w:hint="default" w:ascii="Times New Roman" w:hAnsi="Times New Roman" w:eastAsia="仿宋_GB2312" w:cs="Times New Roman"/>
                      <w:b/>
                      <w:color w:val="auto"/>
                      <w:kern w:val="2"/>
                      <w:sz w:val="21"/>
                      <w:szCs w:val="21"/>
                    </w:rPr>
                    <w:t>对照分析</w:t>
                  </w:r>
                </w:p>
              </w:tc>
            </w:tr>
            <w:tr w14:paraId="1C1730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47DDD3CC">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1</w:t>
                  </w:r>
                </w:p>
              </w:tc>
              <w:tc>
                <w:tcPr>
                  <w:tcW w:w="2471" w:type="pct"/>
                  <w:tcBorders>
                    <w:tl2br w:val="nil"/>
                    <w:tr2bl w:val="nil"/>
                  </w:tcBorders>
                  <w:vAlign w:val="center"/>
                </w:tcPr>
                <w:p w14:paraId="489BBE39">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禁止建设不符合全国和省级港口布局规划以及港口总体规划的码头项目，禁止建设不符合《长江干线过江通道布局规划》的过长江通道项目。</w:t>
                  </w:r>
                </w:p>
              </w:tc>
              <w:tc>
                <w:tcPr>
                  <w:tcW w:w="2098" w:type="pct"/>
                  <w:tcBorders>
                    <w:tl2br w:val="nil"/>
                    <w:tr2bl w:val="nil"/>
                  </w:tcBorders>
                  <w:vAlign w:val="center"/>
                </w:tcPr>
                <w:p w14:paraId="535172E3">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highlight w:val="yellow"/>
                    </w:rPr>
                  </w:pPr>
                  <w:r>
                    <w:rPr>
                      <w:rFonts w:hint="default" w:ascii="Times New Roman" w:hAnsi="Times New Roman" w:eastAsia="仿宋_GB2312" w:cs="Times New Roman"/>
                      <w:color w:val="auto"/>
                      <w:spacing w:val="-2"/>
                      <w:kern w:val="2"/>
                      <w:sz w:val="21"/>
                      <w:szCs w:val="21"/>
                    </w:rPr>
                    <w:t>本项目不属于码头项目及过长江通道项目。因此，符合文件要求。</w:t>
                  </w:r>
                </w:p>
              </w:tc>
            </w:tr>
            <w:tr w14:paraId="6575F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3E9F8730">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2</w:t>
                  </w:r>
                </w:p>
              </w:tc>
              <w:tc>
                <w:tcPr>
                  <w:tcW w:w="2471" w:type="pct"/>
                  <w:tcBorders>
                    <w:tl2br w:val="nil"/>
                    <w:tr2bl w:val="nil"/>
                  </w:tcBorders>
                  <w:vAlign w:val="center"/>
                </w:tcPr>
                <w:p w14:paraId="39B2934C">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098" w:type="pct"/>
                  <w:tcBorders>
                    <w:tl2br w:val="nil"/>
                    <w:tr2bl w:val="nil"/>
                  </w:tcBorders>
                  <w:vAlign w:val="center"/>
                </w:tcPr>
                <w:p w14:paraId="454F709D">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highlight w:val="yellow"/>
                    </w:rPr>
                  </w:pPr>
                  <w:r>
                    <w:rPr>
                      <w:rFonts w:hint="default" w:ascii="Times New Roman" w:hAnsi="Times New Roman" w:eastAsia="仿宋_GB2312" w:cs="Times New Roman"/>
                      <w:color w:val="auto"/>
                      <w:spacing w:val="-2"/>
                      <w:kern w:val="2"/>
                      <w:sz w:val="21"/>
                      <w:szCs w:val="21"/>
                    </w:rPr>
                    <w:t>本项目</w:t>
                  </w:r>
                  <w:bookmarkStart w:id="3" w:name="OLE_LINK44"/>
                  <w:r>
                    <w:rPr>
                      <w:rFonts w:hint="default" w:ascii="Times New Roman" w:hAnsi="Times New Roman" w:eastAsia="仿宋_GB2312" w:cs="Times New Roman"/>
                      <w:color w:val="auto"/>
                      <w:spacing w:val="-2"/>
                      <w:kern w:val="2"/>
                      <w:sz w:val="21"/>
                      <w:szCs w:val="21"/>
                    </w:rPr>
                    <w:t>位于金坛金城科技产业园内，</w:t>
                  </w:r>
                  <w:bookmarkEnd w:id="3"/>
                  <w:r>
                    <w:rPr>
                      <w:rFonts w:hint="default" w:ascii="Times New Roman" w:hAnsi="Times New Roman" w:eastAsia="仿宋_GB2312" w:cs="Times New Roman"/>
                      <w:color w:val="auto"/>
                      <w:spacing w:val="-2"/>
                      <w:kern w:val="2"/>
                      <w:sz w:val="21"/>
                      <w:szCs w:val="21"/>
                    </w:rPr>
                    <w:t>不在自然保护区核心区、缓冲区及风景名胜区核心景区的岸线和河段范围内。因此，符合文件要求。</w:t>
                  </w:r>
                </w:p>
              </w:tc>
            </w:tr>
            <w:tr w14:paraId="4ABA33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385BA292">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3</w:t>
                  </w:r>
                </w:p>
              </w:tc>
              <w:tc>
                <w:tcPr>
                  <w:tcW w:w="2471" w:type="pct"/>
                  <w:tcBorders>
                    <w:tl2br w:val="nil"/>
                    <w:tr2bl w:val="nil"/>
                  </w:tcBorders>
                  <w:vAlign w:val="center"/>
                </w:tcPr>
                <w:p w14:paraId="5CE8CB37">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在饮用水水源一级保护区的岸线和河段范围内新建、改建、扩建与供水设施和保护水源无关的项目，以及网箱养殖、禽畜养殖、旅游等可能污染饮用水水体的投资建设项目。禁止在饮用水水源二级保护区的岸线和河段范围内新建、改建、扩建排放的污染物的投资建设项目。</w:t>
                  </w:r>
                </w:p>
              </w:tc>
              <w:tc>
                <w:tcPr>
                  <w:tcW w:w="2098" w:type="pct"/>
                  <w:tcBorders>
                    <w:tl2br w:val="nil"/>
                    <w:tr2bl w:val="nil"/>
                  </w:tcBorders>
                  <w:vAlign w:val="center"/>
                </w:tcPr>
                <w:p w14:paraId="4D333AC3">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sz w:val="21"/>
                      <w:szCs w:val="21"/>
                    </w:rPr>
                    <w:t>本项目不在饮用水水源一级、二级保护区的岸线和河段范围内</w:t>
                  </w:r>
                  <w:r>
                    <w:rPr>
                      <w:rFonts w:hint="default" w:ascii="Times New Roman" w:hAnsi="Times New Roman" w:eastAsia="仿宋_GB2312" w:cs="Times New Roman"/>
                      <w:color w:val="auto"/>
                      <w:sz w:val="21"/>
                      <w:szCs w:val="21"/>
                    </w:rPr>
                    <w:t>。因此，符合文件要求。</w:t>
                  </w:r>
                </w:p>
              </w:tc>
            </w:tr>
            <w:tr w14:paraId="79B39A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565B3D21">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4</w:t>
                  </w:r>
                </w:p>
              </w:tc>
              <w:tc>
                <w:tcPr>
                  <w:tcW w:w="2471" w:type="pct"/>
                  <w:tcBorders>
                    <w:tl2br w:val="nil"/>
                    <w:tr2bl w:val="nil"/>
                  </w:tcBorders>
                  <w:vAlign w:val="center"/>
                </w:tcPr>
                <w:p w14:paraId="5391DF7F">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禁止在水产种质资源保护区的岸线和河段范围内新建围湖造田、围湖造地或围填海等投资建设项目。禁止在国家湿地公园的岸线和河段范围内挖沙、采矿，以及任何不符合主体功能定位的投资建设项目。</w:t>
                  </w:r>
                </w:p>
              </w:tc>
              <w:tc>
                <w:tcPr>
                  <w:tcW w:w="2098" w:type="pct"/>
                  <w:tcBorders>
                    <w:tl2br w:val="nil"/>
                    <w:tr2bl w:val="nil"/>
                  </w:tcBorders>
                  <w:vAlign w:val="center"/>
                </w:tcPr>
                <w:p w14:paraId="24F42D1F">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highlight w:val="yellow"/>
                    </w:rPr>
                  </w:pPr>
                  <w:r>
                    <w:rPr>
                      <w:rFonts w:hint="default" w:ascii="Times New Roman" w:hAnsi="Times New Roman" w:eastAsia="仿宋_GB2312" w:cs="Times New Roman"/>
                      <w:color w:val="auto"/>
                      <w:spacing w:val="-2"/>
                      <w:kern w:val="2"/>
                      <w:sz w:val="21"/>
                      <w:szCs w:val="21"/>
                    </w:rPr>
                    <w:t>本项目不属于围湖造田、围湖造地或围填海项目，也不属于挖沙、采砂项目。对照总体规划和区域规划环评，本项目建设符合总体规划及规划环评的产业发展定位要求</w:t>
                  </w:r>
                  <w:r>
                    <w:rPr>
                      <w:rFonts w:hint="default" w:ascii="Times New Roman" w:hAnsi="Times New Roman" w:eastAsia="仿宋_GB2312" w:cs="Times New Roman"/>
                      <w:color w:val="auto"/>
                      <w:kern w:val="2"/>
                      <w:sz w:val="21"/>
                      <w:szCs w:val="21"/>
                    </w:rPr>
                    <w:t>。因此，符合文件要求。</w:t>
                  </w:r>
                </w:p>
              </w:tc>
            </w:tr>
            <w:tr w14:paraId="7D928E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133E0C70">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5</w:t>
                  </w:r>
                </w:p>
              </w:tc>
              <w:tc>
                <w:tcPr>
                  <w:tcW w:w="2471" w:type="pct"/>
                  <w:tcBorders>
                    <w:tl2br w:val="nil"/>
                    <w:tr2bl w:val="nil"/>
                  </w:tcBorders>
                  <w:vAlign w:val="center"/>
                </w:tcPr>
                <w:p w14:paraId="43F41B32">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违法利用、占用长江流域河湖岸线。禁止在《长江岸线保护和开发利用总体规划》划定的岸线保护区和保留区内投资建设除事关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098" w:type="pct"/>
                  <w:tcBorders>
                    <w:tl2br w:val="nil"/>
                    <w:tr2bl w:val="nil"/>
                  </w:tcBorders>
                  <w:vAlign w:val="center"/>
                </w:tcPr>
                <w:p w14:paraId="2BB2B548">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highlight w:val="yellow"/>
                    </w:rPr>
                  </w:pPr>
                  <w:r>
                    <w:rPr>
                      <w:rFonts w:hint="default" w:ascii="Times New Roman" w:hAnsi="Times New Roman" w:eastAsia="仿宋_GB2312" w:cs="Times New Roman"/>
                      <w:color w:val="auto"/>
                      <w:spacing w:val="-2"/>
                      <w:kern w:val="2"/>
                      <w:sz w:val="21"/>
                      <w:szCs w:val="21"/>
                    </w:rPr>
                    <w:t>本项目不利用或占用长江流域河湖岸线，且本项目不在《长江岸线保护和开发利用总体规划》划定的岸线保护区和保留区内，也不在《全国重要江河湖泊水功能区划》划定的河段及湖泊保护区、保留区内。因此，符合文件要求。</w:t>
                  </w:r>
                </w:p>
              </w:tc>
            </w:tr>
            <w:tr w14:paraId="30B04B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38A1E0DD">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6</w:t>
                  </w:r>
                </w:p>
              </w:tc>
              <w:tc>
                <w:tcPr>
                  <w:tcW w:w="2471" w:type="pct"/>
                  <w:tcBorders>
                    <w:tl2br w:val="nil"/>
                    <w:tr2bl w:val="nil"/>
                  </w:tcBorders>
                  <w:vAlign w:val="center"/>
                </w:tcPr>
                <w:p w14:paraId="652EE037">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禁止未经许可在长江干支流及湖泊新设、改设或扩大排污口。</w:t>
                  </w:r>
                </w:p>
              </w:tc>
              <w:tc>
                <w:tcPr>
                  <w:tcW w:w="2098" w:type="pct"/>
                  <w:tcBorders>
                    <w:tl2br w:val="nil"/>
                    <w:tr2bl w:val="nil"/>
                  </w:tcBorders>
                  <w:vAlign w:val="center"/>
                </w:tcPr>
                <w:p w14:paraId="50A13C78">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本项目不涉及在长江干支流及湖泊新设、改设或扩大排污口的情形，符合文件要求。</w:t>
                  </w:r>
                </w:p>
              </w:tc>
            </w:tr>
            <w:tr w14:paraId="3C4062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1A6E14A0">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7</w:t>
                  </w:r>
                </w:p>
              </w:tc>
              <w:tc>
                <w:tcPr>
                  <w:tcW w:w="2471" w:type="pct"/>
                  <w:tcBorders>
                    <w:tl2br w:val="nil"/>
                    <w:tr2bl w:val="nil"/>
                  </w:tcBorders>
                  <w:vAlign w:val="center"/>
                </w:tcPr>
                <w:p w14:paraId="67D768D8">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禁止在“一江一口两湖七河”和332个水生生物保护区开展生产性捕捞。</w:t>
                  </w:r>
                </w:p>
              </w:tc>
              <w:tc>
                <w:tcPr>
                  <w:tcW w:w="2098" w:type="pct"/>
                  <w:tcBorders>
                    <w:tl2br w:val="nil"/>
                    <w:tr2bl w:val="nil"/>
                  </w:tcBorders>
                  <w:vAlign w:val="center"/>
                </w:tcPr>
                <w:p w14:paraId="4C6F7616">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本项目不涉及</w:t>
                  </w:r>
                  <w:r>
                    <w:rPr>
                      <w:rFonts w:hint="default" w:ascii="Times New Roman" w:hAnsi="Times New Roman" w:eastAsia="仿宋_GB2312" w:cs="Times New Roman"/>
                      <w:color w:val="auto"/>
                      <w:spacing w:val="-2"/>
                      <w:kern w:val="2"/>
                      <w:sz w:val="21"/>
                      <w:szCs w:val="21"/>
                    </w:rPr>
                    <w:t>在“一江一口两湖七河”和332个水生生物保护区开展生产性捕捞。因此，符合文件要求。</w:t>
                  </w:r>
                </w:p>
              </w:tc>
            </w:tr>
            <w:tr w14:paraId="7F962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5AC3EA3A">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8</w:t>
                  </w:r>
                </w:p>
              </w:tc>
              <w:tc>
                <w:tcPr>
                  <w:tcW w:w="2471" w:type="pct"/>
                  <w:tcBorders>
                    <w:tl2br w:val="nil"/>
                    <w:tr2bl w:val="nil"/>
                  </w:tcBorders>
                  <w:vAlign w:val="center"/>
                </w:tcPr>
                <w:p w14:paraId="707E7A8E">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098" w:type="pct"/>
                  <w:vMerge w:val="restart"/>
                  <w:tcBorders>
                    <w:tl2br w:val="nil"/>
                    <w:tr2bl w:val="nil"/>
                  </w:tcBorders>
                  <w:vAlign w:val="center"/>
                </w:tcPr>
                <w:p w14:paraId="79FCF496">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本项目位于</w:t>
                  </w:r>
                  <w:r>
                    <w:rPr>
                      <w:rFonts w:hint="default" w:ascii="Times New Roman" w:hAnsi="Times New Roman" w:eastAsia="仿宋_GB2312" w:cs="Times New Roman"/>
                      <w:color w:val="auto"/>
                      <w:spacing w:val="-2"/>
                      <w:kern w:val="2"/>
                      <w:sz w:val="21"/>
                      <w:szCs w:val="21"/>
                    </w:rPr>
                    <w:t>金坛金城科技产业园内</w:t>
                  </w:r>
                  <w:r>
                    <w:rPr>
                      <w:rFonts w:hint="default" w:ascii="Times New Roman" w:hAnsi="Times New Roman" w:eastAsia="仿宋_GB2312" w:cs="Times New Roman"/>
                      <w:color w:val="auto"/>
                      <w:kern w:val="2"/>
                      <w:sz w:val="21"/>
                      <w:szCs w:val="21"/>
                    </w:rPr>
                    <w:t>，不在长江干支流、</w:t>
                  </w:r>
                  <w:r>
                    <w:rPr>
                      <w:rFonts w:hint="default" w:ascii="Times New Roman" w:hAnsi="Times New Roman" w:eastAsia="仿宋_GB2312" w:cs="Times New Roman"/>
                      <w:color w:val="auto"/>
                      <w:spacing w:val="-2"/>
                      <w:kern w:val="2"/>
                      <w:sz w:val="21"/>
                      <w:szCs w:val="21"/>
                    </w:rPr>
                    <w:t>重要湖泊岸线一公里范围内，</w:t>
                  </w:r>
                  <w:r>
                    <w:rPr>
                      <w:rFonts w:hint="default" w:ascii="Times New Roman" w:hAnsi="Times New Roman" w:eastAsia="仿宋_GB2312" w:cs="Times New Roman"/>
                      <w:color w:val="auto"/>
                      <w:kern w:val="2"/>
                      <w:sz w:val="21"/>
                      <w:szCs w:val="21"/>
                    </w:rPr>
                    <w:t>不属于</w:t>
                  </w:r>
                  <w:r>
                    <w:rPr>
                      <w:rFonts w:hint="default" w:ascii="Times New Roman" w:hAnsi="Times New Roman" w:eastAsia="仿宋_GB2312" w:cs="Times New Roman"/>
                      <w:color w:val="auto"/>
                      <w:spacing w:val="-2"/>
                      <w:kern w:val="2"/>
                      <w:sz w:val="21"/>
                      <w:szCs w:val="21"/>
                    </w:rPr>
                    <w:t>尾矿库、冶炼渣库和磷石膏库项目，不属于石化、现代煤化工项目，不属于法律法规和相关政策明令禁止的落后产能项目，不属于不符合国家产能置换要求的严重过剩产能行业的项目，也不属于不符合要求的高耗能高排放项目。因此，符合文件要求。</w:t>
                  </w:r>
                </w:p>
              </w:tc>
            </w:tr>
            <w:tr w14:paraId="079A6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4974F35A">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9</w:t>
                  </w:r>
                </w:p>
              </w:tc>
              <w:tc>
                <w:tcPr>
                  <w:tcW w:w="2471" w:type="pct"/>
                  <w:tcBorders>
                    <w:tl2br w:val="nil"/>
                    <w:tr2bl w:val="nil"/>
                  </w:tcBorders>
                  <w:vAlign w:val="center"/>
                </w:tcPr>
                <w:p w14:paraId="6981A733">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禁止在合规园区外新建、扩建钢铁、石化、化工、焦化、建材、有色、制浆造纸等高污染项目。</w:t>
                  </w:r>
                </w:p>
              </w:tc>
              <w:tc>
                <w:tcPr>
                  <w:tcW w:w="2098" w:type="pct"/>
                  <w:vMerge w:val="continue"/>
                  <w:tcBorders>
                    <w:tl2br w:val="nil"/>
                    <w:tr2bl w:val="nil"/>
                  </w:tcBorders>
                  <w:vAlign w:val="center"/>
                </w:tcPr>
                <w:p w14:paraId="356919BF">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kern w:val="2"/>
                      <w:sz w:val="21"/>
                      <w:szCs w:val="21"/>
                    </w:rPr>
                  </w:pPr>
                </w:p>
              </w:tc>
            </w:tr>
            <w:tr w14:paraId="4DFF3F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l2br w:val="nil"/>
                    <w:tr2bl w:val="nil"/>
                  </w:tcBorders>
                  <w:vAlign w:val="center"/>
                </w:tcPr>
                <w:p w14:paraId="406C901C">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10</w:t>
                  </w:r>
                </w:p>
              </w:tc>
              <w:tc>
                <w:tcPr>
                  <w:tcW w:w="2471" w:type="pct"/>
                  <w:tcBorders>
                    <w:tl2br w:val="nil"/>
                    <w:tr2bl w:val="nil"/>
                  </w:tcBorders>
                  <w:vAlign w:val="center"/>
                </w:tcPr>
                <w:p w14:paraId="4F5F8F3A">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禁止新建、扩建不符合国家石化、现代煤化工等产业布局规划的项目。</w:t>
                  </w:r>
                </w:p>
              </w:tc>
              <w:tc>
                <w:tcPr>
                  <w:tcW w:w="2098" w:type="pct"/>
                  <w:vMerge w:val="continue"/>
                  <w:tcBorders>
                    <w:tl2br w:val="nil"/>
                    <w:tr2bl w:val="nil"/>
                  </w:tcBorders>
                  <w:vAlign w:val="center"/>
                </w:tcPr>
                <w:p w14:paraId="6D3D57FD">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kern w:val="2"/>
                      <w:sz w:val="21"/>
                      <w:szCs w:val="21"/>
                    </w:rPr>
                  </w:pPr>
                </w:p>
              </w:tc>
            </w:tr>
            <w:tr w14:paraId="4D0AE5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431" w:type="pct"/>
                  <w:tcBorders>
                    <w:tl2br w:val="nil"/>
                    <w:tr2bl w:val="nil"/>
                  </w:tcBorders>
                  <w:vAlign w:val="center"/>
                </w:tcPr>
                <w:p w14:paraId="1B8BB2BC">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11</w:t>
                  </w:r>
                </w:p>
              </w:tc>
              <w:tc>
                <w:tcPr>
                  <w:tcW w:w="2471" w:type="pct"/>
                  <w:tcBorders>
                    <w:tl2br w:val="nil"/>
                    <w:tr2bl w:val="nil"/>
                  </w:tcBorders>
                  <w:vAlign w:val="center"/>
                </w:tcPr>
                <w:p w14:paraId="1CE28BC8">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spacing w:val="-2"/>
                      <w:kern w:val="2"/>
                      <w:sz w:val="21"/>
                      <w:szCs w:val="21"/>
                    </w:rPr>
                  </w:pPr>
                  <w:r>
                    <w:rPr>
                      <w:rFonts w:hint="default" w:ascii="Times New Roman" w:hAnsi="Times New Roman" w:eastAsia="仿宋_GB2312" w:cs="Times New Roman"/>
                      <w:color w:val="auto"/>
                      <w:spacing w:val="-2"/>
                      <w:kern w:val="2"/>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2098" w:type="pct"/>
                  <w:vMerge w:val="continue"/>
                  <w:tcBorders>
                    <w:tl2br w:val="nil"/>
                    <w:tr2bl w:val="nil"/>
                  </w:tcBorders>
                  <w:vAlign w:val="center"/>
                </w:tcPr>
                <w:p w14:paraId="20952FEA">
                  <w:pPr>
                    <w:pStyle w:val="165"/>
                    <w:keepNext w:val="0"/>
                    <w:keepLines w:val="0"/>
                    <w:suppressLineNumbers w:val="0"/>
                    <w:adjustRightInd w:val="0"/>
                    <w:snapToGrid w:val="0"/>
                    <w:spacing w:before="0" w:beforeAutospacing="0" w:after="0" w:afterAutospacing="0" w:line="320" w:lineRule="exact"/>
                    <w:ind w:left="0" w:right="0"/>
                    <w:jc w:val="both"/>
                    <w:rPr>
                      <w:rFonts w:hint="default" w:ascii="Times New Roman" w:hAnsi="Times New Roman" w:eastAsia="仿宋_GB2312" w:cs="Times New Roman"/>
                      <w:color w:val="auto"/>
                      <w:kern w:val="2"/>
                      <w:sz w:val="21"/>
                      <w:szCs w:val="21"/>
                    </w:rPr>
                  </w:pPr>
                </w:p>
              </w:tc>
            </w:tr>
          </w:tbl>
          <w:p w14:paraId="03B05208">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由上表可知，本项目符合长江办[2022]7号文的相关要求。</w:t>
            </w:r>
          </w:p>
          <w:p w14:paraId="09AF5793">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bCs/>
                <w:color w:val="auto"/>
                <w:kern w:val="0"/>
                <w:sz w:val="24"/>
              </w:rPr>
            </w:pPr>
            <w:r>
              <w:rPr>
                <w:rFonts w:hint="default" w:eastAsia="仿宋_GB2312"/>
                <w:b/>
                <w:bCs/>
                <w:color w:val="auto"/>
                <w:kern w:val="0"/>
                <w:sz w:val="24"/>
              </w:rPr>
              <w:t>（4）与《太湖流域管理条例》（中华人民共和国国务院令第604号）相符性分析</w:t>
            </w:r>
          </w:p>
          <w:p w14:paraId="2655E1C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第二十九条：新孟河、望虞河以外的其他主要入太湖河道，自河口1万米上溯至5万米河道岸线内及其岸线两侧各1000米范围内，禁止下列行为：</w:t>
            </w:r>
          </w:p>
          <w:p w14:paraId="7FF0351A">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①新建、扩建化工、医药生产项目；</w:t>
            </w:r>
          </w:p>
          <w:p w14:paraId="20B8E09B">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②新建、扩建污水集中处理设施排污口以外的排污口；</w:t>
            </w:r>
          </w:p>
          <w:p w14:paraId="3DC35049">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③扩大水产养殖规模。</w:t>
            </w:r>
          </w:p>
          <w:p w14:paraId="589629D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7E9E3CFD">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①设置剧毒物质、危险化学品的贮存、输送设施和废物回收场、垃圾场；</w:t>
            </w:r>
          </w:p>
          <w:p w14:paraId="1C1418B8">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②设置水上餐饮经营设施；</w:t>
            </w:r>
          </w:p>
          <w:p w14:paraId="1DBD9B4E">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③新建、扩建高尔夫球场；</w:t>
            </w:r>
          </w:p>
          <w:p w14:paraId="6268A779">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④新建、扩建畜禽养殖场；</w:t>
            </w:r>
          </w:p>
          <w:p w14:paraId="5689162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⑤新建、扩建向水体排放污染物的建设项目；</w:t>
            </w:r>
          </w:p>
          <w:p w14:paraId="6C50E224">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⑥本条例第二十九条规定的行为。</w:t>
            </w:r>
          </w:p>
          <w:p w14:paraId="2F0F096B">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对照分析：本项目位于金坛金坛金城科技产业园，不位于该条例中第二十九条、第三十条规定的禁止建设范围内。因此本项目符合《太湖流域管理条例》（中华人民共和国国务院令第604号）相关规定。</w:t>
            </w:r>
          </w:p>
          <w:p w14:paraId="6FA3A7A0">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（5）与《江苏省太湖水污染防治条例》相符性分析</w:t>
            </w:r>
          </w:p>
          <w:p w14:paraId="3775387C">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“第四十三条  太湖流域一、二、三级保护区禁止下列行为：</w:t>
            </w:r>
          </w:p>
          <w:p w14:paraId="713D851C">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（一）新建、改建、扩建化学制浆造纸、制革、酿造、染料、印染、电镀以及其他排放含磷、氮等污染物的企业和项目，城镇污水集中处理等环境基础设施项目和第四十六条规定的情形除外；……“</w:t>
            </w:r>
          </w:p>
          <w:p w14:paraId="1896B113">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“第四十六条  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p>
          <w:p w14:paraId="56617A6E">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对照分析：本项目位于金坛区金城科技产业园，本项目食品用原料（γ-氨基丁酸）</w:t>
            </w:r>
            <w:r>
              <w:rPr>
                <w:rFonts w:hint="eastAsia" w:eastAsia="仿宋_GB2312"/>
                <w:color w:val="auto"/>
                <w:kern w:val="0"/>
                <w:sz w:val="24"/>
                <w:lang w:eastAsia="zh-CN"/>
              </w:rPr>
              <w:t>和</w:t>
            </w:r>
            <w:r>
              <w:rPr>
                <w:rFonts w:hint="default" w:eastAsia="仿宋_GB2312"/>
                <w:color w:val="auto"/>
                <w:kern w:val="0"/>
                <w:sz w:val="24"/>
              </w:rPr>
              <w:t>保健食品粉（二氢槲皮素</w:t>
            </w:r>
            <w:r>
              <w:rPr>
                <w:rFonts w:hint="eastAsia" w:eastAsia="仿宋_GB2312"/>
                <w:color w:val="auto"/>
                <w:kern w:val="0"/>
                <w:sz w:val="24"/>
                <w:lang w:eastAsia="zh-CN"/>
              </w:rPr>
              <w:t>）属于</w:t>
            </w:r>
            <w:r>
              <w:rPr>
                <w:rFonts w:hint="default" w:eastAsia="仿宋_GB2312"/>
                <w:color w:val="auto"/>
                <w:kern w:val="0"/>
                <w:sz w:val="24"/>
              </w:rPr>
              <w:t>C1499其他未列明食品制造，保健食品胶囊</w:t>
            </w:r>
            <w:r>
              <w:rPr>
                <w:rFonts w:hint="eastAsia" w:eastAsia="仿宋_GB2312"/>
                <w:color w:val="auto"/>
                <w:kern w:val="0"/>
                <w:sz w:val="24"/>
                <w:lang w:eastAsia="zh-CN"/>
              </w:rPr>
              <w:t>属于</w:t>
            </w:r>
            <w:r>
              <w:rPr>
                <w:rFonts w:hint="default" w:eastAsia="仿宋_GB2312"/>
                <w:color w:val="auto"/>
                <w:kern w:val="0"/>
                <w:sz w:val="24"/>
              </w:rPr>
              <w:t>C1492保健食品制造，位于太湖流域三级保护区内，不排放含氮磷的生产废水，因此，符合《江苏省太湖水污染防治条例》。</w:t>
            </w:r>
          </w:p>
          <w:p w14:paraId="4BDBE2E9">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bCs/>
                <w:color w:val="auto"/>
                <w:kern w:val="0"/>
                <w:sz w:val="24"/>
              </w:rPr>
            </w:pPr>
            <w:r>
              <w:rPr>
                <w:rFonts w:hint="default" w:eastAsia="仿宋_GB2312"/>
                <w:b/>
                <w:bCs/>
                <w:color w:val="auto"/>
                <w:kern w:val="0"/>
                <w:sz w:val="24"/>
              </w:rPr>
              <w:t>（</w:t>
            </w:r>
            <w:r>
              <w:rPr>
                <w:rFonts w:hint="eastAsia" w:eastAsia="仿宋_GB2312"/>
                <w:b/>
                <w:bCs/>
                <w:color w:val="auto"/>
                <w:kern w:val="0"/>
                <w:sz w:val="24"/>
              </w:rPr>
              <w:t>6</w:t>
            </w:r>
            <w:r>
              <w:rPr>
                <w:rFonts w:hint="default" w:eastAsia="仿宋_GB2312"/>
                <w:b/>
                <w:bCs/>
                <w:color w:val="auto"/>
                <w:kern w:val="0"/>
                <w:sz w:val="24"/>
              </w:rPr>
              <w:t>）与《中华人民共和国长江保护法》相符性分析</w:t>
            </w:r>
          </w:p>
          <w:p w14:paraId="66B9EFD9">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eastAsia" w:eastAsia="仿宋_GB2312"/>
                <w:color w:val="auto"/>
                <w:kern w:val="0"/>
                <w:sz w:val="24"/>
              </w:rPr>
              <w:t>对照《中华人民共和国长江保护法》，分析如下：</w:t>
            </w:r>
          </w:p>
          <w:p w14:paraId="4432A6F0">
            <w:pPr>
              <w:keepNext w:val="0"/>
              <w:keepLines w:val="0"/>
              <w:suppressLineNumbers w:val="0"/>
              <w:spacing w:before="0" w:beforeAutospacing="0" w:after="0" w:afterAutospacing="0"/>
              <w:ind w:left="0" w:right="0" w:firstLine="482"/>
              <w:jc w:val="center"/>
              <w:rPr>
                <w:rFonts w:hint="default" w:ascii="Times New Roman" w:hAnsi="Times New Roman" w:eastAsia="仿宋_GB2312" w:cs="Times New Roman"/>
                <w:b/>
                <w:color w:val="auto"/>
                <w:sz w:val="21"/>
                <w:szCs w:val="21"/>
              </w:rPr>
            </w:pPr>
          </w:p>
          <w:p w14:paraId="3241E632">
            <w:pPr>
              <w:keepNext w:val="0"/>
              <w:keepLines w:val="0"/>
              <w:suppressLineNumbers w:val="0"/>
              <w:spacing w:before="0" w:beforeAutospacing="0" w:after="0" w:afterAutospacing="0"/>
              <w:ind w:left="0" w:right="0" w:firstLine="48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表1</w:t>
            </w:r>
            <w:r>
              <w:rPr>
                <w:rFonts w:hint="eastAsia" w:eastAsia="仿宋_GB2312" w:cs="Times New Roman"/>
                <w:b/>
                <w:color w:val="auto"/>
                <w:sz w:val="21"/>
                <w:szCs w:val="21"/>
                <w:lang w:val="en-US" w:eastAsia="zh-CN"/>
              </w:rPr>
              <w:t>-3</w:t>
            </w:r>
            <w:r>
              <w:rPr>
                <w:rFonts w:hint="default" w:ascii="Times New Roman" w:hAnsi="Times New Roman" w:eastAsia="仿宋_GB2312" w:cs="Times New Roman"/>
                <w:b/>
                <w:color w:val="auto"/>
                <w:sz w:val="21"/>
                <w:szCs w:val="21"/>
              </w:rPr>
              <w:t xml:space="preserve"> 与《中华人民共和国长江保护法》对照分析</w:t>
            </w:r>
          </w:p>
          <w:tbl>
            <w:tblPr>
              <w:tblStyle w:val="87"/>
              <w:tblW w:w="863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94"/>
              <w:gridCol w:w="3686"/>
              <w:gridCol w:w="4252"/>
            </w:tblGrid>
            <w:tr w14:paraId="698B7E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94" w:type="dxa"/>
                  <w:tcBorders>
                    <w:tl2br w:val="nil"/>
                    <w:tr2bl w:val="nil"/>
                  </w:tcBorders>
                  <w:vAlign w:val="center"/>
                </w:tcPr>
                <w:p w14:paraId="5AD8B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序号</w:t>
                  </w:r>
                </w:p>
              </w:tc>
              <w:tc>
                <w:tcPr>
                  <w:tcW w:w="3686" w:type="dxa"/>
                  <w:tcBorders>
                    <w:tl2br w:val="nil"/>
                    <w:tr2bl w:val="nil"/>
                  </w:tcBorders>
                  <w:vAlign w:val="center"/>
                </w:tcPr>
                <w:p w14:paraId="1BE12B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文件要求</w:t>
                  </w:r>
                </w:p>
              </w:tc>
              <w:tc>
                <w:tcPr>
                  <w:tcW w:w="4252" w:type="dxa"/>
                  <w:tcBorders>
                    <w:tl2br w:val="nil"/>
                    <w:tr2bl w:val="nil"/>
                  </w:tcBorders>
                  <w:vAlign w:val="center"/>
                </w:tcPr>
                <w:p w14:paraId="51E0C9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对照分析</w:t>
                  </w:r>
                </w:p>
              </w:tc>
            </w:tr>
            <w:tr w14:paraId="1212B4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42C2EF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w:t>
                  </w:r>
                </w:p>
              </w:tc>
              <w:tc>
                <w:tcPr>
                  <w:tcW w:w="3686" w:type="dxa"/>
                  <w:tcBorders>
                    <w:tl2br w:val="nil"/>
                    <w:tr2bl w:val="nil"/>
                  </w:tcBorders>
                  <w:vAlign w:val="center"/>
                </w:tcPr>
                <w:p w14:paraId="68A136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color w:val="auto"/>
                      <w:spacing w:val="-2"/>
                      <w:sz w:val="21"/>
                      <w:szCs w:val="21"/>
                    </w:rPr>
                  </w:pPr>
                  <w:r>
                    <w:rPr>
                      <w:rFonts w:hint="default" w:ascii="Times New Roman" w:hAnsi="Times New Roman" w:eastAsia="仿宋_GB2312" w:cs="Times New Roman"/>
                      <w:color w:val="auto"/>
                      <w:spacing w:val="-2"/>
                      <w:sz w:val="21"/>
                      <w:szCs w:val="21"/>
                    </w:rPr>
                    <w:t>①禁止在长江干支流岸线一公里范围内新建、扩建化工园区和化工项目。②禁止在长江干流岸线三公里范围内和重要支流岸线一公里范围内新建、改建、扩建尾矿库；但是以提升安全、生态环境保护水平为目的的改建除外。</w:t>
                  </w:r>
                </w:p>
              </w:tc>
              <w:tc>
                <w:tcPr>
                  <w:tcW w:w="4252" w:type="dxa"/>
                  <w:tcBorders>
                    <w:tl2br w:val="nil"/>
                    <w:tr2bl w:val="nil"/>
                  </w:tcBorders>
                  <w:vAlign w:val="center"/>
                </w:tcPr>
                <w:p w14:paraId="17760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2"/>
                      <w:sz w:val="21"/>
                      <w:szCs w:val="21"/>
                    </w:rPr>
                    <w:t>本项目不属于新建、扩建化工园区和化工项目；本项目不属于尾矿库项目。因此，符合文件要求。</w:t>
                  </w:r>
                </w:p>
              </w:tc>
            </w:tr>
            <w:tr w14:paraId="7B5F5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7391F0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c>
                <w:tcPr>
                  <w:tcW w:w="3686" w:type="dxa"/>
                  <w:tcBorders>
                    <w:tl2br w:val="nil"/>
                    <w:tr2bl w:val="nil"/>
                  </w:tcBorders>
                  <w:vAlign w:val="center"/>
                </w:tcPr>
                <w:p w14:paraId="5BBF7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color w:val="auto"/>
                      <w:kern w:val="32"/>
                      <w:sz w:val="21"/>
                      <w:szCs w:val="21"/>
                    </w:rPr>
                  </w:pPr>
                  <w:r>
                    <w:rPr>
                      <w:rFonts w:hint="default" w:ascii="Times New Roman" w:hAnsi="Times New Roman" w:eastAsia="仿宋_GB2312" w:cs="Times New Roman"/>
                      <w:color w:val="auto"/>
                      <w:kern w:val="32"/>
                      <w:sz w:val="21"/>
                      <w:szCs w:val="21"/>
                    </w:rPr>
                    <w:t>禁止在长江流域河湖管理范围内倾倒、填埋、堆放、弃置、处理固体废物。</w:t>
                  </w:r>
                </w:p>
              </w:tc>
              <w:tc>
                <w:tcPr>
                  <w:tcW w:w="4252" w:type="dxa"/>
                  <w:tcBorders>
                    <w:tl2br w:val="nil"/>
                    <w:tr2bl w:val="nil"/>
                  </w:tcBorders>
                  <w:vAlign w:val="center"/>
                </w:tcPr>
                <w:p w14:paraId="5FA028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本项目危险废物拟委托有资质单位处置，一般固废委外处置，生活垃圾由环卫部门统一清理，固废处置率100%。因此，符合文件要求。</w:t>
                  </w:r>
                </w:p>
              </w:tc>
            </w:tr>
            <w:tr w14:paraId="143A1A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10AEA3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c>
                <w:tcPr>
                  <w:tcW w:w="3686" w:type="dxa"/>
                  <w:tcBorders>
                    <w:tl2br w:val="nil"/>
                    <w:tr2bl w:val="nil"/>
                  </w:tcBorders>
                  <w:vAlign w:val="center"/>
                </w:tcPr>
                <w:p w14:paraId="3209F9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color w:val="auto"/>
                      <w:kern w:val="32"/>
                      <w:sz w:val="21"/>
                      <w:szCs w:val="21"/>
                    </w:rPr>
                  </w:pPr>
                  <w:r>
                    <w:rPr>
                      <w:rFonts w:hint="default" w:ascii="Times New Roman" w:hAnsi="Times New Roman" w:eastAsia="仿宋_GB2312" w:cs="Times New Roman"/>
                      <w:color w:val="auto"/>
                      <w:kern w:val="32"/>
                      <w:sz w:val="21"/>
                      <w:szCs w:val="21"/>
                    </w:rPr>
                    <w:t>磷矿开采加工、磷肥和含磷农药制造等企业，应当按照排污许可要求，采取有效措施控制总磷排放浓度和排放总量；对排污口和周边环境进行总磷监测，依法公开监测信息。</w:t>
                  </w:r>
                </w:p>
              </w:tc>
              <w:tc>
                <w:tcPr>
                  <w:tcW w:w="4252" w:type="dxa"/>
                  <w:tcBorders>
                    <w:tl2br w:val="nil"/>
                    <w:tr2bl w:val="nil"/>
                  </w:tcBorders>
                  <w:vAlign w:val="center"/>
                </w:tcPr>
                <w:p w14:paraId="5C947D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本项目不属于磷矿开采加工、磷肥和含磷农药制造项目。因此，符合文件要求。</w:t>
                  </w:r>
                </w:p>
              </w:tc>
            </w:tr>
            <w:tr w14:paraId="20AEE9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3F429A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4</w:t>
                  </w:r>
                </w:p>
              </w:tc>
              <w:tc>
                <w:tcPr>
                  <w:tcW w:w="3686" w:type="dxa"/>
                  <w:tcBorders>
                    <w:tl2br w:val="nil"/>
                    <w:tr2bl w:val="nil"/>
                  </w:tcBorders>
                  <w:vAlign w:val="center"/>
                </w:tcPr>
                <w:p w14:paraId="6B93F1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color w:val="auto"/>
                      <w:kern w:val="32"/>
                      <w:sz w:val="21"/>
                      <w:szCs w:val="21"/>
                    </w:rPr>
                  </w:pPr>
                  <w:r>
                    <w:rPr>
                      <w:rFonts w:hint="default" w:ascii="Times New Roman" w:hAnsi="Times New Roman" w:eastAsia="仿宋_GB2312" w:cs="Times New Roman"/>
                      <w:color w:val="auto"/>
                      <w:kern w:val="32"/>
                      <w:sz w:val="21"/>
                      <w:szCs w:val="21"/>
                    </w:rPr>
                    <w:t>禁止在长江流域水上运输剧毒化学品和国家规定禁止通过内河运输的其他危险化学品。</w:t>
                  </w:r>
                </w:p>
              </w:tc>
              <w:tc>
                <w:tcPr>
                  <w:tcW w:w="4252" w:type="dxa"/>
                  <w:tcBorders>
                    <w:tl2br w:val="nil"/>
                    <w:tr2bl w:val="nil"/>
                  </w:tcBorders>
                  <w:vAlign w:val="center"/>
                </w:tcPr>
                <w:p w14:paraId="71596C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本项目不涉及</w:t>
                  </w:r>
                  <w:r>
                    <w:rPr>
                      <w:rFonts w:hint="default" w:ascii="Times New Roman" w:hAnsi="Times New Roman" w:eastAsia="仿宋_GB2312" w:cs="Times New Roman"/>
                      <w:color w:val="auto"/>
                      <w:kern w:val="32"/>
                      <w:sz w:val="21"/>
                      <w:szCs w:val="21"/>
                    </w:rPr>
                    <w:t>在长江流域水上运输剧毒化学品和国家规定禁止通过内河运输的其他危险化学品。</w:t>
                  </w:r>
                  <w:r>
                    <w:rPr>
                      <w:rFonts w:hint="default" w:ascii="Times New Roman" w:hAnsi="Times New Roman" w:eastAsia="仿宋_GB2312" w:cs="Times New Roman"/>
                      <w:color w:val="auto"/>
                      <w:sz w:val="21"/>
                      <w:szCs w:val="21"/>
                    </w:rPr>
                    <w:t>因此，符合文件要求。</w:t>
                  </w:r>
                </w:p>
              </w:tc>
            </w:tr>
          </w:tbl>
          <w:p w14:paraId="4F5E1992">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w:t>
            </w:r>
            <w:r>
              <w:rPr>
                <w:rFonts w:hint="eastAsia" w:eastAsia="仿宋_GB2312"/>
                <w:b/>
                <w:color w:val="auto"/>
                <w:kern w:val="0"/>
                <w:sz w:val="24"/>
              </w:rPr>
              <w:t>7</w:t>
            </w:r>
            <w:r>
              <w:rPr>
                <w:rFonts w:hint="default" w:eastAsia="仿宋_GB2312"/>
                <w:b/>
                <w:color w:val="auto"/>
                <w:kern w:val="0"/>
                <w:sz w:val="24"/>
              </w:rPr>
              <w:t>）与《省生态环境厅关于做好安全生产专项整治工作实施方案》（苏环办[2020]16号）等相符性分析</w:t>
            </w:r>
          </w:p>
          <w:p w14:paraId="38EF924F">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eastAsia" w:eastAsia="仿宋_GB2312"/>
                <w:color w:val="auto"/>
                <w:kern w:val="0"/>
                <w:sz w:val="24"/>
              </w:rPr>
              <w:t>本项目生产全过程参照《省生态环境厅关于做好安全生产专项整治工作实施方案》（苏环办[2020]16号）等相关技术规范及管理要求执行，分析如下：</w:t>
            </w:r>
          </w:p>
          <w:p w14:paraId="58460C21">
            <w:pPr>
              <w:keepNext w:val="0"/>
              <w:keepLines w:val="0"/>
              <w:suppressLineNumbers w:val="0"/>
              <w:spacing w:before="0" w:beforeAutospacing="0" w:after="0" w:afterAutospacing="0"/>
              <w:ind w:left="0" w:right="0" w:firstLine="482"/>
              <w:jc w:val="center"/>
              <w:rPr>
                <w:rFonts w:hint="default" w:ascii="Times New Roman" w:hAnsi="Times New Roman" w:eastAsia="仿宋_GB2312" w:cs="Times New Roman"/>
                <w:b/>
                <w:color w:val="auto"/>
                <w:sz w:val="21"/>
                <w:szCs w:val="21"/>
              </w:rPr>
            </w:pPr>
            <w:r>
              <w:rPr>
                <w:rFonts w:hint="eastAsia" w:ascii="Times New Roman" w:hAnsi="Times New Roman" w:eastAsia="仿宋_GB2312" w:cs="Times New Roman"/>
                <w:b/>
                <w:color w:val="auto"/>
                <w:sz w:val="21"/>
                <w:szCs w:val="21"/>
              </w:rPr>
              <w:t>表</w:t>
            </w:r>
            <w:r>
              <w:rPr>
                <w:rFonts w:hint="default" w:ascii="Times New Roman" w:hAnsi="Times New Roman" w:eastAsia="仿宋_GB2312" w:cs="Times New Roman"/>
                <w:b/>
                <w:color w:val="auto"/>
                <w:sz w:val="21"/>
                <w:szCs w:val="21"/>
              </w:rPr>
              <w:t>1</w:t>
            </w:r>
            <w:r>
              <w:rPr>
                <w:rFonts w:hint="eastAsia" w:eastAsia="仿宋_GB2312" w:cs="Times New Roman"/>
                <w:b/>
                <w:color w:val="auto"/>
                <w:sz w:val="21"/>
                <w:szCs w:val="21"/>
                <w:lang w:val="en-US" w:eastAsia="zh-CN"/>
              </w:rPr>
              <w:t>-4</w:t>
            </w:r>
            <w:r>
              <w:rPr>
                <w:rFonts w:hint="eastAsia" w:ascii="Times New Roman" w:hAnsi="Times New Roman" w:eastAsia="仿宋_GB2312" w:cs="Times New Roman"/>
                <w:b/>
                <w:color w:val="auto"/>
                <w:sz w:val="21"/>
                <w:szCs w:val="21"/>
              </w:rPr>
              <w:t xml:space="preserve"> 与苏环办[2020]16号对照分析</w:t>
            </w:r>
          </w:p>
          <w:tbl>
            <w:tblPr>
              <w:tblStyle w:val="167"/>
              <w:tblW w:w="84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20"/>
              <w:gridCol w:w="4122"/>
              <w:gridCol w:w="3164"/>
            </w:tblGrid>
            <w:tr w14:paraId="174CE9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blHeader/>
                <w:jc w:val="center"/>
              </w:trPr>
              <w:tc>
                <w:tcPr>
                  <w:tcW w:w="666" w:type="pct"/>
                  <w:tcBorders>
                    <w:tl2br w:val="nil"/>
                    <w:tr2bl w:val="nil"/>
                  </w:tcBorders>
                  <w:vAlign w:val="center"/>
                </w:tcPr>
                <w:p w14:paraId="42328621">
                  <w:pPr>
                    <w:pStyle w:val="165"/>
                    <w:keepNext w:val="0"/>
                    <w:keepLines w:val="0"/>
                    <w:widowControl w:val="0"/>
                    <w:suppressLineNumbers w:val="0"/>
                    <w:spacing w:before="0" w:beforeAutospacing="0" w:after="0" w:afterAutospacing="0" w:line="320" w:lineRule="exact"/>
                    <w:ind w:left="0" w:right="0"/>
                    <w:rPr>
                      <w:rFonts w:hint="eastAsia" w:ascii="Times New Roman" w:hAnsi="Times New Roman" w:eastAsia="仿宋_GB2312" w:cs="Times New Roman"/>
                      <w:b/>
                      <w:color w:val="auto"/>
                      <w:kern w:val="0"/>
                      <w:sz w:val="21"/>
                      <w:szCs w:val="20"/>
                      <w:lang w:val="zh-CN" w:eastAsia="zh-CN" w:bidi="ar-SA"/>
                    </w:rPr>
                  </w:pPr>
                  <w:r>
                    <w:rPr>
                      <w:rFonts w:hint="eastAsia" w:ascii="Times New Roman" w:hAnsi="Times New Roman"/>
                      <w:b/>
                      <w:color w:val="auto"/>
                    </w:rPr>
                    <w:t>类别</w:t>
                  </w:r>
                </w:p>
              </w:tc>
              <w:tc>
                <w:tcPr>
                  <w:tcW w:w="2451" w:type="pct"/>
                  <w:tcBorders>
                    <w:tl2br w:val="nil"/>
                    <w:tr2bl w:val="nil"/>
                  </w:tcBorders>
                  <w:vAlign w:val="center"/>
                </w:tcPr>
                <w:p w14:paraId="7DA8A2F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文件要求</w:t>
                  </w:r>
                </w:p>
              </w:tc>
              <w:tc>
                <w:tcPr>
                  <w:tcW w:w="1881" w:type="pct"/>
                  <w:tcBorders>
                    <w:tl2br w:val="nil"/>
                    <w:tr2bl w:val="nil"/>
                  </w:tcBorders>
                  <w:vAlign w:val="center"/>
                </w:tcPr>
                <w:p w14:paraId="464847F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对照分析</w:t>
                  </w:r>
                </w:p>
              </w:tc>
            </w:tr>
            <w:tr w14:paraId="5EE1F1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pct"/>
                  <w:tcBorders>
                    <w:tl2br w:val="nil"/>
                    <w:tr2bl w:val="nil"/>
                  </w:tcBorders>
                  <w:vAlign w:val="center"/>
                </w:tcPr>
                <w:p w14:paraId="54279388">
                  <w:pPr>
                    <w:pStyle w:val="165"/>
                    <w:keepNext w:val="0"/>
                    <w:keepLines w:val="0"/>
                    <w:widowControl w:val="0"/>
                    <w:suppressLineNumbers w:val="0"/>
                    <w:spacing w:before="0" w:beforeAutospacing="0" w:after="0" w:afterAutospacing="0" w:line="320" w:lineRule="exact"/>
                    <w:ind w:left="0" w:right="0"/>
                    <w:rPr>
                      <w:rFonts w:hint="eastAsia" w:ascii="Times New Roman" w:hAnsi="Times New Roman" w:eastAsia="仿宋_GB2312" w:cs="Times New Roman"/>
                      <w:color w:val="auto"/>
                      <w:kern w:val="0"/>
                      <w:sz w:val="21"/>
                      <w:szCs w:val="20"/>
                      <w:lang w:val="zh-CN" w:eastAsia="zh-CN" w:bidi="ar-SA"/>
                    </w:rPr>
                  </w:pPr>
                  <w:r>
                    <w:rPr>
                      <w:rFonts w:hint="eastAsia" w:ascii="Times New Roman" w:hAnsi="Times New Roman"/>
                      <w:color w:val="auto"/>
                    </w:rPr>
                    <w:t>严把建设项目门槛</w:t>
                  </w:r>
                </w:p>
              </w:tc>
              <w:tc>
                <w:tcPr>
                  <w:tcW w:w="2451" w:type="pct"/>
                  <w:tcBorders>
                    <w:tl2br w:val="nil"/>
                    <w:tr2bl w:val="nil"/>
                  </w:tcBorders>
                  <w:vAlign w:val="center"/>
                </w:tcPr>
                <w:p w14:paraId="4B4362F5">
                  <w:pPr>
                    <w:pStyle w:val="165"/>
                    <w:keepNext w:val="0"/>
                    <w:keepLines w:val="0"/>
                    <w:widowControl w:val="0"/>
                    <w:suppressLineNumbers w:val="0"/>
                    <w:spacing w:before="0" w:beforeAutospacing="0" w:after="0" w:afterAutospacing="0" w:line="320" w:lineRule="exact"/>
                    <w:ind w:left="0" w:right="0"/>
                    <w:jc w:val="left"/>
                    <w:rPr>
                      <w:rFonts w:hint="default" w:ascii="Times New Roman" w:hAnsi="Times New Roman"/>
                      <w:color w:val="auto"/>
                    </w:rPr>
                  </w:pPr>
                  <w:r>
                    <w:rPr>
                      <w:rFonts w:hint="eastAsia" w:ascii="Times New Roman" w:hAnsi="Times New Roman"/>
                      <w:color w:val="auto"/>
                    </w:rPr>
                    <w:t>严格落实《建设项目环境风险评价技术导则》要求，加强建设项目</w:t>
                  </w:r>
                  <w:bookmarkStart w:id="4" w:name="OLE_LINK12"/>
                  <w:r>
                    <w:rPr>
                      <w:rFonts w:hint="eastAsia" w:ascii="Times New Roman" w:hAnsi="Times New Roman"/>
                      <w:color w:val="auto"/>
                    </w:rPr>
                    <w:t>环境风险评价</w:t>
                  </w:r>
                  <w:bookmarkEnd w:id="4"/>
                  <w:r>
                    <w:rPr>
                      <w:rFonts w:hint="eastAsia" w:ascii="Times New Roman" w:hAnsi="Times New Roman"/>
                      <w:color w:val="auto"/>
                    </w:rPr>
                    <w:t>。对涉及危险工艺技术的项目，不符合产业政策和规划布局，达不到安全环保标准的，一律不予审批。</w:t>
                  </w:r>
                </w:p>
              </w:tc>
              <w:tc>
                <w:tcPr>
                  <w:tcW w:w="1881" w:type="pct"/>
                  <w:tcBorders>
                    <w:tl2br w:val="nil"/>
                    <w:tr2bl w:val="nil"/>
                  </w:tcBorders>
                  <w:vAlign w:val="center"/>
                </w:tcPr>
                <w:p w14:paraId="30C2F47F">
                  <w:pPr>
                    <w:pStyle w:val="165"/>
                    <w:keepNext w:val="0"/>
                    <w:keepLines w:val="0"/>
                    <w:widowControl w:val="0"/>
                    <w:suppressLineNumbers w:val="0"/>
                    <w:spacing w:before="0" w:beforeAutospacing="0" w:after="0" w:afterAutospacing="0" w:line="320" w:lineRule="exact"/>
                    <w:ind w:left="0" w:right="0"/>
                    <w:jc w:val="left"/>
                    <w:rPr>
                      <w:rFonts w:hint="default" w:ascii="Times New Roman" w:hAnsi="Times New Roman"/>
                      <w:color w:val="auto"/>
                    </w:rPr>
                  </w:pPr>
                  <w:r>
                    <w:rPr>
                      <w:rFonts w:hint="eastAsia" w:ascii="Times New Roman" w:hAnsi="Times New Roman"/>
                      <w:color w:val="auto"/>
                    </w:rPr>
                    <w:t>本</w:t>
                  </w:r>
                  <w:r>
                    <w:rPr>
                      <w:rFonts w:hint="eastAsia" w:ascii="Times New Roman" w:hAnsi="Times New Roman"/>
                      <w:color w:val="auto"/>
                      <w:lang w:val="en-US"/>
                    </w:rPr>
                    <w:t>次</w:t>
                  </w:r>
                  <w:r>
                    <w:rPr>
                      <w:rFonts w:hint="eastAsia" w:ascii="Times New Roman" w:hAnsi="Times New Roman"/>
                      <w:color w:val="auto"/>
                    </w:rPr>
                    <w:t>环评</w:t>
                  </w:r>
                  <w:r>
                    <w:rPr>
                      <w:rFonts w:hint="eastAsia" w:ascii="Times New Roman" w:hAnsi="Times New Roman"/>
                      <w:color w:val="auto"/>
                      <w:lang w:val="en-US"/>
                    </w:rPr>
                    <w:t>已</w:t>
                  </w:r>
                  <w:r>
                    <w:rPr>
                      <w:rFonts w:hint="eastAsia" w:ascii="Times New Roman" w:hAnsi="Times New Roman"/>
                      <w:color w:val="auto"/>
                    </w:rPr>
                    <w:t>落实《建设项目环境风险评价技术导则》要求，</w:t>
                  </w:r>
                  <w:r>
                    <w:rPr>
                      <w:rFonts w:hint="eastAsia" w:ascii="Times New Roman" w:hAnsi="Times New Roman"/>
                      <w:color w:val="auto"/>
                      <w:lang w:val="en-US"/>
                    </w:rPr>
                    <w:t>加强本项目</w:t>
                  </w:r>
                  <w:r>
                    <w:rPr>
                      <w:rFonts w:hint="eastAsia" w:ascii="Times New Roman" w:hAnsi="Times New Roman"/>
                      <w:color w:val="auto"/>
                    </w:rPr>
                    <w:t>环境风险评价；本项目符合产业政策和规划布局，并按安全环保标准严格执行。</w:t>
                  </w:r>
                  <w:r>
                    <w:rPr>
                      <w:rFonts w:hint="default" w:ascii="Times New Roman" w:hAnsi="Times New Roman"/>
                      <w:color w:val="auto"/>
                      <w:spacing w:val="-2"/>
                      <w:kern w:val="2"/>
                      <w:szCs w:val="21"/>
                    </w:rPr>
                    <w:t>因此，符合文件要求。</w:t>
                  </w:r>
                </w:p>
              </w:tc>
            </w:tr>
            <w:tr w14:paraId="3DA756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666" w:type="pct"/>
                  <w:tcBorders>
                    <w:tl2br w:val="nil"/>
                    <w:tr2bl w:val="nil"/>
                  </w:tcBorders>
                  <w:vAlign w:val="center"/>
                </w:tcPr>
                <w:p w14:paraId="09B5FBB9">
                  <w:pPr>
                    <w:pStyle w:val="165"/>
                    <w:keepNext w:val="0"/>
                    <w:keepLines w:val="0"/>
                    <w:widowControl w:val="0"/>
                    <w:suppressLineNumbers w:val="0"/>
                    <w:spacing w:before="0" w:beforeAutospacing="0" w:after="0" w:afterAutospacing="0" w:line="320" w:lineRule="exact"/>
                    <w:ind w:left="0" w:right="0"/>
                    <w:rPr>
                      <w:rFonts w:hint="eastAsia" w:ascii="Times New Roman" w:hAnsi="Times New Roman" w:eastAsia="仿宋_GB2312" w:cs="Times New Roman"/>
                      <w:color w:val="auto"/>
                      <w:kern w:val="0"/>
                      <w:sz w:val="21"/>
                      <w:szCs w:val="20"/>
                      <w:lang w:val="zh-CN" w:eastAsia="zh-CN" w:bidi="ar-SA"/>
                    </w:rPr>
                  </w:pPr>
                  <w:r>
                    <w:rPr>
                      <w:rFonts w:hint="eastAsia" w:ascii="Times New Roman" w:hAnsi="Times New Roman"/>
                      <w:color w:val="auto"/>
                    </w:rPr>
                    <w:t>聚焦重点领域专项整治</w:t>
                  </w:r>
                </w:p>
              </w:tc>
              <w:tc>
                <w:tcPr>
                  <w:tcW w:w="2451" w:type="pct"/>
                  <w:tcBorders>
                    <w:tl2br w:val="nil"/>
                    <w:tr2bl w:val="nil"/>
                  </w:tcBorders>
                  <w:vAlign w:val="center"/>
                </w:tcPr>
                <w:p w14:paraId="70CE7417">
                  <w:pPr>
                    <w:pStyle w:val="165"/>
                    <w:keepNext w:val="0"/>
                    <w:keepLines w:val="0"/>
                    <w:widowControl w:val="0"/>
                    <w:suppressLineNumbers w:val="0"/>
                    <w:spacing w:before="0" w:beforeAutospacing="0" w:after="0" w:afterAutospacing="0" w:line="320" w:lineRule="exact"/>
                    <w:ind w:left="0" w:right="0"/>
                    <w:jc w:val="left"/>
                    <w:rPr>
                      <w:rFonts w:hint="default" w:ascii="Times New Roman" w:hAnsi="Times New Roman"/>
                      <w:color w:val="auto"/>
                    </w:rPr>
                  </w:pPr>
                  <w:r>
                    <w:rPr>
                      <w:rFonts w:hint="eastAsia" w:ascii="Times New Roman" w:hAnsi="Times New Roman"/>
                      <w:color w:val="auto"/>
                    </w:rPr>
                    <w:t>督促企业落实环境污染防治措施项目立项、规划选址、住建、安全、消防、环境保护等相关手续。</w:t>
                  </w:r>
                </w:p>
              </w:tc>
              <w:tc>
                <w:tcPr>
                  <w:tcW w:w="1881" w:type="pct"/>
                  <w:tcBorders>
                    <w:tl2br w:val="nil"/>
                    <w:tr2bl w:val="nil"/>
                  </w:tcBorders>
                  <w:vAlign w:val="center"/>
                </w:tcPr>
                <w:p w14:paraId="1D1A86F0">
                  <w:pPr>
                    <w:pStyle w:val="165"/>
                    <w:keepNext w:val="0"/>
                    <w:keepLines w:val="0"/>
                    <w:widowControl w:val="0"/>
                    <w:suppressLineNumbers w:val="0"/>
                    <w:spacing w:before="0" w:beforeAutospacing="0" w:after="0" w:afterAutospacing="0" w:line="320" w:lineRule="exact"/>
                    <w:ind w:left="0" w:right="0"/>
                    <w:jc w:val="left"/>
                    <w:rPr>
                      <w:rFonts w:hint="default" w:ascii="Times New Roman" w:hAnsi="Times New Roman"/>
                      <w:color w:val="auto"/>
                    </w:rPr>
                  </w:pPr>
                  <w:r>
                    <w:rPr>
                      <w:rFonts w:hint="eastAsia" w:ascii="Times New Roman" w:hAnsi="Times New Roman"/>
                      <w:color w:val="auto"/>
                    </w:rPr>
                    <w:t>企业</w:t>
                  </w:r>
                  <w:r>
                    <w:rPr>
                      <w:rFonts w:hint="eastAsia" w:ascii="Times New Roman" w:hAnsi="Times New Roman"/>
                      <w:color w:val="auto"/>
                      <w:lang w:val="en-US"/>
                    </w:rPr>
                    <w:t>拟</w:t>
                  </w:r>
                  <w:r>
                    <w:rPr>
                      <w:rFonts w:hint="eastAsia" w:ascii="Times New Roman" w:hAnsi="Times New Roman"/>
                      <w:color w:val="auto"/>
                    </w:rPr>
                    <w:t>按要求</w:t>
                  </w:r>
                  <w:r>
                    <w:rPr>
                      <w:rFonts w:hint="eastAsia" w:ascii="Times New Roman" w:hAnsi="Times New Roman"/>
                      <w:color w:val="auto"/>
                      <w:lang w:val="en-US"/>
                    </w:rPr>
                    <w:t>办理</w:t>
                  </w:r>
                  <w:r>
                    <w:rPr>
                      <w:rFonts w:hint="eastAsia" w:ascii="Times New Roman" w:hAnsi="Times New Roman"/>
                      <w:color w:val="auto"/>
                    </w:rPr>
                    <w:t>相关手续。</w:t>
                  </w:r>
                  <w:r>
                    <w:rPr>
                      <w:rFonts w:hint="default" w:ascii="Times New Roman" w:hAnsi="Times New Roman"/>
                      <w:color w:val="auto"/>
                      <w:spacing w:val="-2"/>
                      <w:kern w:val="2"/>
                      <w:szCs w:val="21"/>
                    </w:rPr>
                    <w:t>因此，符合文件要求。</w:t>
                  </w:r>
                </w:p>
              </w:tc>
            </w:tr>
          </w:tbl>
          <w:p w14:paraId="72E429EA">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eastAsia" w:eastAsia="仿宋_GB2312"/>
                <w:color w:val="auto"/>
                <w:kern w:val="0"/>
                <w:sz w:val="24"/>
                <w:lang w:val="zh-CN"/>
              </w:rPr>
            </w:pPr>
            <w:r>
              <w:rPr>
                <w:rFonts w:hint="eastAsia" w:eastAsia="仿宋_GB2312"/>
                <w:color w:val="auto"/>
                <w:kern w:val="0"/>
                <w:sz w:val="24"/>
                <w:lang w:val="zh-CN"/>
              </w:rPr>
              <w:t>由上表可知，本项目符合</w:t>
            </w:r>
            <w:r>
              <w:rPr>
                <w:rFonts w:hint="eastAsia" w:eastAsia="仿宋_GB2312"/>
                <w:color w:val="auto"/>
                <w:kern w:val="0"/>
                <w:sz w:val="24"/>
              </w:rPr>
              <w:t>苏环办[2020]16号文</w:t>
            </w:r>
            <w:r>
              <w:rPr>
                <w:rFonts w:hint="eastAsia" w:eastAsia="仿宋_GB2312"/>
                <w:color w:val="auto"/>
                <w:kern w:val="0"/>
                <w:sz w:val="24"/>
                <w:lang w:val="zh-CN"/>
              </w:rPr>
              <w:t>的相关要求。</w:t>
            </w:r>
          </w:p>
          <w:p w14:paraId="52587433">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w:t>
            </w:r>
            <w:r>
              <w:rPr>
                <w:rFonts w:hint="eastAsia" w:eastAsia="仿宋_GB2312"/>
                <w:b/>
                <w:color w:val="auto"/>
                <w:kern w:val="0"/>
                <w:sz w:val="24"/>
              </w:rPr>
              <w:t>8</w:t>
            </w:r>
            <w:r>
              <w:rPr>
                <w:rFonts w:hint="default" w:eastAsia="仿宋_GB2312"/>
                <w:b/>
                <w:color w:val="auto"/>
                <w:kern w:val="0"/>
                <w:sz w:val="24"/>
              </w:rPr>
              <w:t>）与《江苏省重点行业挥发性有机物(VOCs)污染控制指南》（苏环办[2014]128号）相符性分析</w:t>
            </w:r>
          </w:p>
          <w:p w14:paraId="2F00701C">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根据《关于印发&lt;江苏省重点行业挥发性有机物污染控制指南&gt;的通知》（苏环办[2014]128号）的文件内容：所有产生有机废气污染的企业，应优先采用环保型原辅料、生产工艺和装备，对相应生产单元或设施进行密闭，从源头控制VOCs的产生，减少废气污染物排放。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p w14:paraId="168F8849">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color w:val="auto"/>
                <w:kern w:val="0"/>
                <w:sz w:val="24"/>
              </w:rPr>
            </w:pPr>
            <w:r>
              <w:rPr>
                <w:rFonts w:hint="default" w:eastAsia="仿宋_GB2312"/>
                <w:b/>
                <w:bCs/>
                <w:color w:val="auto"/>
                <w:kern w:val="0"/>
                <w:sz w:val="24"/>
              </w:rPr>
              <w:t>对照分析：</w:t>
            </w:r>
            <w:r>
              <w:rPr>
                <w:rFonts w:hint="default" w:eastAsia="仿宋_GB2312"/>
                <w:b w:val="0"/>
                <w:bCs w:val="0"/>
                <w:color w:val="auto"/>
                <w:kern w:val="0"/>
                <w:sz w:val="24"/>
              </w:rPr>
              <w:t>本项目属于C1499其他未列明食品制造、C1492保健食品制造，不属于有机化工、医药化工、橡胶和塑料制品、溶剂型涂料表面涂装、包装印刷业行业。</w:t>
            </w:r>
          </w:p>
          <w:p w14:paraId="511B63E9">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本项目采用“酸吸收+碱吸收+除雾器+两级活性炭吸附”方式处理挥发性有机物；VOCs总处理效率不低于90%，故符合该文件相关要求。</w:t>
            </w:r>
          </w:p>
          <w:p w14:paraId="0DEF0B98">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w:t>
            </w:r>
            <w:r>
              <w:rPr>
                <w:rFonts w:hint="eastAsia" w:eastAsia="仿宋_GB2312"/>
                <w:b/>
                <w:color w:val="auto"/>
                <w:kern w:val="0"/>
                <w:sz w:val="24"/>
                <w:lang w:val="en-US" w:eastAsia="zh-CN"/>
              </w:rPr>
              <w:t>9</w:t>
            </w:r>
            <w:r>
              <w:rPr>
                <w:rFonts w:hint="default" w:eastAsia="仿宋_GB2312"/>
                <w:b/>
                <w:color w:val="auto"/>
                <w:kern w:val="0"/>
                <w:sz w:val="24"/>
              </w:rPr>
              <w:t>）与《关于印发常州市挥发性有机物清洁原料替代工作方案的通知》（常污防攻坚指办[2021]32号）的相符性分析</w:t>
            </w:r>
          </w:p>
          <w:p w14:paraId="25B9E800">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对照《关于印发常州市挥发性有机物清洁原料替代工作方案的通知》（常污防攻坚指办[2021]32号），分析如下：</w:t>
            </w:r>
          </w:p>
          <w:p w14:paraId="25CFFE97">
            <w:pPr>
              <w:keepNext w:val="0"/>
              <w:keepLines w:val="0"/>
              <w:suppressLineNumbers w:val="0"/>
              <w:spacing w:before="0" w:beforeAutospacing="0" w:after="0" w:afterAutospacing="0"/>
              <w:ind w:left="0" w:right="0" w:firstLine="482"/>
              <w:jc w:val="center"/>
              <w:rPr>
                <w:rFonts w:hint="eastAsia" w:ascii="Times New Roman" w:hAnsi="Times New Roman" w:eastAsia="仿宋_GB2312" w:cs="Times New Roman"/>
                <w:b/>
                <w:color w:val="auto"/>
                <w:sz w:val="21"/>
                <w:szCs w:val="21"/>
              </w:rPr>
            </w:pPr>
            <w:r>
              <w:rPr>
                <w:rFonts w:hint="eastAsia" w:ascii="Times New Roman" w:hAnsi="Times New Roman" w:eastAsia="仿宋_GB2312" w:cs="Times New Roman"/>
                <w:b/>
                <w:color w:val="auto"/>
                <w:sz w:val="21"/>
                <w:szCs w:val="21"/>
              </w:rPr>
              <w:t>表1</w:t>
            </w:r>
            <w:r>
              <w:rPr>
                <w:rFonts w:hint="eastAsia" w:eastAsia="仿宋_GB2312" w:cs="Times New Roman"/>
                <w:b/>
                <w:color w:val="auto"/>
                <w:sz w:val="21"/>
                <w:szCs w:val="21"/>
                <w:lang w:val="en-US" w:eastAsia="zh-CN"/>
              </w:rPr>
              <w:t>-5</w:t>
            </w:r>
            <w:r>
              <w:rPr>
                <w:rFonts w:hint="eastAsia" w:ascii="Times New Roman" w:hAnsi="Times New Roman" w:eastAsia="仿宋_GB2312" w:cs="Times New Roman"/>
                <w:b/>
                <w:color w:val="auto"/>
                <w:sz w:val="21"/>
                <w:szCs w:val="21"/>
              </w:rPr>
              <w:t xml:space="preserve">  与常污防攻坚指办[2021]32号文对照分析</w:t>
            </w:r>
          </w:p>
          <w:tbl>
            <w:tblPr>
              <w:tblStyle w:val="8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0"/>
              <w:gridCol w:w="5904"/>
              <w:gridCol w:w="2016"/>
            </w:tblGrid>
            <w:tr w14:paraId="300F49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11" w:type="pct"/>
                  <w:tcBorders>
                    <w:tl2br w:val="nil"/>
                    <w:tr2bl w:val="nil"/>
                  </w:tcBorders>
                  <w:vAlign w:val="center"/>
                </w:tcPr>
                <w:p w14:paraId="6D2516AB">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b/>
                      <w:color w:val="auto"/>
                      <w:kern w:val="2"/>
                      <w:szCs w:val="21"/>
                    </w:rPr>
                  </w:pPr>
                  <w:r>
                    <w:rPr>
                      <w:rFonts w:hint="eastAsia" w:ascii="Times New Roman" w:hAnsi="Times New Roman"/>
                      <w:b/>
                      <w:color w:val="auto"/>
                      <w:kern w:val="2"/>
                      <w:szCs w:val="21"/>
                    </w:rPr>
                    <w:t>类别</w:t>
                  </w:r>
                </w:p>
              </w:tc>
              <w:tc>
                <w:tcPr>
                  <w:tcW w:w="3420" w:type="pct"/>
                  <w:tcBorders>
                    <w:tl2br w:val="nil"/>
                    <w:tr2bl w:val="nil"/>
                  </w:tcBorders>
                  <w:vAlign w:val="center"/>
                </w:tcPr>
                <w:p w14:paraId="23C071B9">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b/>
                      <w:color w:val="auto"/>
                      <w:kern w:val="2"/>
                      <w:szCs w:val="21"/>
                    </w:rPr>
                  </w:pPr>
                  <w:r>
                    <w:rPr>
                      <w:rFonts w:hint="default" w:ascii="Times New Roman" w:hAnsi="Times New Roman"/>
                      <w:b/>
                      <w:color w:val="auto"/>
                      <w:kern w:val="2"/>
                      <w:szCs w:val="21"/>
                    </w:rPr>
                    <w:t>文件要求</w:t>
                  </w:r>
                </w:p>
              </w:tc>
              <w:tc>
                <w:tcPr>
                  <w:tcW w:w="1168" w:type="pct"/>
                  <w:tcBorders>
                    <w:tl2br w:val="nil"/>
                    <w:tr2bl w:val="nil"/>
                  </w:tcBorders>
                  <w:vAlign w:val="center"/>
                </w:tcPr>
                <w:p w14:paraId="2107AF23">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b/>
                      <w:color w:val="auto"/>
                      <w:kern w:val="2"/>
                      <w:szCs w:val="21"/>
                    </w:rPr>
                  </w:pPr>
                  <w:r>
                    <w:rPr>
                      <w:rFonts w:hint="default" w:ascii="Times New Roman" w:hAnsi="Times New Roman"/>
                      <w:b/>
                      <w:color w:val="auto"/>
                      <w:kern w:val="2"/>
                      <w:szCs w:val="21"/>
                    </w:rPr>
                    <w:t>对照分析</w:t>
                  </w:r>
                </w:p>
              </w:tc>
            </w:tr>
            <w:tr w14:paraId="06679D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vAlign w:val="center"/>
                </w:tcPr>
                <w:p w14:paraId="11D1A8D3">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color w:val="auto"/>
                      <w:kern w:val="2"/>
                      <w:szCs w:val="21"/>
                    </w:rPr>
                  </w:pPr>
                  <w:r>
                    <w:rPr>
                      <w:rFonts w:hint="eastAsia" w:ascii="Times New Roman" w:hAnsi="Times New Roman"/>
                      <w:color w:val="auto"/>
                      <w:kern w:val="2"/>
                      <w:szCs w:val="21"/>
                    </w:rPr>
                    <w:t>明确</w:t>
                  </w:r>
                  <w:r>
                    <w:rPr>
                      <w:rFonts w:hint="default" w:ascii="Times New Roman" w:hAnsi="Times New Roman"/>
                      <w:color w:val="auto"/>
                      <w:kern w:val="2"/>
                      <w:szCs w:val="21"/>
                    </w:rPr>
                    <w:t>替代要求</w:t>
                  </w:r>
                </w:p>
              </w:tc>
              <w:tc>
                <w:tcPr>
                  <w:tcW w:w="3420" w:type="pct"/>
                  <w:tcBorders>
                    <w:tl2br w:val="nil"/>
                    <w:tr2bl w:val="nil"/>
                  </w:tcBorders>
                  <w:vAlign w:val="center"/>
                </w:tcPr>
                <w:p w14:paraId="224733F2">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color w:val="auto"/>
                      <w:spacing w:val="-2"/>
                      <w:kern w:val="2"/>
                      <w:szCs w:val="21"/>
                    </w:rPr>
                  </w:pPr>
                  <w:r>
                    <w:rPr>
                      <w:rFonts w:hint="eastAsia" w:ascii="Times New Roman" w:hAnsi="Times New Roman"/>
                      <w:color w:val="auto"/>
                      <w:spacing w:val="-2"/>
                      <w:kern w:val="2"/>
                      <w:szCs w:val="21"/>
                    </w:rPr>
                    <w:t>以工业涂装、包装印刷、木材加工、纺织等行业为重点，按照省大气办《关于印发江苏省挥发性有机物清洁原料替代工作方案的通知》中源头替代具体要求，加快推进182 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 含量的限值要求。</w:t>
                  </w:r>
                </w:p>
              </w:tc>
              <w:tc>
                <w:tcPr>
                  <w:tcW w:w="1168" w:type="pct"/>
                  <w:tcBorders>
                    <w:tl2br w:val="nil"/>
                    <w:tr2bl w:val="nil"/>
                  </w:tcBorders>
                  <w:vAlign w:val="center"/>
                </w:tcPr>
                <w:p w14:paraId="221C5FD9">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color w:val="auto"/>
                      <w:spacing w:val="-2"/>
                      <w:kern w:val="2"/>
                      <w:szCs w:val="21"/>
                    </w:rPr>
                  </w:pPr>
                  <w:r>
                    <w:rPr>
                      <w:rFonts w:hint="eastAsia" w:ascii="Times New Roman" w:hAnsi="Times New Roman"/>
                      <w:color w:val="auto"/>
                      <w:spacing w:val="-2"/>
                      <w:kern w:val="2"/>
                      <w:szCs w:val="21"/>
                    </w:rPr>
                    <w:t>本项目</w:t>
                  </w:r>
                  <w:r>
                    <w:rPr>
                      <w:rFonts w:hint="eastAsia" w:ascii="Times New Roman" w:hAnsi="Times New Roman"/>
                      <w:color w:val="auto"/>
                      <w:lang w:val="en-US"/>
                    </w:rPr>
                    <w:t>属于</w:t>
                  </w:r>
                  <w:r>
                    <w:rPr>
                      <w:rFonts w:hint="eastAsia" w:ascii="Times New Roman" w:hAnsi="Times New Roman"/>
                      <w:color w:val="auto"/>
                      <w:szCs w:val="28"/>
                      <w:lang w:val="en-US"/>
                    </w:rPr>
                    <w:t>C1499其他未列明食品制造、C1492保健食品制造，</w:t>
                  </w:r>
                  <w:r>
                    <w:rPr>
                      <w:rFonts w:hint="default" w:ascii="Times New Roman" w:hAnsi="Times New Roman"/>
                      <w:color w:val="auto"/>
                      <w:spacing w:val="-2"/>
                      <w:kern w:val="2"/>
                      <w:szCs w:val="21"/>
                    </w:rPr>
                    <w:t>不属于工业</w:t>
                  </w:r>
                  <w:r>
                    <w:rPr>
                      <w:rFonts w:hint="eastAsia" w:ascii="Times New Roman" w:hAnsi="Times New Roman"/>
                      <w:color w:val="auto"/>
                      <w:spacing w:val="-2"/>
                      <w:kern w:val="2"/>
                      <w:szCs w:val="21"/>
                    </w:rPr>
                    <w:t>涂装、包装印刷、木材加工、纺织等行业。</w:t>
                  </w:r>
                  <w:r>
                    <w:rPr>
                      <w:rFonts w:hint="eastAsia" w:ascii="Times New Roman" w:hAnsi="Times New Roman"/>
                      <w:color w:val="auto"/>
                      <w:spacing w:val="-2"/>
                      <w:kern w:val="2"/>
                      <w:szCs w:val="21"/>
                      <w:lang w:val="en-US"/>
                    </w:rPr>
                    <w:t>本项目清洗用水主要为纯水。</w:t>
                  </w:r>
                  <w:r>
                    <w:rPr>
                      <w:rFonts w:hint="default" w:ascii="Times New Roman" w:hAnsi="Times New Roman"/>
                      <w:color w:val="auto"/>
                      <w:spacing w:val="-2"/>
                      <w:kern w:val="2"/>
                      <w:szCs w:val="21"/>
                    </w:rPr>
                    <w:t>因此</w:t>
                  </w:r>
                  <w:r>
                    <w:rPr>
                      <w:rFonts w:hint="eastAsia" w:ascii="Times New Roman" w:hAnsi="Times New Roman"/>
                      <w:color w:val="auto"/>
                      <w:spacing w:val="-2"/>
                      <w:kern w:val="2"/>
                      <w:szCs w:val="21"/>
                    </w:rPr>
                    <w:t>，</w:t>
                  </w:r>
                  <w:r>
                    <w:rPr>
                      <w:rFonts w:hint="default" w:ascii="Times New Roman" w:hAnsi="Times New Roman"/>
                      <w:color w:val="auto"/>
                      <w:spacing w:val="-2"/>
                      <w:kern w:val="2"/>
                      <w:szCs w:val="21"/>
                    </w:rPr>
                    <w:t>符合文件要求。</w:t>
                  </w:r>
                </w:p>
              </w:tc>
            </w:tr>
            <w:tr w14:paraId="417859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1" w:type="pct"/>
                  <w:tcBorders>
                    <w:tl2br w:val="nil"/>
                    <w:tr2bl w:val="nil"/>
                  </w:tcBorders>
                  <w:vAlign w:val="center"/>
                </w:tcPr>
                <w:p w14:paraId="3D8B1C62">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color w:val="auto"/>
                      <w:kern w:val="2"/>
                      <w:szCs w:val="21"/>
                    </w:rPr>
                  </w:pPr>
                  <w:r>
                    <w:rPr>
                      <w:rFonts w:hint="eastAsia" w:ascii="Times New Roman" w:hAnsi="Times New Roman"/>
                      <w:color w:val="auto"/>
                      <w:kern w:val="2"/>
                      <w:szCs w:val="21"/>
                    </w:rPr>
                    <w:t>严格</w:t>
                  </w:r>
                  <w:r>
                    <w:rPr>
                      <w:rFonts w:hint="default" w:ascii="Times New Roman" w:hAnsi="Times New Roman"/>
                      <w:color w:val="auto"/>
                      <w:kern w:val="2"/>
                      <w:szCs w:val="21"/>
                    </w:rPr>
                    <w:t>准入条件</w:t>
                  </w:r>
                </w:p>
              </w:tc>
              <w:tc>
                <w:tcPr>
                  <w:tcW w:w="3420" w:type="pct"/>
                  <w:tcBorders>
                    <w:tl2br w:val="nil"/>
                    <w:tr2bl w:val="nil"/>
                  </w:tcBorders>
                  <w:vAlign w:val="center"/>
                </w:tcPr>
                <w:p w14:paraId="3CFDF4FF">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color w:val="auto"/>
                      <w:spacing w:val="-2"/>
                      <w:kern w:val="2"/>
                      <w:szCs w:val="21"/>
                    </w:rPr>
                  </w:pPr>
                  <w:r>
                    <w:rPr>
                      <w:rFonts w:hint="eastAsia" w:ascii="Times New Roman" w:hAnsi="Times New Roman"/>
                      <w:color w:val="auto"/>
                      <w:spacing w:val="-2"/>
                      <w:kern w:val="2"/>
                      <w:szCs w:val="21"/>
                    </w:rPr>
                    <w:t>禁止建设生产和使用高VOCs含量的涂料、油墨、胶黏剂等项目。2021年起，全省工业涂装、包装印刷、纺织、木材加工等行业以及涂料、油墨等生产企业的新（改、扩）建项目需满足低（无）VOCs含量限值要求。全市市场上流通的水性涂料等低挥发性有机物含量涂料产品，执行国家《低挥发性有机化合物含量涂料产品技术要求》（GB/T 38597-2020）。</w:t>
                  </w:r>
                </w:p>
              </w:tc>
              <w:tc>
                <w:tcPr>
                  <w:tcW w:w="1168" w:type="pct"/>
                  <w:tcBorders>
                    <w:tl2br w:val="nil"/>
                    <w:tr2bl w:val="nil"/>
                  </w:tcBorders>
                  <w:vAlign w:val="center"/>
                </w:tcPr>
                <w:p w14:paraId="72B78CB3">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color w:val="auto"/>
                      <w:spacing w:val="-2"/>
                      <w:kern w:val="2"/>
                      <w:szCs w:val="21"/>
                    </w:rPr>
                  </w:pPr>
                  <w:r>
                    <w:rPr>
                      <w:rFonts w:hint="eastAsia" w:ascii="Times New Roman" w:hAnsi="Times New Roman"/>
                      <w:color w:val="auto"/>
                      <w:spacing w:val="-2"/>
                      <w:kern w:val="2"/>
                      <w:szCs w:val="21"/>
                    </w:rPr>
                    <w:t>本项目</w:t>
                  </w:r>
                  <w:r>
                    <w:rPr>
                      <w:rFonts w:hint="default" w:ascii="Times New Roman" w:hAnsi="Times New Roman"/>
                      <w:color w:val="auto"/>
                      <w:spacing w:val="-2"/>
                      <w:kern w:val="2"/>
                      <w:szCs w:val="21"/>
                    </w:rPr>
                    <w:t>不生产和使用高VOCs含量的涂料、油墨及</w:t>
                  </w:r>
                  <w:r>
                    <w:rPr>
                      <w:rFonts w:hint="eastAsia" w:ascii="Times New Roman" w:hAnsi="Times New Roman"/>
                      <w:color w:val="auto"/>
                      <w:spacing w:val="-2"/>
                      <w:kern w:val="2"/>
                      <w:szCs w:val="21"/>
                    </w:rPr>
                    <w:t>胶黏剂等。</w:t>
                  </w:r>
                  <w:r>
                    <w:rPr>
                      <w:rFonts w:hint="default" w:ascii="Times New Roman" w:hAnsi="Times New Roman"/>
                      <w:color w:val="auto"/>
                      <w:spacing w:val="-2"/>
                      <w:kern w:val="2"/>
                      <w:szCs w:val="21"/>
                    </w:rPr>
                    <w:t>因此，符合文件要求。</w:t>
                  </w:r>
                </w:p>
              </w:tc>
            </w:tr>
          </w:tbl>
          <w:p w14:paraId="3D7AD008">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由上表可知，本项目符合</w:t>
            </w:r>
            <w:r>
              <w:rPr>
                <w:rFonts w:hint="eastAsia" w:eastAsia="仿宋_GB2312"/>
                <w:color w:val="auto"/>
                <w:kern w:val="0"/>
                <w:sz w:val="24"/>
              </w:rPr>
              <w:t>常污防攻坚指办[2021]32号文</w:t>
            </w:r>
            <w:r>
              <w:rPr>
                <w:rFonts w:hint="default" w:eastAsia="仿宋_GB2312"/>
                <w:color w:val="auto"/>
                <w:kern w:val="0"/>
                <w:sz w:val="24"/>
              </w:rPr>
              <w:t>的相关要求。</w:t>
            </w:r>
          </w:p>
          <w:p w14:paraId="08EA17C8">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（1</w:t>
            </w:r>
            <w:r>
              <w:rPr>
                <w:rFonts w:hint="eastAsia" w:eastAsia="仿宋_GB2312"/>
                <w:b/>
                <w:color w:val="auto"/>
                <w:kern w:val="0"/>
                <w:sz w:val="24"/>
                <w:lang w:val="en-US" w:eastAsia="zh-CN"/>
              </w:rPr>
              <w:t>0</w:t>
            </w:r>
            <w:r>
              <w:rPr>
                <w:rFonts w:hint="default" w:eastAsia="仿宋_GB2312"/>
                <w:b/>
                <w:color w:val="auto"/>
                <w:kern w:val="0"/>
                <w:sz w:val="24"/>
              </w:rPr>
              <w:t>）与《关于深入打好污染防治攻坚战的实施意见》（中共江苏省委江苏省人民政府，2022年1月24日）相符性分析</w:t>
            </w:r>
          </w:p>
          <w:p w14:paraId="46820F50">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对照《关于深入打好污染防治攻坚战的实施意见》（中共江苏省委江苏省人民政府，2022年1月24日），分析如下：</w:t>
            </w:r>
          </w:p>
          <w:p w14:paraId="71BF70C6">
            <w:pPr>
              <w:keepNext w:val="0"/>
              <w:keepLines w:val="0"/>
              <w:suppressLineNumbers w:val="0"/>
              <w:spacing w:before="0" w:beforeAutospacing="0" w:after="0" w:afterAutospacing="0"/>
              <w:ind w:left="0" w:right="0" w:firstLine="422" w:firstLineChars="200"/>
              <w:contextualSpacing/>
              <w:jc w:val="center"/>
              <w:rPr>
                <w:rFonts w:hint="eastAsia" w:ascii="Times New Roman" w:hAnsi="Times New Roman" w:eastAsia="仿宋_GB2312" w:cs="Times New Roman"/>
                <w:b/>
                <w:color w:val="auto"/>
                <w:sz w:val="21"/>
                <w:szCs w:val="21"/>
              </w:rPr>
            </w:pPr>
            <w:r>
              <w:rPr>
                <w:rFonts w:hint="eastAsia" w:ascii="Times New Roman" w:hAnsi="Times New Roman" w:eastAsia="仿宋_GB2312" w:cs="Times New Roman"/>
                <w:b/>
                <w:color w:val="auto"/>
                <w:sz w:val="21"/>
                <w:szCs w:val="21"/>
              </w:rPr>
              <w:t>表1</w:t>
            </w:r>
            <w:r>
              <w:rPr>
                <w:rFonts w:hint="eastAsia" w:eastAsia="仿宋_GB2312" w:cs="Times New Roman"/>
                <w:b/>
                <w:color w:val="auto"/>
                <w:sz w:val="21"/>
                <w:szCs w:val="21"/>
                <w:lang w:val="en-US" w:eastAsia="zh-CN"/>
              </w:rPr>
              <w:t>-6</w:t>
            </w:r>
            <w:r>
              <w:rPr>
                <w:rFonts w:hint="eastAsia" w:ascii="Times New Roman" w:hAnsi="Times New Roman" w:eastAsia="仿宋_GB2312" w:cs="Times New Roman"/>
                <w:b/>
                <w:color w:val="auto"/>
                <w:sz w:val="21"/>
                <w:szCs w:val="21"/>
              </w:rPr>
              <w:t xml:space="preserve">  与《关于深入打好污染防治攻坚战的实施意见》对照分析</w:t>
            </w:r>
          </w:p>
          <w:tbl>
            <w:tblPr>
              <w:tblStyle w:val="167"/>
              <w:tblW w:w="497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1478"/>
              <w:gridCol w:w="4322"/>
              <w:gridCol w:w="2791"/>
            </w:tblGrid>
            <w:tr w14:paraId="7E6B20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606" w:type="dxa"/>
                  <w:tcBorders>
                    <w:tl2br w:val="nil"/>
                    <w:tr2bl w:val="nil"/>
                  </w:tcBorders>
                  <w:vAlign w:val="center"/>
                </w:tcPr>
                <w:p w14:paraId="083241FE">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b/>
                      <w:color w:val="auto"/>
                      <w:szCs w:val="21"/>
                    </w:rPr>
                  </w:pPr>
                  <w:r>
                    <w:rPr>
                      <w:rFonts w:hint="eastAsia" w:ascii="Times New Roman" w:hAnsi="Times New Roman"/>
                      <w:b/>
                      <w:color w:val="auto"/>
                    </w:rPr>
                    <w:t>类别</w:t>
                  </w:r>
                </w:p>
              </w:tc>
              <w:tc>
                <w:tcPr>
                  <w:tcW w:w="4720" w:type="dxa"/>
                  <w:tcBorders>
                    <w:tl2br w:val="nil"/>
                    <w:tr2bl w:val="nil"/>
                  </w:tcBorders>
                  <w:vAlign w:val="center"/>
                </w:tcPr>
                <w:p w14:paraId="2E53405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文件要求</w:t>
                  </w:r>
                </w:p>
              </w:tc>
              <w:tc>
                <w:tcPr>
                  <w:tcW w:w="2991" w:type="dxa"/>
                  <w:tcBorders>
                    <w:tl2br w:val="nil"/>
                    <w:tr2bl w:val="nil"/>
                  </w:tcBorders>
                  <w:vAlign w:val="center"/>
                </w:tcPr>
                <w:p w14:paraId="6DA7E36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highlight w:val="yellow"/>
                    </w:rPr>
                  </w:pPr>
                  <w:r>
                    <w:rPr>
                      <w:rFonts w:hint="eastAsia" w:ascii="Times New Roman" w:hAnsi="Times New Roman"/>
                      <w:b/>
                      <w:color w:val="auto"/>
                      <w:szCs w:val="21"/>
                    </w:rPr>
                    <w:t>对照分析</w:t>
                  </w:r>
                </w:p>
              </w:tc>
            </w:tr>
            <w:tr w14:paraId="2249A5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606" w:type="dxa"/>
                  <w:tcBorders>
                    <w:tl2br w:val="nil"/>
                    <w:tr2bl w:val="nil"/>
                  </w:tcBorders>
                  <w:vAlign w:val="center"/>
                </w:tcPr>
                <w:p w14:paraId="7C1C9F88">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rPr>
                  </w:pPr>
                  <w:r>
                    <w:rPr>
                      <w:rFonts w:hint="eastAsia" w:ascii="Times New Roman" w:hAnsi="Times New Roman"/>
                      <w:color w:val="auto"/>
                    </w:rPr>
                    <w:t>着力打好重污染天气消除攻坚战</w:t>
                  </w:r>
                </w:p>
              </w:tc>
              <w:tc>
                <w:tcPr>
                  <w:tcW w:w="4720" w:type="dxa"/>
                  <w:tcBorders>
                    <w:tl2br w:val="nil"/>
                    <w:tr2bl w:val="nil"/>
                  </w:tcBorders>
                  <w:vAlign w:val="center"/>
                </w:tcPr>
                <w:p w14:paraId="3E06A6F2">
                  <w:pPr>
                    <w:pStyle w:val="165"/>
                    <w:keepNext w:val="0"/>
                    <w:keepLines w:val="0"/>
                    <w:widowControl w:val="0"/>
                    <w:suppressLineNumbers w:val="0"/>
                    <w:snapToGrid w:val="0"/>
                    <w:spacing w:before="0" w:beforeAutospacing="0" w:after="0" w:afterAutospacing="0" w:line="320" w:lineRule="exact"/>
                    <w:ind w:left="0" w:right="0"/>
                    <w:jc w:val="both"/>
                    <w:rPr>
                      <w:rFonts w:hint="default" w:ascii="Times New Roman" w:hAnsi="Times New Roman"/>
                      <w:color w:val="auto"/>
                    </w:rPr>
                  </w:pPr>
                  <w:r>
                    <w:rPr>
                      <w:rFonts w:hint="eastAsia" w:ascii="Times New Roman" w:hAnsi="Times New Roman"/>
                      <w:color w:val="auto"/>
                    </w:rPr>
                    <w:t>加大重点行业污染治理力度，强化多污染物协同控制，推进PM</w:t>
                  </w:r>
                  <w:r>
                    <w:rPr>
                      <w:rFonts w:hint="eastAsia" w:ascii="Times New Roman" w:hAnsi="Times New Roman"/>
                      <w:color w:val="auto"/>
                      <w:vertAlign w:val="subscript"/>
                    </w:rPr>
                    <w:t>2.5</w:t>
                  </w:r>
                  <w:r>
                    <w:rPr>
                      <w:rFonts w:hint="eastAsia" w:ascii="Times New Roman" w:hAnsi="Times New Roman"/>
                      <w:color w:val="auto"/>
                    </w:rPr>
                    <w:t>和臭氧浓度“双控双减”，严格落实重污染天气应急管控措施，基本消除重污染天气。</w:t>
                  </w:r>
                </w:p>
              </w:tc>
              <w:tc>
                <w:tcPr>
                  <w:tcW w:w="2991" w:type="dxa"/>
                  <w:tcBorders>
                    <w:tl2br w:val="nil"/>
                    <w:tr2bl w:val="nil"/>
                  </w:tcBorders>
                  <w:vAlign w:val="center"/>
                </w:tcPr>
                <w:p w14:paraId="6E816EC8">
                  <w:pPr>
                    <w:pStyle w:val="165"/>
                    <w:keepNext w:val="0"/>
                    <w:keepLines w:val="0"/>
                    <w:widowControl w:val="0"/>
                    <w:suppressLineNumbers w:val="0"/>
                    <w:snapToGrid w:val="0"/>
                    <w:spacing w:before="0" w:beforeAutospacing="0" w:after="0" w:afterAutospacing="0" w:line="320" w:lineRule="exact"/>
                    <w:ind w:left="0" w:right="0"/>
                    <w:jc w:val="both"/>
                    <w:rPr>
                      <w:rFonts w:hint="default" w:ascii="Times New Roman" w:hAnsi="Times New Roman"/>
                      <w:color w:val="auto"/>
                    </w:rPr>
                  </w:pPr>
                  <w:r>
                    <w:rPr>
                      <w:rFonts w:hint="eastAsia" w:ascii="Times New Roman" w:hAnsi="Times New Roman"/>
                      <w:color w:val="auto"/>
                    </w:rPr>
                    <w:t>本项目生产过程中充分考虑污染的控制及污染物的收集，生产过程中产生的废气经有效收集处理后通过排气筒达标排放，符合文件要求。</w:t>
                  </w:r>
                </w:p>
              </w:tc>
            </w:tr>
            <w:tr w14:paraId="62DB7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606" w:type="dxa"/>
                  <w:tcBorders>
                    <w:tl2br w:val="nil"/>
                    <w:tr2bl w:val="nil"/>
                  </w:tcBorders>
                  <w:vAlign w:val="center"/>
                </w:tcPr>
                <w:p w14:paraId="37BEDE2F">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rPr>
                  </w:pPr>
                  <w:r>
                    <w:rPr>
                      <w:rFonts w:hint="eastAsia" w:ascii="Times New Roman" w:hAnsi="Times New Roman"/>
                      <w:color w:val="auto"/>
                    </w:rPr>
                    <w:t>强化危险废物全生命周期监管</w:t>
                  </w:r>
                </w:p>
              </w:tc>
              <w:tc>
                <w:tcPr>
                  <w:tcW w:w="4720" w:type="dxa"/>
                  <w:tcBorders>
                    <w:tl2br w:val="nil"/>
                    <w:tr2bl w:val="nil"/>
                  </w:tcBorders>
                  <w:vAlign w:val="center"/>
                </w:tcPr>
                <w:p w14:paraId="5635D912">
                  <w:pPr>
                    <w:pStyle w:val="165"/>
                    <w:keepNext w:val="0"/>
                    <w:keepLines w:val="0"/>
                    <w:widowControl w:val="0"/>
                    <w:suppressLineNumbers w:val="0"/>
                    <w:snapToGrid w:val="0"/>
                    <w:spacing w:before="0" w:beforeAutospacing="0" w:after="0" w:afterAutospacing="0" w:line="320" w:lineRule="exact"/>
                    <w:ind w:left="0" w:right="0"/>
                    <w:jc w:val="both"/>
                    <w:rPr>
                      <w:rFonts w:hint="default" w:ascii="Times New Roman" w:hAnsi="Times New Roman"/>
                      <w:color w:val="auto"/>
                    </w:rPr>
                  </w:pPr>
                  <w:r>
                    <w:rPr>
                      <w:rFonts w:hint="eastAsia" w:ascii="Times New Roman" w:hAnsi="Times New Roman"/>
                      <w:color w:val="auto"/>
                    </w:rPr>
                    <w:t>加强危险废物源头管控，严格项目准入，科学鉴定评价危险废物。</w:t>
                  </w:r>
                </w:p>
              </w:tc>
              <w:tc>
                <w:tcPr>
                  <w:tcW w:w="2991" w:type="dxa"/>
                  <w:tcBorders>
                    <w:tl2br w:val="nil"/>
                    <w:tr2bl w:val="nil"/>
                  </w:tcBorders>
                  <w:vAlign w:val="center"/>
                </w:tcPr>
                <w:p w14:paraId="2EA4D5B3">
                  <w:pPr>
                    <w:pStyle w:val="165"/>
                    <w:keepNext w:val="0"/>
                    <w:keepLines w:val="0"/>
                    <w:widowControl w:val="0"/>
                    <w:suppressLineNumbers w:val="0"/>
                    <w:snapToGrid w:val="0"/>
                    <w:spacing w:before="0" w:beforeAutospacing="0" w:after="0" w:afterAutospacing="0" w:line="320" w:lineRule="exact"/>
                    <w:ind w:left="0" w:right="0"/>
                    <w:jc w:val="both"/>
                    <w:rPr>
                      <w:rFonts w:hint="default" w:ascii="Times New Roman" w:hAnsi="Times New Roman"/>
                      <w:color w:val="auto"/>
                    </w:rPr>
                  </w:pPr>
                  <w:r>
                    <w:rPr>
                      <w:rFonts w:hint="eastAsia" w:ascii="Times New Roman" w:hAnsi="Times New Roman"/>
                      <w:color w:val="auto"/>
                    </w:rPr>
                    <w:t>本项目产生的各类危险废物均应有效收集、暂存后委托有资质单位处置；同时按照苏环办[2020]401号中相关要求落实危废全生命周期监管。</w:t>
                  </w:r>
                </w:p>
              </w:tc>
            </w:tr>
          </w:tbl>
          <w:p w14:paraId="5A55EB17">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rPr>
            </w:pPr>
            <w:r>
              <w:rPr>
                <w:rFonts w:hint="eastAsia" w:eastAsia="仿宋_GB2312"/>
                <w:color w:val="auto"/>
                <w:kern w:val="0"/>
                <w:sz w:val="24"/>
              </w:rPr>
              <w:t>由上表可知，本项目符合《关于深入打好污染防治攻坚战的实施意见》的相关要求。</w:t>
            </w:r>
          </w:p>
          <w:p w14:paraId="7D68D9AB">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（1</w:t>
            </w:r>
            <w:r>
              <w:rPr>
                <w:rFonts w:hint="eastAsia" w:eastAsia="仿宋_GB2312"/>
                <w:b/>
                <w:color w:val="auto"/>
                <w:kern w:val="0"/>
                <w:sz w:val="24"/>
                <w:lang w:val="en-US" w:eastAsia="zh-CN"/>
              </w:rPr>
              <w:t>1</w:t>
            </w:r>
            <w:r>
              <w:rPr>
                <w:rFonts w:hint="default" w:eastAsia="仿宋_GB2312"/>
                <w:b/>
                <w:color w:val="auto"/>
                <w:kern w:val="0"/>
                <w:sz w:val="24"/>
              </w:rPr>
              <w:t>）与《省生态环境厅关于进一步做好建设项目环评审批工作的通知》（苏环办[2019]36号）的相符性分析</w:t>
            </w:r>
          </w:p>
          <w:p w14:paraId="16A9A89E">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kern w:val="0"/>
                <w:sz w:val="24"/>
                <w:lang w:val="zh-CN"/>
              </w:rPr>
            </w:pPr>
            <w:r>
              <w:rPr>
                <w:rFonts w:hint="eastAsia" w:eastAsia="仿宋_GB2312"/>
                <w:color w:val="auto"/>
                <w:kern w:val="0"/>
                <w:sz w:val="24"/>
                <w:lang w:val="zh-CN"/>
              </w:rPr>
              <w:t>对照《省生态环境厅关于进一步做好建设项目环评审批工作的通知》（苏环办[2019]36号），分析如下：</w:t>
            </w:r>
          </w:p>
          <w:p w14:paraId="5CCD024C">
            <w:pPr>
              <w:keepNext w:val="0"/>
              <w:keepLines w:val="0"/>
              <w:suppressLineNumbers w:val="0"/>
              <w:spacing w:before="0" w:beforeAutospacing="0" w:after="0" w:afterAutospacing="0"/>
              <w:ind w:left="0" w:right="0" w:firstLine="422" w:firstLineChars="200"/>
              <w:contextualSpacing/>
              <w:jc w:val="center"/>
              <w:rPr>
                <w:rFonts w:hint="default" w:ascii="Times New Roman" w:hAnsi="Times New Roman" w:eastAsia="仿宋_GB2312" w:cs="Times New Roman"/>
                <w:b/>
                <w:color w:val="auto"/>
                <w:sz w:val="21"/>
                <w:szCs w:val="21"/>
              </w:rPr>
            </w:pPr>
            <w:r>
              <w:rPr>
                <w:rFonts w:hint="eastAsia" w:ascii="Times New Roman" w:hAnsi="Times New Roman" w:eastAsia="仿宋_GB2312" w:cs="Times New Roman"/>
                <w:b/>
                <w:color w:val="auto"/>
                <w:sz w:val="21"/>
                <w:szCs w:val="21"/>
              </w:rPr>
              <w:t>表1</w:t>
            </w:r>
            <w:r>
              <w:rPr>
                <w:rFonts w:hint="eastAsia" w:eastAsia="仿宋_GB2312" w:cs="Times New Roman"/>
                <w:b/>
                <w:color w:val="auto"/>
                <w:sz w:val="21"/>
                <w:szCs w:val="21"/>
                <w:lang w:val="en-US" w:eastAsia="zh-CN"/>
              </w:rPr>
              <w:t>-7</w:t>
            </w:r>
            <w:r>
              <w:rPr>
                <w:rFonts w:hint="default" w:ascii="Times New Roman" w:hAnsi="Times New Roman" w:eastAsia="仿宋_GB2312" w:cs="Times New Roman"/>
                <w:b/>
                <w:color w:val="auto"/>
                <w:sz w:val="21"/>
                <w:szCs w:val="21"/>
              </w:rPr>
              <w:t xml:space="preserve">  </w:t>
            </w:r>
            <w:r>
              <w:rPr>
                <w:rFonts w:hint="eastAsia" w:ascii="Times New Roman" w:hAnsi="Times New Roman" w:eastAsia="仿宋_GB2312" w:cs="Times New Roman"/>
                <w:b/>
                <w:color w:val="auto"/>
                <w:sz w:val="21"/>
                <w:szCs w:val="21"/>
              </w:rPr>
              <w:t>与苏环办[2019]36号文有关内容对照</w:t>
            </w:r>
          </w:p>
          <w:tbl>
            <w:tblPr>
              <w:tblStyle w:val="167"/>
              <w:tblW w:w="49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1882"/>
              <w:gridCol w:w="4068"/>
              <w:gridCol w:w="2661"/>
            </w:tblGrid>
            <w:tr w14:paraId="4141E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987" w:type="dxa"/>
                  <w:tcBorders>
                    <w:tl2br w:val="nil"/>
                    <w:tr2bl w:val="nil"/>
                  </w:tcBorders>
                  <w:vAlign w:val="center"/>
                </w:tcPr>
                <w:p w14:paraId="290206BE">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b/>
                      <w:color w:val="auto"/>
                      <w:szCs w:val="21"/>
                    </w:rPr>
                  </w:pPr>
                  <w:r>
                    <w:rPr>
                      <w:rFonts w:hint="eastAsia" w:ascii="Times New Roman" w:hAnsi="Times New Roman"/>
                      <w:b/>
                      <w:color w:val="auto"/>
                      <w:szCs w:val="21"/>
                    </w:rPr>
                    <w:t>类别</w:t>
                  </w:r>
                </w:p>
              </w:tc>
              <w:tc>
                <w:tcPr>
                  <w:tcW w:w="4442" w:type="dxa"/>
                  <w:tcBorders>
                    <w:tl2br w:val="nil"/>
                    <w:tr2bl w:val="nil"/>
                  </w:tcBorders>
                  <w:vAlign w:val="center"/>
                </w:tcPr>
                <w:p w14:paraId="008E252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苏环办[2019]36号文要求</w:t>
                  </w:r>
                </w:p>
              </w:tc>
              <w:tc>
                <w:tcPr>
                  <w:tcW w:w="2910" w:type="dxa"/>
                  <w:tcBorders>
                    <w:tl2br w:val="nil"/>
                    <w:tr2bl w:val="nil"/>
                  </w:tcBorders>
                  <w:vAlign w:val="center"/>
                </w:tcPr>
                <w:p w14:paraId="3F9501F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本项目</w:t>
                  </w:r>
                </w:p>
              </w:tc>
            </w:tr>
            <w:tr w14:paraId="42F61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987" w:type="dxa"/>
                  <w:tcBorders>
                    <w:tl2br w:val="nil"/>
                    <w:tr2bl w:val="nil"/>
                  </w:tcBorders>
                  <w:vAlign w:val="center"/>
                </w:tcPr>
                <w:p w14:paraId="542E3E48">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szCs w:val="21"/>
                    </w:rPr>
                  </w:pPr>
                  <w:r>
                    <w:rPr>
                      <w:rFonts w:hint="eastAsia" w:ascii="Times New Roman" w:hAnsi="Times New Roman"/>
                      <w:color w:val="auto"/>
                      <w:szCs w:val="21"/>
                    </w:rPr>
                    <w:t>《建设项目环境保护管理条例》</w:t>
                  </w:r>
                </w:p>
              </w:tc>
              <w:tc>
                <w:tcPr>
                  <w:tcW w:w="4442" w:type="dxa"/>
                  <w:tcBorders>
                    <w:tl2br w:val="nil"/>
                    <w:tr2bl w:val="nil"/>
                  </w:tcBorders>
                  <w:vAlign w:val="center"/>
                </w:tcPr>
                <w:p w14:paraId="46A875C6">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一、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w:t>
                  </w:r>
                </w:p>
              </w:tc>
              <w:tc>
                <w:tcPr>
                  <w:tcW w:w="2910" w:type="dxa"/>
                  <w:tcBorders>
                    <w:tl2br w:val="nil"/>
                    <w:tr2bl w:val="nil"/>
                  </w:tcBorders>
                  <w:vAlign w:val="center"/>
                </w:tcPr>
                <w:p w14:paraId="1A15052D">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①建设项目类型及其选址、布局、规模等符合环境保护法律法规和相关法定规划；②</w:t>
                  </w:r>
                  <w:r>
                    <w:rPr>
                      <w:rFonts w:hint="default" w:ascii="Times New Roman" w:hAnsi="Times New Roman"/>
                      <w:color w:val="auto"/>
                      <w:szCs w:val="21"/>
                    </w:rPr>
                    <w:t>本项目所在地为不达标区，本项目各废气因子排放量较小，所排放的污染物在区域内进行总量平衡，对周围空气环境影响较小</w:t>
                  </w:r>
                  <w:r>
                    <w:rPr>
                      <w:rFonts w:hint="eastAsia" w:ascii="Times New Roman" w:hAnsi="Times New Roman"/>
                      <w:color w:val="auto"/>
                      <w:szCs w:val="21"/>
                    </w:rPr>
                    <w:t>；③建设项目拟采取的污染防治措施确保污染物排放达到国家和地方排放标准。因此，符合文件要求。</w:t>
                  </w:r>
                </w:p>
              </w:tc>
            </w:tr>
            <w:tr w14:paraId="7EB760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987" w:type="dxa"/>
                  <w:tcBorders>
                    <w:tl2br w:val="nil"/>
                    <w:tr2bl w:val="nil"/>
                  </w:tcBorders>
                  <w:vAlign w:val="center"/>
                </w:tcPr>
                <w:p w14:paraId="0B154B96">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szCs w:val="21"/>
                    </w:rPr>
                  </w:pPr>
                  <w:r>
                    <w:rPr>
                      <w:rFonts w:hint="eastAsia" w:ascii="Times New Roman" w:hAnsi="Times New Roman"/>
                      <w:color w:val="auto"/>
                      <w:szCs w:val="21"/>
                    </w:rPr>
                    <w:t>《农用地土壤环境管理办法（试行）》(环境保护部 农业部令第46号)</w:t>
                  </w:r>
                </w:p>
              </w:tc>
              <w:tc>
                <w:tcPr>
                  <w:tcW w:w="4442" w:type="dxa"/>
                  <w:tcBorders>
                    <w:tl2br w:val="nil"/>
                    <w:tr2bl w:val="nil"/>
                  </w:tcBorders>
                  <w:vAlign w:val="center"/>
                </w:tcPr>
                <w:p w14:paraId="2D7909E9">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910" w:type="dxa"/>
                  <w:tcBorders>
                    <w:tl2br w:val="nil"/>
                    <w:tr2bl w:val="nil"/>
                  </w:tcBorders>
                  <w:vAlign w:val="center"/>
                </w:tcPr>
                <w:p w14:paraId="511715EA">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highlight w:val="yellow"/>
                    </w:rPr>
                  </w:pPr>
                  <w:r>
                    <w:rPr>
                      <w:rFonts w:hint="eastAsia" w:ascii="Times New Roman" w:hAnsi="Times New Roman"/>
                      <w:color w:val="auto"/>
                      <w:szCs w:val="21"/>
                    </w:rPr>
                    <w:t>本项目用地性质是工业用地，不属于优先保护类耕地集中区域，符合文件要求。</w:t>
                  </w:r>
                </w:p>
              </w:tc>
            </w:tr>
            <w:tr w14:paraId="6B09A1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987" w:type="dxa"/>
                  <w:tcBorders>
                    <w:tl2br w:val="nil"/>
                    <w:tr2bl w:val="nil"/>
                  </w:tcBorders>
                  <w:vAlign w:val="center"/>
                </w:tcPr>
                <w:p w14:paraId="6D9356D3">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szCs w:val="21"/>
                    </w:rPr>
                  </w:pPr>
                  <w:r>
                    <w:rPr>
                      <w:rFonts w:hint="eastAsia" w:ascii="Times New Roman" w:hAnsi="Times New Roman"/>
                      <w:color w:val="auto"/>
                      <w:szCs w:val="21"/>
                    </w:rPr>
                    <w:t>《关于印发&lt;建设项目主要污染物排放总量指标审核及管理暂行办法&gt;的通知》(环发[2014]197号)</w:t>
                  </w:r>
                </w:p>
              </w:tc>
              <w:tc>
                <w:tcPr>
                  <w:tcW w:w="4442" w:type="dxa"/>
                  <w:tcBorders>
                    <w:tl2br w:val="nil"/>
                    <w:tr2bl w:val="nil"/>
                  </w:tcBorders>
                  <w:vAlign w:val="center"/>
                </w:tcPr>
                <w:p w14:paraId="34C41E9F">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910" w:type="dxa"/>
                  <w:tcBorders>
                    <w:tl2br w:val="nil"/>
                    <w:tr2bl w:val="nil"/>
                  </w:tcBorders>
                  <w:vAlign w:val="center"/>
                </w:tcPr>
                <w:p w14:paraId="420168E2">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本项目拟严格落实污染物排放总量控制制度，</w:t>
                  </w:r>
                  <w:r>
                    <w:rPr>
                      <w:rFonts w:hint="default"/>
                      <w:color w:val="auto"/>
                      <w:szCs w:val="21"/>
                    </w:rPr>
                    <w:t>将于环境影响评价文件审批前取得主要污染物排放总量的控制指标和</w:t>
                  </w:r>
                  <w:r>
                    <w:rPr>
                      <w:rFonts w:hint="eastAsia"/>
                      <w:color w:val="auto"/>
                      <w:szCs w:val="21"/>
                    </w:rPr>
                    <w:t>减量替代</w:t>
                  </w:r>
                  <w:r>
                    <w:rPr>
                      <w:rFonts w:hint="default"/>
                      <w:color w:val="auto"/>
                      <w:szCs w:val="21"/>
                    </w:rPr>
                    <w:t>方案</w:t>
                  </w:r>
                  <w:r>
                    <w:rPr>
                      <w:rFonts w:hint="eastAsia" w:ascii="Times New Roman" w:hAnsi="Times New Roman"/>
                      <w:color w:val="auto"/>
                      <w:szCs w:val="21"/>
                    </w:rPr>
                    <w:t>，符合文件要求。</w:t>
                  </w:r>
                </w:p>
              </w:tc>
            </w:tr>
            <w:tr w14:paraId="198FAC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987" w:type="dxa"/>
                  <w:tcBorders>
                    <w:tl2br w:val="nil"/>
                    <w:tr2bl w:val="nil"/>
                  </w:tcBorders>
                  <w:vAlign w:val="center"/>
                </w:tcPr>
                <w:p w14:paraId="2D4FB2B7">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szCs w:val="21"/>
                    </w:rPr>
                  </w:pPr>
                  <w:r>
                    <w:rPr>
                      <w:rFonts w:hint="eastAsia" w:ascii="Times New Roman" w:hAnsi="Times New Roman"/>
                      <w:color w:val="auto"/>
                      <w:szCs w:val="21"/>
                    </w:rPr>
                    <w:t>《关于以改善环境质量为核心加强环境影响评价管理的通知》(环环评[2016]150号)</w:t>
                  </w:r>
                </w:p>
              </w:tc>
              <w:tc>
                <w:tcPr>
                  <w:tcW w:w="4442" w:type="dxa"/>
                  <w:tcBorders>
                    <w:tl2br w:val="nil"/>
                    <w:tr2bl w:val="nil"/>
                  </w:tcBorders>
                  <w:vAlign w:val="center"/>
                </w:tcPr>
                <w:p w14:paraId="06907893">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1）规划环评要作为规划所包含项目环评的重要依据，对于不符合规划环评结论及审查意见的项目环评，依法不予审批。（2）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2910" w:type="dxa"/>
                  <w:tcBorders>
                    <w:tl2br w:val="nil"/>
                    <w:tr2bl w:val="nil"/>
                  </w:tcBorders>
                  <w:vAlign w:val="center"/>
                </w:tcPr>
                <w:p w14:paraId="46FFB7E9">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①本项目符合区域规划环评结论及审查意见。②本项目所在地为不达标区，项目建设后</w:t>
                  </w:r>
                  <w:r>
                    <w:rPr>
                      <w:rFonts w:hint="default" w:ascii="Times New Roman" w:hAnsi="Times New Roman"/>
                      <w:color w:val="auto"/>
                      <w:szCs w:val="21"/>
                    </w:rPr>
                    <w:t>所排放的污染物在区域内进行总量平衡，对周围空气环境影响较小</w:t>
                  </w:r>
                  <w:r>
                    <w:rPr>
                      <w:rFonts w:hint="eastAsia" w:ascii="Times New Roman" w:hAnsi="Times New Roman"/>
                      <w:color w:val="auto"/>
                      <w:szCs w:val="21"/>
                    </w:rPr>
                    <w:t>。</w:t>
                  </w:r>
                </w:p>
              </w:tc>
            </w:tr>
            <w:tr w14:paraId="76C793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987" w:type="dxa"/>
                  <w:tcBorders>
                    <w:tl2br w:val="nil"/>
                    <w:tr2bl w:val="nil"/>
                  </w:tcBorders>
                  <w:vAlign w:val="center"/>
                </w:tcPr>
                <w:p w14:paraId="2ACD89B3">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szCs w:val="21"/>
                    </w:rPr>
                  </w:pPr>
                  <w:r>
                    <w:rPr>
                      <w:rFonts w:hint="eastAsia" w:ascii="Times New Roman" w:hAnsi="Times New Roman"/>
                      <w:color w:val="auto"/>
                      <w:szCs w:val="21"/>
                    </w:rPr>
                    <w:t>《关于全面加强生态环境保护坚决打好污染防治攻坚战的实施意见》(苏发[2018]24号)</w:t>
                  </w:r>
                </w:p>
              </w:tc>
              <w:tc>
                <w:tcPr>
                  <w:tcW w:w="4442" w:type="dxa"/>
                  <w:tcBorders>
                    <w:tl2br w:val="nil"/>
                    <w:tr2bl w:val="nil"/>
                  </w:tcBorders>
                  <w:vAlign w:val="center"/>
                </w:tcPr>
                <w:p w14:paraId="04DF7EA9">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2910" w:type="dxa"/>
                  <w:tcBorders>
                    <w:tl2br w:val="nil"/>
                    <w:tr2bl w:val="nil"/>
                  </w:tcBorders>
                  <w:vAlign w:val="center"/>
                </w:tcPr>
                <w:p w14:paraId="62D75D2D">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本项目不属于化工项目，</w:t>
                  </w:r>
                  <w:r>
                    <w:rPr>
                      <w:rFonts w:hint="eastAsia" w:ascii="Times New Roman" w:hAnsi="Times New Roman"/>
                      <w:color w:val="auto"/>
                      <w:spacing w:val="-2"/>
                    </w:rPr>
                    <w:t>总投资为</w:t>
                  </w:r>
                  <w:r>
                    <w:rPr>
                      <w:rFonts w:hint="default" w:ascii="Times New Roman" w:hAnsi="Times New Roman"/>
                      <w:color w:val="auto"/>
                      <w:spacing w:val="-2"/>
                    </w:rPr>
                    <w:t>5000万元</w:t>
                  </w:r>
                  <w:r>
                    <w:rPr>
                      <w:rFonts w:hint="eastAsia" w:ascii="Times New Roman" w:hAnsi="Times New Roman"/>
                      <w:color w:val="auto"/>
                      <w:spacing w:val="-2"/>
                    </w:rPr>
                    <w:t>；</w:t>
                  </w:r>
                  <w:r>
                    <w:rPr>
                      <w:rFonts w:hint="eastAsia" w:ascii="Times New Roman" w:hAnsi="Times New Roman"/>
                      <w:color w:val="auto"/>
                      <w:szCs w:val="21"/>
                    </w:rPr>
                    <w:t>不在长江干流及主要支流岸线1公里范围内；本项目不生产三类中间体产品。因此，符合文件要求。</w:t>
                  </w:r>
                </w:p>
              </w:tc>
            </w:tr>
            <w:tr w14:paraId="04C3D1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1987" w:type="dxa"/>
                  <w:tcBorders>
                    <w:tl2br w:val="nil"/>
                    <w:tr2bl w:val="nil"/>
                  </w:tcBorders>
                  <w:vAlign w:val="center"/>
                </w:tcPr>
                <w:p w14:paraId="7EED1A0F">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szCs w:val="21"/>
                    </w:rPr>
                  </w:pPr>
                  <w:r>
                    <w:rPr>
                      <w:rFonts w:hint="eastAsia" w:ascii="Times New Roman" w:hAnsi="Times New Roman"/>
                      <w:color w:val="auto"/>
                      <w:szCs w:val="21"/>
                    </w:rPr>
                    <w:t>《省政府关于印发江苏省国家级生态保护红线规划的通知》(苏政发[2018]74号)</w:t>
                  </w:r>
                </w:p>
              </w:tc>
              <w:tc>
                <w:tcPr>
                  <w:tcW w:w="4442" w:type="dxa"/>
                  <w:tcBorders>
                    <w:tl2br w:val="nil"/>
                    <w:tr2bl w:val="nil"/>
                  </w:tcBorders>
                  <w:vAlign w:val="center"/>
                </w:tcPr>
                <w:p w14:paraId="6D2736B5">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rPr>
                  </w:pPr>
                  <w:r>
                    <w:rPr>
                      <w:rFonts w:hint="eastAsia" w:ascii="Times New Roman" w:hAnsi="Times New Roman"/>
                      <w:color w:val="auto"/>
                      <w:szCs w:val="21"/>
                    </w:rPr>
                    <w:t>生态保护红线原则上按禁止开发区域的要求进行管理，严禁不符合主体功能定位的各类开发活动，严禁任意改变用途。</w:t>
                  </w:r>
                </w:p>
              </w:tc>
              <w:tc>
                <w:tcPr>
                  <w:tcW w:w="2910" w:type="dxa"/>
                  <w:tcBorders>
                    <w:tl2br w:val="nil"/>
                    <w:tr2bl w:val="nil"/>
                  </w:tcBorders>
                  <w:vAlign w:val="center"/>
                </w:tcPr>
                <w:p w14:paraId="4D574EA7">
                  <w:pPr>
                    <w:pStyle w:val="165"/>
                    <w:keepNext w:val="0"/>
                    <w:keepLines w:val="0"/>
                    <w:widowControl w:val="0"/>
                    <w:suppressLineNumbers w:val="0"/>
                    <w:snapToGrid w:val="0"/>
                    <w:spacing w:before="0" w:beforeAutospacing="0" w:after="0" w:afterAutospacing="0" w:line="320" w:lineRule="exact"/>
                    <w:ind w:left="0" w:right="0"/>
                    <w:jc w:val="left"/>
                    <w:rPr>
                      <w:rFonts w:hint="default" w:ascii="Times New Roman" w:hAnsi="Times New Roman"/>
                      <w:color w:val="auto"/>
                      <w:szCs w:val="21"/>
                      <w:highlight w:val="yellow"/>
                    </w:rPr>
                  </w:pPr>
                  <w:r>
                    <w:rPr>
                      <w:rFonts w:hint="eastAsia" w:ascii="Times New Roman" w:hAnsi="Times New Roman"/>
                      <w:color w:val="auto"/>
                      <w:szCs w:val="21"/>
                    </w:rPr>
                    <w:t>本项目位于金坛金城科技产业园内，不在《江苏省国家级生态保护红线规划》规定的国家级生态保护红线区域范围内，不在《江苏省生态空间管控区域规划》中规定的国家级生态保护红线及生态空间管控区域范围内，符合文件要求。</w:t>
                  </w:r>
                </w:p>
              </w:tc>
            </w:tr>
          </w:tbl>
          <w:p w14:paraId="4DC52399">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eastAsia" w:eastAsia="仿宋_GB2312"/>
                <w:color w:val="auto"/>
                <w:kern w:val="0"/>
                <w:sz w:val="24"/>
                <w:lang w:val="zh-CN"/>
              </w:rPr>
            </w:pPr>
            <w:r>
              <w:rPr>
                <w:rFonts w:hint="eastAsia" w:eastAsia="仿宋_GB2312"/>
                <w:color w:val="auto"/>
                <w:kern w:val="0"/>
                <w:sz w:val="24"/>
                <w:lang w:val="zh-CN"/>
              </w:rPr>
              <w:t>由上表可知，本项目符合苏环办[2019]36号文的相关要求。</w:t>
            </w:r>
          </w:p>
          <w:p w14:paraId="7BD5E5B8">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color w:val="auto"/>
                <w:kern w:val="0"/>
                <w:sz w:val="24"/>
              </w:rPr>
            </w:pPr>
            <w:r>
              <w:rPr>
                <w:rFonts w:hint="default" w:eastAsia="仿宋_GB2312"/>
                <w:b/>
                <w:color w:val="auto"/>
                <w:kern w:val="0"/>
                <w:sz w:val="24"/>
              </w:rPr>
              <w:t>（1</w:t>
            </w:r>
            <w:r>
              <w:rPr>
                <w:rFonts w:hint="eastAsia" w:eastAsia="仿宋_GB2312"/>
                <w:b/>
                <w:color w:val="auto"/>
                <w:kern w:val="0"/>
                <w:sz w:val="24"/>
                <w:lang w:val="en-US" w:eastAsia="zh-CN"/>
              </w:rPr>
              <w:t>2</w:t>
            </w:r>
            <w:r>
              <w:rPr>
                <w:rFonts w:hint="default" w:eastAsia="仿宋_GB2312"/>
                <w:b/>
                <w:color w:val="auto"/>
                <w:kern w:val="0"/>
                <w:sz w:val="24"/>
              </w:rPr>
              <w:t>）与《江苏省“两高”项目管理名录（2025版）》（苏发改规发〔2025〕4号）相符性分析</w:t>
            </w:r>
          </w:p>
          <w:p w14:paraId="2895B801">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rPr>
                <w:rFonts w:hint="default" w:eastAsia="仿宋_GB2312"/>
                <w:b w:val="0"/>
                <w:bCs/>
                <w:color w:val="auto"/>
                <w:kern w:val="0"/>
                <w:sz w:val="24"/>
              </w:rPr>
            </w:pPr>
            <w:r>
              <w:rPr>
                <w:rFonts w:hint="default" w:eastAsia="仿宋_GB2312"/>
                <w:b/>
                <w:color w:val="auto"/>
                <w:kern w:val="0"/>
                <w:sz w:val="24"/>
              </w:rPr>
              <w:t>相符性分析：</w:t>
            </w:r>
            <w:r>
              <w:rPr>
                <w:rFonts w:hint="default" w:eastAsia="仿宋_GB2312"/>
                <w:b w:val="0"/>
                <w:bCs/>
                <w:color w:val="auto"/>
                <w:kern w:val="0"/>
                <w:sz w:val="24"/>
              </w:rPr>
              <w:t>对照《江苏省“两高”项目管理名录（2025版）》，本项目行业类别为C1499其他未列明食品制造、C1492保健食品制造，不属于《江苏省“两高”项目管理目录（2025年版）》中“两高”项目。</w:t>
            </w:r>
          </w:p>
          <w:p w14:paraId="749B837B">
            <w:pPr>
              <w:keepNext w:val="0"/>
              <w:keepLines w:val="0"/>
              <w:widowControl/>
              <w:suppressLineNumbers w:val="0"/>
              <w:spacing w:before="0" w:beforeAutospacing="0" w:after="0" w:afterAutospacing="0" w:line="500" w:lineRule="exact"/>
              <w:ind w:left="0" w:right="0" w:firstLine="482" w:firstLineChars="200"/>
              <w:rPr>
                <w:rFonts w:hint="default" w:eastAsia="仿宋_GB2312"/>
                <w:b/>
                <w:bCs/>
                <w:color w:val="auto"/>
                <w:kern w:val="0"/>
                <w:sz w:val="24"/>
              </w:rPr>
            </w:pPr>
            <w:r>
              <w:rPr>
                <w:rFonts w:hint="default" w:eastAsia="仿宋_GB2312"/>
                <w:b/>
                <w:bCs/>
                <w:color w:val="auto"/>
                <w:kern w:val="0"/>
                <w:sz w:val="24"/>
              </w:rPr>
              <w:t>（</w:t>
            </w:r>
            <w:r>
              <w:rPr>
                <w:rFonts w:hint="eastAsia" w:eastAsia="仿宋_GB2312"/>
                <w:b/>
                <w:bCs/>
                <w:color w:val="auto"/>
                <w:kern w:val="0"/>
                <w:sz w:val="24"/>
                <w:lang w:val="en-US" w:eastAsia="zh-CN"/>
              </w:rPr>
              <w:t>13</w:t>
            </w:r>
            <w:r>
              <w:rPr>
                <w:rFonts w:hint="default" w:eastAsia="仿宋_GB2312"/>
                <w:b/>
                <w:bCs/>
                <w:color w:val="auto"/>
                <w:kern w:val="0"/>
                <w:sz w:val="24"/>
              </w:rPr>
              <w:t>）结论</w:t>
            </w:r>
          </w:p>
          <w:p w14:paraId="0A8C672D">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rPr>
            </w:pPr>
            <w:r>
              <w:rPr>
                <w:rFonts w:hint="default" w:eastAsia="仿宋_GB2312"/>
                <w:color w:val="auto"/>
                <w:kern w:val="0"/>
                <w:sz w:val="24"/>
              </w:rPr>
              <w:t>综上所述，本项目符合现行国家及地方产业、行业政策。</w:t>
            </w:r>
          </w:p>
          <w:p w14:paraId="4827E6C3">
            <w:pPr>
              <w:keepNext w:val="0"/>
              <w:keepLines w:val="0"/>
              <w:suppressLineNumbers w:val="0"/>
              <w:spacing w:before="0" w:beforeAutospacing="0" w:after="0" w:afterAutospacing="0" w:line="500" w:lineRule="exact"/>
              <w:ind w:left="0" w:right="0"/>
              <w:rPr>
                <w:rStyle w:val="130"/>
                <w:rFonts w:hint="default" w:eastAsia="仿宋_GB2312"/>
                <w:color w:val="auto"/>
                <w:sz w:val="24"/>
              </w:rPr>
            </w:pPr>
            <w:r>
              <w:rPr>
                <w:rStyle w:val="130"/>
                <w:rFonts w:hint="default" w:eastAsia="仿宋_GB2312"/>
                <w:color w:val="auto"/>
                <w:sz w:val="24"/>
              </w:rPr>
              <w:t>三、选址合理性</w:t>
            </w:r>
          </w:p>
          <w:p w14:paraId="673B0E15">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eastAsia" w:eastAsia="仿宋_GB2312"/>
                <w:b w:val="0"/>
                <w:bCs/>
                <w:color w:val="auto"/>
                <w:kern w:val="0"/>
                <w:sz w:val="24"/>
                <w:lang w:val="en-US" w:eastAsia="zh-CN"/>
              </w:rPr>
            </w:pPr>
            <w:bookmarkStart w:id="5" w:name="OLE_LINK7"/>
            <w:r>
              <w:rPr>
                <w:rFonts w:hint="eastAsia" w:eastAsia="仿宋_GB2312"/>
                <w:b w:val="0"/>
                <w:bCs/>
                <w:color w:val="auto"/>
                <w:kern w:val="0"/>
                <w:sz w:val="24"/>
                <w:lang w:val="en-US" w:eastAsia="zh-CN"/>
              </w:rPr>
              <w:t>本项目位于金坛区金城科技产业园内，租用金坛区金城镇西城路118号的厂房进行“高端食品及新型膳食补充剂项目”的建设，已与出租方（江苏金坛经济开发区管理委员会）签署租赁协议。</w:t>
            </w:r>
            <w:r>
              <w:rPr>
                <w:rFonts w:hint="eastAsia" w:eastAsia="仿宋_GB2312"/>
                <w:b w:val="0"/>
                <w:bCs/>
                <w:color w:val="auto"/>
                <w:kern w:val="0"/>
                <w:sz w:val="24"/>
                <w:highlight w:val="none"/>
                <w:lang w:val="en-US" w:eastAsia="zh-CN"/>
              </w:rPr>
              <w:t>2020年江苏康泰生物医学技术有限公司取得金城镇西城路118号的不动产权证【不动产权证书：苏（2020）金坛区不动产权第0007571号】。目前，</w:t>
            </w:r>
            <w:r>
              <w:rPr>
                <w:rFonts w:hint="eastAsia" w:eastAsia="仿宋_GB2312"/>
                <w:b w:val="0"/>
                <w:bCs/>
                <w:color w:val="auto"/>
                <w:kern w:val="0"/>
                <w:sz w:val="24"/>
                <w:lang w:val="en-US" w:eastAsia="zh-CN"/>
              </w:rPr>
              <w:t>本项目出租方（江苏金坛经济开发区管理委员会）</w:t>
            </w:r>
            <w:r>
              <w:rPr>
                <w:rFonts w:hint="eastAsia" w:eastAsia="仿宋_GB2312"/>
                <w:b w:val="0"/>
                <w:bCs/>
                <w:color w:val="auto"/>
                <w:kern w:val="0"/>
                <w:sz w:val="24"/>
                <w:highlight w:val="none"/>
                <w:lang w:val="en-US" w:eastAsia="zh-CN"/>
              </w:rPr>
              <w:t>收回金坛区金城镇西城路118号的土地使用权，目前该地块收储在土地储备中心。</w:t>
            </w:r>
            <w:r>
              <w:rPr>
                <w:rFonts w:hint="eastAsia" w:eastAsia="仿宋_GB2312"/>
                <w:b w:val="0"/>
                <w:bCs/>
                <w:color w:val="auto"/>
                <w:kern w:val="0"/>
                <w:sz w:val="24"/>
                <w:lang w:val="en-US" w:eastAsia="zh-CN"/>
              </w:rPr>
              <w:t>本项目实际租赁建设面积与备案稍有差异，本项目实际租赁面积为2398.48m</w:t>
            </w:r>
            <w:r>
              <w:rPr>
                <w:rFonts w:hint="eastAsia" w:eastAsia="仿宋_GB2312"/>
                <w:b w:val="0"/>
                <w:bCs/>
                <w:color w:val="auto"/>
                <w:kern w:val="0"/>
                <w:sz w:val="24"/>
                <w:vertAlign w:val="superscript"/>
                <w:lang w:val="en-US" w:eastAsia="zh-CN"/>
              </w:rPr>
              <w:t>2</w:t>
            </w:r>
            <w:r>
              <w:rPr>
                <w:rFonts w:hint="eastAsia" w:eastAsia="仿宋_GB2312"/>
                <w:b w:val="0"/>
                <w:bCs/>
                <w:color w:val="auto"/>
                <w:kern w:val="0"/>
                <w:sz w:val="24"/>
                <w:lang w:val="en-US" w:eastAsia="zh-CN"/>
              </w:rPr>
              <w:t>。</w:t>
            </w:r>
          </w:p>
          <w:bookmarkEnd w:id="5"/>
          <w:p w14:paraId="392BDD4F">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eastAsia" w:eastAsia="仿宋_GB2312"/>
                <w:b w:val="0"/>
                <w:bCs/>
                <w:color w:val="auto"/>
                <w:kern w:val="0"/>
                <w:sz w:val="24"/>
                <w:lang w:val="en-US" w:eastAsia="zh-CN"/>
              </w:rPr>
            </w:pPr>
            <w:r>
              <w:rPr>
                <w:rFonts w:hint="eastAsia" w:eastAsia="仿宋_GB2312"/>
                <w:b w:val="0"/>
                <w:bCs/>
                <w:color w:val="auto"/>
                <w:kern w:val="0"/>
                <w:sz w:val="24"/>
                <w:lang w:val="en-US" w:eastAsia="zh-CN"/>
              </w:rPr>
              <w:t>本项目所在地土地性质为工业用地，规划为工业用地，故本项目用地规划与《金坛金城科技产业园发展规划（2023-2035年）》相符。金坛金城科技产业园基于现状产业基础，并立足现有产业优势，规划重点发展高端装备制造、新能源新材料、智慧物流、生命健康四大主导产业。本项目生产产品为食品用原料，保健食品粉和保健食品胶囊，属于园区重点发展的“生命健康”类产业。因此，本项目与《金坛金城科技产业园发展规划（2023-2035年）环境影响报告书》中产业定位相符。</w:t>
            </w:r>
          </w:p>
          <w:p w14:paraId="68E84282">
            <w:pPr>
              <w:keepNext w:val="0"/>
              <w:keepLines w:val="0"/>
              <w:widowControl w:val="0"/>
              <w:suppressLineNumbers w:val="0"/>
              <w:spacing w:before="0" w:beforeAutospacing="0" w:after="0" w:afterAutospacing="0" w:line="500" w:lineRule="exact"/>
              <w:ind w:left="0" w:right="0"/>
              <w:jc w:val="both"/>
              <w:rPr>
                <w:rFonts w:hint="default" w:eastAsia="仿宋_GB2312"/>
                <w:color w:val="auto"/>
                <w:sz w:val="24"/>
                <w:szCs w:val="24"/>
                <w:lang w:val="en-US"/>
              </w:rPr>
            </w:pPr>
            <w:r>
              <w:rPr>
                <w:rStyle w:val="130"/>
                <w:rFonts w:hint="eastAsia" w:ascii="Times New Roman" w:hAnsi="Times New Roman" w:eastAsia="仿宋_GB2312" w:cs="仿宋_GB2312"/>
                <w:color w:val="auto"/>
                <w:kern w:val="2"/>
                <w:sz w:val="24"/>
                <w:szCs w:val="24"/>
                <w:lang w:val="en-US" w:eastAsia="zh-CN" w:bidi="ar"/>
              </w:rPr>
              <w:t>四、结论</w:t>
            </w:r>
          </w:p>
          <w:p w14:paraId="5D3FBD74">
            <w:pPr>
              <w:keepNext w:val="0"/>
              <w:keepLines w:val="0"/>
              <w:widowControl w:val="0"/>
              <w:suppressLineNumbers w:val="0"/>
              <w:spacing w:before="0" w:beforeAutospacing="0" w:after="0" w:afterAutospacing="0" w:line="500" w:lineRule="exact"/>
              <w:ind w:left="0" w:right="0" w:firstLine="480" w:firstLineChars="200"/>
              <w:jc w:val="both"/>
              <w:rPr>
                <w:rFonts w:hint="default"/>
                <w:b w:val="0"/>
                <w:bCs w:val="0"/>
                <w:color w:val="auto"/>
                <w:lang w:val="en-US"/>
              </w:rPr>
            </w:pPr>
            <w:r>
              <w:rPr>
                <w:rStyle w:val="130"/>
                <w:rFonts w:hint="eastAsia" w:ascii="Times New Roman" w:hAnsi="Times New Roman" w:eastAsia="仿宋_GB2312" w:cs="仿宋_GB2312"/>
                <w:b w:val="0"/>
                <w:bCs w:val="0"/>
                <w:color w:val="auto"/>
                <w:kern w:val="2"/>
                <w:sz w:val="24"/>
                <w:szCs w:val="24"/>
                <w:lang w:val="en-US" w:eastAsia="zh-CN" w:bidi="ar"/>
              </w:rPr>
              <w:t>综上所述，本项目符合现行国家及地方法律法规、产业政策、行业政策，选址合理，符合</w:t>
            </w:r>
            <w:r>
              <w:rPr>
                <w:rStyle w:val="130"/>
                <w:rFonts w:hint="default" w:ascii="Times New Roman" w:hAnsi="Times New Roman" w:eastAsia="仿宋_GB2312" w:cs="Times New Roman"/>
                <w:b w:val="0"/>
                <w:bCs w:val="0"/>
                <w:color w:val="auto"/>
                <w:kern w:val="2"/>
                <w:sz w:val="24"/>
                <w:szCs w:val="24"/>
                <w:lang w:val="en-US" w:eastAsia="zh-CN" w:bidi="ar"/>
              </w:rPr>
              <w:t>“</w:t>
            </w:r>
            <w:r>
              <w:rPr>
                <w:rStyle w:val="130"/>
                <w:rFonts w:hint="eastAsia" w:ascii="Times New Roman" w:hAnsi="Times New Roman" w:eastAsia="仿宋_GB2312" w:cs="仿宋_GB2312"/>
                <w:b w:val="0"/>
                <w:bCs w:val="0"/>
                <w:color w:val="auto"/>
                <w:kern w:val="2"/>
                <w:sz w:val="24"/>
                <w:szCs w:val="24"/>
                <w:lang w:val="en-US" w:eastAsia="zh-CN" w:bidi="ar"/>
              </w:rPr>
              <w:t>三线一单</w:t>
            </w:r>
            <w:r>
              <w:rPr>
                <w:rStyle w:val="130"/>
                <w:rFonts w:hint="default" w:ascii="Times New Roman" w:hAnsi="Times New Roman" w:eastAsia="仿宋_GB2312" w:cs="Times New Roman"/>
                <w:b w:val="0"/>
                <w:bCs w:val="0"/>
                <w:color w:val="auto"/>
                <w:kern w:val="2"/>
                <w:sz w:val="24"/>
                <w:szCs w:val="24"/>
                <w:lang w:val="en-US" w:eastAsia="zh-CN" w:bidi="ar"/>
              </w:rPr>
              <w:t>”</w:t>
            </w:r>
            <w:r>
              <w:rPr>
                <w:rStyle w:val="130"/>
                <w:rFonts w:hint="eastAsia" w:ascii="Times New Roman" w:hAnsi="Times New Roman" w:eastAsia="仿宋_GB2312" w:cs="仿宋_GB2312"/>
                <w:b w:val="0"/>
                <w:bCs w:val="0"/>
                <w:color w:val="auto"/>
                <w:kern w:val="2"/>
                <w:sz w:val="24"/>
                <w:szCs w:val="24"/>
                <w:lang w:val="en-US" w:eastAsia="zh-CN" w:bidi="ar"/>
              </w:rPr>
              <w:t>的相关要求。</w:t>
            </w:r>
          </w:p>
          <w:p w14:paraId="58616F26">
            <w:pPr>
              <w:keepNext w:val="0"/>
              <w:keepLines w:val="0"/>
              <w:suppressLineNumbers w:val="0"/>
              <w:autoSpaceDE w:val="0"/>
              <w:autoSpaceDN w:val="0"/>
              <w:adjustRightInd w:val="0"/>
              <w:snapToGrid w:val="0"/>
              <w:spacing w:before="0" w:beforeAutospacing="0" w:after="0" w:afterAutospacing="0" w:line="490" w:lineRule="exact"/>
              <w:ind w:left="0" w:right="0" w:firstLine="480" w:firstLineChars="200"/>
              <w:rPr>
                <w:rFonts w:hint="default" w:eastAsia="仿宋_GB2312"/>
                <w:color w:val="auto"/>
                <w:kern w:val="0"/>
                <w:sz w:val="24"/>
              </w:rPr>
            </w:pPr>
          </w:p>
        </w:tc>
      </w:tr>
    </w:tbl>
    <w:p w14:paraId="5B908218">
      <w:pPr>
        <w:spacing w:line="360" w:lineRule="auto"/>
        <w:outlineLvl w:val="0"/>
        <w:rPr>
          <w:rFonts w:eastAsia="仿宋_GB2312"/>
          <w:color w:val="auto"/>
          <w:sz w:val="30"/>
        </w:rPr>
        <w:sectPr>
          <w:footerReference r:id="rId7" w:type="default"/>
          <w:pgSz w:w="11906" w:h="16838"/>
          <w:pgMar w:top="1440" w:right="1531" w:bottom="1440"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FD256A8">
      <w:pPr>
        <w:pStyle w:val="81"/>
        <w:jc w:val="center"/>
        <w:outlineLvl w:val="0"/>
        <w:rPr>
          <w:rFonts w:ascii="Times New Roman" w:hAnsi="Times New Roman" w:eastAsia="仿宋_GB2312"/>
          <w:b/>
          <w:snapToGrid w:val="0"/>
          <w:color w:val="auto"/>
          <w:sz w:val="30"/>
          <w:szCs w:val="30"/>
        </w:rPr>
      </w:pPr>
      <w:r>
        <w:rPr>
          <w:rFonts w:ascii="Times New Roman" w:hAnsi="Times New Roman" w:eastAsia="仿宋_GB2312"/>
          <w:b/>
          <w:snapToGrid w:val="0"/>
          <w:color w:val="auto"/>
          <w:sz w:val="30"/>
          <w:szCs w:val="30"/>
        </w:rPr>
        <w:t>二、建设项目工程分析</w:t>
      </w:r>
    </w:p>
    <w:tbl>
      <w:tblPr>
        <w:tblStyle w:val="87"/>
        <w:tblW w:w="52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9073"/>
      </w:tblGrid>
      <w:tr w14:paraId="4D009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8" w:hRule="atLeast"/>
          <w:jc w:val="center"/>
        </w:trPr>
        <w:tc>
          <w:tcPr>
            <w:tcW w:w="523" w:type="dxa"/>
            <w:vAlign w:val="center"/>
          </w:tcPr>
          <w:p w14:paraId="4D36C6B9">
            <w:pPr>
              <w:pStyle w:val="81"/>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仿宋_GB2312"/>
                <w:color w:val="auto"/>
                <w:szCs w:val="24"/>
              </w:rPr>
            </w:pPr>
            <w:r>
              <w:rPr>
                <w:rFonts w:hint="default" w:ascii="Times New Roman" w:hAnsi="Times New Roman" w:eastAsia="仿宋_GB2312"/>
                <w:color w:val="auto"/>
                <w:szCs w:val="24"/>
              </w:rPr>
              <w:t>建设内容</w:t>
            </w:r>
          </w:p>
        </w:tc>
        <w:tc>
          <w:tcPr>
            <w:tcW w:w="9073" w:type="dxa"/>
          </w:tcPr>
          <w:p w14:paraId="3875B3E0">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一、企业概况</w:t>
            </w:r>
          </w:p>
          <w:p w14:paraId="4CB45567">
            <w:pPr>
              <w:keepNext w:val="0"/>
              <w:keepLines w:val="0"/>
              <w:suppressLineNumbers w:val="0"/>
              <w:spacing w:before="0" w:beforeAutospacing="0" w:after="0" w:afterAutospacing="0" w:line="500" w:lineRule="exact"/>
              <w:ind w:left="0" w:right="0" w:firstLine="480" w:firstLineChars="200"/>
              <w:rPr>
                <w:rFonts w:hint="eastAsia" w:eastAsia="仿宋_GB2312"/>
                <w:bCs/>
                <w:color w:val="auto"/>
                <w:sz w:val="24"/>
                <w:lang w:eastAsia="zh-CN"/>
              </w:rPr>
            </w:pPr>
            <w:bookmarkStart w:id="6" w:name="OLE_LINK1"/>
            <w:r>
              <w:rPr>
                <w:rFonts w:hint="default" w:eastAsia="仿宋_GB2312"/>
                <w:bCs/>
                <w:color w:val="auto"/>
                <w:sz w:val="24"/>
              </w:rPr>
              <w:t>江苏光玥生物科技有限公司</w:t>
            </w:r>
            <w:bookmarkEnd w:id="6"/>
            <w:r>
              <w:rPr>
                <w:rFonts w:hint="default" w:eastAsia="仿宋_GB2312"/>
                <w:bCs/>
                <w:color w:val="auto"/>
                <w:sz w:val="24"/>
              </w:rPr>
              <w:t>成立于2024年3月，位于常州市金坛区金城镇西城路118号</w:t>
            </w:r>
            <w:r>
              <w:rPr>
                <w:rFonts w:hint="eastAsia" w:eastAsia="仿宋_GB2312"/>
                <w:bCs/>
                <w:color w:val="auto"/>
                <w:sz w:val="24"/>
                <w:lang w:eastAsia="zh-CN"/>
              </w:rPr>
              <w:t>，主要从事经营食品用原料，保健食品粉，保健食品胶囊生产等。</w:t>
            </w:r>
          </w:p>
          <w:p w14:paraId="03C7B590">
            <w:pPr>
              <w:keepNext w:val="0"/>
              <w:keepLines w:val="0"/>
              <w:suppressLineNumbers w:val="0"/>
              <w:spacing w:before="0" w:beforeAutospacing="0" w:after="0" w:afterAutospacing="0" w:line="500" w:lineRule="exact"/>
              <w:ind w:left="0" w:right="0" w:firstLine="482" w:firstLineChars="200"/>
              <w:rPr>
                <w:rStyle w:val="130"/>
                <w:rFonts w:hint="default" w:eastAsia="仿宋_GB2312"/>
                <w:color w:val="auto"/>
                <w:sz w:val="24"/>
              </w:rPr>
            </w:pPr>
            <w:r>
              <w:rPr>
                <w:rStyle w:val="130"/>
                <w:rFonts w:hint="default" w:eastAsia="仿宋_GB2312"/>
                <w:color w:val="auto"/>
                <w:sz w:val="24"/>
              </w:rPr>
              <w:t>二、项目概况</w:t>
            </w:r>
          </w:p>
          <w:p w14:paraId="48614E9B">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bCs/>
                <w:color w:val="auto"/>
                <w:sz w:val="24"/>
              </w:rPr>
              <w:t>项目名称：</w:t>
            </w:r>
            <w:r>
              <w:rPr>
                <w:rFonts w:hint="default" w:eastAsia="仿宋_GB2312"/>
                <w:color w:val="auto"/>
                <w:sz w:val="24"/>
              </w:rPr>
              <w:t>江苏光玥生物科技有限公司高端食品及新型膳食补充剂项目</w:t>
            </w:r>
          </w:p>
          <w:p w14:paraId="47115BC5">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bCs/>
                <w:color w:val="auto"/>
                <w:sz w:val="24"/>
              </w:rPr>
              <w:t>建设地点：</w:t>
            </w:r>
            <w:r>
              <w:rPr>
                <w:rFonts w:hint="default" w:eastAsia="仿宋_GB2312"/>
                <w:color w:val="auto"/>
                <w:sz w:val="24"/>
              </w:rPr>
              <w:t>常州市金坛区金城镇西城路118号</w:t>
            </w:r>
          </w:p>
          <w:p w14:paraId="1B2FC241">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bCs/>
                <w:color w:val="auto"/>
                <w:sz w:val="24"/>
              </w:rPr>
              <w:t>建设单位：</w:t>
            </w:r>
            <w:r>
              <w:rPr>
                <w:rFonts w:hint="default" w:eastAsia="仿宋_GB2312"/>
                <w:color w:val="auto"/>
                <w:sz w:val="24"/>
              </w:rPr>
              <w:t>江苏光玥生物科技有限公司</w:t>
            </w:r>
          </w:p>
          <w:p w14:paraId="29BF11C7">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eastAsia="仿宋_GB2312"/>
                <w:bCs/>
                <w:color w:val="auto"/>
                <w:sz w:val="24"/>
                <w:lang w:eastAsia="zh-CN"/>
              </w:rPr>
            </w:pPr>
            <w:r>
              <w:rPr>
                <w:rFonts w:hint="default" w:eastAsia="仿宋_GB2312"/>
                <w:bCs/>
                <w:color w:val="auto"/>
                <w:sz w:val="24"/>
              </w:rPr>
              <w:t>建设性质：新建</w:t>
            </w:r>
          </w:p>
          <w:p w14:paraId="169E2781">
            <w:pPr>
              <w:keepNext w:val="0"/>
              <w:keepLines w:val="0"/>
              <w:suppressLineNumbers w:val="0"/>
              <w:adjustRightInd w:val="0"/>
              <w:snapToGrid w:val="0"/>
              <w:spacing w:before="0" w:beforeAutospacing="0" w:after="0" w:afterAutospacing="0" w:line="500" w:lineRule="exact"/>
              <w:ind w:left="0" w:right="0" w:firstLine="480" w:firstLineChars="200"/>
              <w:jc w:val="left"/>
              <w:rPr>
                <w:rFonts w:hint="eastAsia" w:eastAsia="仿宋_GB2312"/>
                <w:bCs/>
                <w:color w:val="auto"/>
                <w:sz w:val="24"/>
                <w:highlight w:val="none"/>
                <w:lang w:eastAsia="zh-CN"/>
              </w:rPr>
            </w:pPr>
            <w:r>
              <w:rPr>
                <w:rFonts w:hint="default" w:eastAsia="仿宋_GB2312"/>
                <w:bCs/>
                <w:color w:val="auto"/>
                <w:sz w:val="24"/>
              </w:rPr>
              <w:t>建设规模：</w:t>
            </w:r>
            <w:bookmarkStart w:id="7" w:name="_Hlk100765620"/>
            <w:r>
              <w:rPr>
                <w:rFonts w:hint="eastAsia" w:eastAsia="仿宋_GB2312"/>
                <w:bCs/>
                <w:color w:val="auto"/>
                <w:sz w:val="24"/>
                <w:lang w:eastAsia="zh-CN"/>
              </w:rPr>
              <w:t>租用</w:t>
            </w:r>
            <w:r>
              <w:rPr>
                <w:rFonts w:hint="default" w:eastAsia="仿宋_GB2312"/>
                <w:bCs/>
                <w:color w:val="auto"/>
                <w:sz w:val="24"/>
                <w:highlight w:val="none"/>
              </w:rPr>
              <w:t>用地约</w:t>
            </w:r>
            <w:r>
              <w:rPr>
                <w:rFonts w:hint="eastAsia" w:eastAsia="仿宋_GB2312"/>
                <w:bCs/>
                <w:color w:val="auto"/>
                <w:sz w:val="24"/>
                <w:highlight w:val="none"/>
                <w:lang w:val="en-US" w:eastAsia="zh-CN"/>
              </w:rPr>
              <w:t>2398.48m</w:t>
            </w:r>
            <w:r>
              <w:rPr>
                <w:rFonts w:hint="eastAsia" w:eastAsia="仿宋_GB2312"/>
                <w:bCs/>
                <w:color w:val="auto"/>
                <w:sz w:val="24"/>
                <w:highlight w:val="none"/>
                <w:vertAlign w:val="superscript"/>
                <w:lang w:val="en-US" w:eastAsia="zh-CN"/>
              </w:rPr>
              <w:t>2</w:t>
            </w:r>
            <w:r>
              <w:rPr>
                <w:rFonts w:hint="default" w:eastAsia="仿宋_GB2312"/>
                <w:bCs/>
                <w:color w:val="auto"/>
                <w:sz w:val="24"/>
                <w:highlight w:val="none"/>
              </w:rPr>
              <w:t>，新建生产车间、仓库</w:t>
            </w:r>
            <w:r>
              <w:rPr>
                <w:rFonts w:hint="eastAsia" w:eastAsia="仿宋_GB2312"/>
                <w:bCs/>
                <w:color w:val="auto"/>
                <w:sz w:val="24"/>
                <w:highlight w:val="none"/>
                <w:lang w:eastAsia="zh-CN"/>
              </w:rPr>
              <w:t>。</w:t>
            </w:r>
            <w:r>
              <w:rPr>
                <w:rFonts w:hint="default" w:eastAsia="仿宋_GB2312"/>
                <w:bCs/>
                <w:color w:val="auto"/>
                <w:sz w:val="24"/>
                <w:highlight w:val="none"/>
              </w:rPr>
              <w:t>购灭菌设备、发酵罐、纯化设备、CIP清洗、冻干机、分析检测设备等主辅设备150台(套)，搭建规模化、自动化合成平台，年产食品用原料600公斤、保健食品粉500公斤、保健食品胶囊/片剂1250万粒</w:t>
            </w:r>
            <w:r>
              <w:rPr>
                <w:rFonts w:hint="eastAsia" w:eastAsia="仿宋_GB2312"/>
                <w:bCs/>
                <w:color w:val="auto"/>
                <w:sz w:val="24"/>
                <w:highlight w:val="none"/>
                <w:lang w:eastAsia="zh-CN"/>
              </w:rPr>
              <w:t>。</w:t>
            </w:r>
          </w:p>
          <w:bookmarkEnd w:id="7"/>
          <w:p w14:paraId="4D763387">
            <w:pPr>
              <w:keepNext w:val="0"/>
              <w:keepLines w:val="0"/>
              <w:suppressLineNumbers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highlight w:val="none"/>
              </w:rPr>
              <w:t>企业于2025年</w:t>
            </w:r>
            <w:r>
              <w:rPr>
                <w:rFonts w:hint="eastAsia" w:eastAsia="仿宋_GB2312"/>
                <w:bCs/>
                <w:color w:val="auto"/>
                <w:sz w:val="24"/>
                <w:highlight w:val="none"/>
                <w:lang w:val="en-US" w:eastAsia="zh-CN"/>
              </w:rPr>
              <w:t>11</w:t>
            </w:r>
            <w:r>
              <w:rPr>
                <w:rFonts w:hint="default" w:eastAsia="仿宋_GB2312"/>
                <w:bCs/>
                <w:color w:val="auto"/>
                <w:sz w:val="24"/>
                <w:highlight w:val="none"/>
              </w:rPr>
              <w:t>月</w:t>
            </w:r>
            <w:r>
              <w:rPr>
                <w:rFonts w:hint="eastAsia" w:eastAsia="仿宋_GB2312"/>
                <w:bCs/>
                <w:color w:val="auto"/>
                <w:sz w:val="24"/>
                <w:highlight w:val="none"/>
                <w:lang w:val="en-US" w:eastAsia="zh-CN"/>
              </w:rPr>
              <w:t>6</w:t>
            </w:r>
            <w:r>
              <w:rPr>
                <w:rFonts w:hint="default" w:eastAsia="仿宋_GB2312"/>
                <w:bCs/>
                <w:color w:val="auto"/>
                <w:sz w:val="24"/>
                <w:highlight w:val="none"/>
              </w:rPr>
              <w:t>日</w:t>
            </w:r>
            <w:r>
              <w:rPr>
                <w:rFonts w:hint="default" w:eastAsia="仿宋_GB2312"/>
                <w:bCs/>
                <w:color w:val="auto"/>
                <w:sz w:val="24"/>
              </w:rPr>
              <w:t>取得江苏省投资项目备案证，</w:t>
            </w:r>
            <w:r>
              <w:rPr>
                <w:rFonts w:hint="default" w:eastAsia="仿宋_GB2312"/>
                <w:bCs/>
                <w:color w:val="auto"/>
                <w:sz w:val="24"/>
                <w:highlight w:val="none"/>
              </w:rPr>
              <w:t>备案证号：坛开经发备字【20</w:t>
            </w:r>
            <w:r>
              <w:rPr>
                <w:rFonts w:hint="eastAsia" w:eastAsia="仿宋_GB2312"/>
                <w:bCs/>
                <w:color w:val="auto"/>
                <w:sz w:val="24"/>
                <w:highlight w:val="none"/>
                <w:lang w:val="en-US" w:eastAsia="zh-CN"/>
              </w:rPr>
              <w:t>25</w:t>
            </w:r>
            <w:r>
              <w:rPr>
                <w:rFonts w:hint="default" w:eastAsia="仿宋_GB2312"/>
                <w:bCs/>
                <w:color w:val="auto"/>
                <w:sz w:val="24"/>
                <w:highlight w:val="none"/>
              </w:rPr>
              <w:t>】</w:t>
            </w:r>
            <w:r>
              <w:rPr>
                <w:rFonts w:hint="eastAsia" w:eastAsia="仿宋_GB2312"/>
                <w:bCs/>
                <w:color w:val="auto"/>
                <w:sz w:val="24"/>
                <w:highlight w:val="none"/>
                <w:lang w:val="en-US" w:eastAsia="zh-CN"/>
              </w:rPr>
              <w:t>307</w:t>
            </w:r>
            <w:r>
              <w:rPr>
                <w:rFonts w:hint="default" w:eastAsia="仿宋_GB2312"/>
                <w:bCs/>
                <w:color w:val="auto"/>
                <w:sz w:val="24"/>
                <w:highlight w:val="none"/>
              </w:rPr>
              <w:t>号，</w:t>
            </w:r>
            <w:r>
              <w:rPr>
                <w:rFonts w:hint="default" w:eastAsia="仿宋_GB2312"/>
                <w:bCs/>
                <w:color w:val="auto"/>
                <w:sz w:val="24"/>
              </w:rPr>
              <w:t>建设内容为“年产食品用原料600公斤、保健食品粉500公斤、保健食品胶囊/片剂1250万粒”。</w:t>
            </w:r>
          </w:p>
          <w:p w14:paraId="5228B620">
            <w:pPr>
              <w:keepNext w:val="0"/>
              <w:keepLines w:val="0"/>
              <w:suppressLineNumbers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根据《中华人民共和国环境保护法》和《建设项目环境保护管理条例》中有关规定，凡从事对环境有影响的建设项目都必须执行环境影响评价制度；根据《建设项目环境影响评价</w:t>
            </w:r>
            <w:r>
              <w:rPr>
                <w:rFonts w:hint="default" w:eastAsia="仿宋_GB2312"/>
                <w:bCs/>
                <w:color w:val="auto"/>
                <w:sz w:val="24"/>
                <w:lang w:eastAsia="zh-CN"/>
              </w:rPr>
              <w:t>分类管理名录》（2021版），本次申报项目</w:t>
            </w:r>
            <w:r>
              <w:rPr>
                <w:rFonts w:hint="eastAsia" w:eastAsia="仿宋_GB2312"/>
                <w:bCs/>
                <w:color w:val="auto"/>
                <w:sz w:val="24"/>
                <w:lang w:eastAsia="zh-CN"/>
              </w:rPr>
              <w:t>食品用原料（</w:t>
            </w:r>
            <w:r>
              <w:rPr>
                <w:rFonts w:hint="default" w:eastAsia="仿宋_GB2312"/>
                <w:bCs/>
                <w:color w:val="auto"/>
                <w:sz w:val="24"/>
                <w:lang w:eastAsia="zh-CN"/>
              </w:rPr>
              <w:t>γ-氨基丁酸</w:t>
            </w:r>
            <w:r>
              <w:rPr>
                <w:rFonts w:hint="eastAsia" w:eastAsia="仿宋_GB2312"/>
                <w:bCs/>
                <w:color w:val="auto"/>
                <w:sz w:val="24"/>
                <w:lang w:eastAsia="zh-CN"/>
              </w:rPr>
              <w:t>），其根据</w:t>
            </w:r>
            <w:r>
              <w:rPr>
                <w:rFonts w:hint="eastAsia" w:eastAsia="仿宋_GB2312"/>
                <w:bCs/>
                <w:color w:val="auto"/>
                <w:sz w:val="24"/>
                <w:lang w:val="en-US" w:eastAsia="zh-CN"/>
              </w:rPr>
              <w:t>《关于批准y-氨基丁酸、初乳碱性蛋白、共轭亚油酸、共轭亚油酸甘油酯、植物乳杆菌(菌株号ST-</w:t>
            </w:r>
            <w:r>
              <w:rPr>
                <w:rFonts w:hint="eastAsia" w:eastAsia="仿宋_GB2312"/>
                <w:bCs/>
                <w:color w:val="auto"/>
                <w:sz w:val="24"/>
                <w:lang w:eastAsia="zh-CN"/>
              </w:rPr>
              <w:t>Ⅲ</w:t>
            </w:r>
            <w:r>
              <w:rPr>
                <w:rFonts w:hint="eastAsia" w:eastAsia="仿宋_GB2312"/>
                <w:bCs/>
                <w:color w:val="auto"/>
                <w:sz w:val="24"/>
                <w:lang w:val="en-US" w:eastAsia="zh-CN"/>
              </w:rPr>
              <w:t>)、杜仲籽油为新资源食品的公告》（2009年第12号），其</w:t>
            </w:r>
            <w:r>
              <w:rPr>
                <w:rFonts w:hint="eastAsia" w:eastAsia="仿宋_GB2312"/>
                <w:bCs/>
                <w:color w:val="auto"/>
                <w:sz w:val="24"/>
                <w:lang w:eastAsia="zh-CN"/>
              </w:rPr>
              <w:t>属于食品原料，具体见附件</w:t>
            </w:r>
            <w:r>
              <w:rPr>
                <w:rFonts w:hint="eastAsia" w:eastAsia="仿宋_GB2312"/>
                <w:bCs/>
                <w:color w:val="auto"/>
                <w:sz w:val="24"/>
                <w:lang w:val="en-US" w:eastAsia="zh-CN"/>
              </w:rPr>
              <w:t>9；根据《关于β1 3α1 3葡聚糖等6种三新食品的公告》（2021年第5号），保健食品粉（二氢槲皮素）属于</w:t>
            </w:r>
            <w:r>
              <w:rPr>
                <w:rFonts w:hint="eastAsia" w:eastAsia="仿宋_GB2312"/>
                <w:bCs/>
                <w:color w:val="auto"/>
                <w:sz w:val="24"/>
                <w:lang w:eastAsia="zh-CN"/>
              </w:rPr>
              <w:t>食品原料</w:t>
            </w:r>
            <w:r>
              <w:rPr>
                <w:rFonts w:hint="eastAsia" w:eastAsia="仿宋_GB2312"/>
                <w:bCs/>
                <w:color w:val="auto"/>
                <w:sz w:val="24"/>
                <w:lang w:val="en-US" w:eastAsia="zh-CN"/>
              </w:rPr>
              <w:t>，</w:t>
            </w:r>
            <w:r>
              <w:rPr>
                <w:rFonts w:hint="eastAsia" w:eastAsia="仿宋_GB2312"/>
                <w:bCs/>
                <w:color w:val="auto"/>
                <w:sz w:val="24"/>
                <w:lang w:eastAsia="zh-CN"/>
              </w:rPr>
              <w:t>具体见附件</w:t>
            </w:r>
            <w:r>
              <w:rPr>
                <w:rFonts w:hint="eastAsia" w:eastAsia="仿宋_GB2312"/>
                <w:bCs/>
                <w:color w:val="auto"/>
                <w:sz w:val="24"/>
                <w:lang w:val="en-US" w:eastAsia="zh-CN"/>
              </w:rPr>
              <w:t>8；</w:t>
            </w:r>
            <w:r>
              <w:rPr>
                <w:rFonts w:hint="eastAsia" w:eastAsia="仿宋_GB2312"/>
                <w:b w:val="0"/>
                <w:bCs w:val="0"/>
                <w:color w:val="auto"/>
                <w:kern w:val="0"/>
                <w:sz w:val="24"/>
              </w:rPr>
              <w:t>保健食品</w:t>
            </w:r>
            <w:r>
              <w:rPr>
                <w:rFonts w:hint="eastAsia" w:eastAsia="仿宋_GB2312"/>
                <w:b w:val="0"/>
                <w:bCs w:val="0"/>
                <w:color w:val="auto"/>
                <w:kern w:val="0"/>
                <w:sz w:val="24"/>
                <w:lang w:eastAsia="zh-CN"/>
              </w:rPr>
              <w:t>胶囊</w:t>
            </w:r>
            <w:r>
              <w:rPr>
                <w:rFonts w:hint="eastAsia" w:eastAsia="仿宋_GB2312"/>
                <w:bCs/>
                <w:color w:val="auto"/>
                <w:sz w:val="24"/>
                <w:lang w:val="en-US" w:eastAsia="zh-CN"/>
              </w:rPr>
              <w:t>属于</w:t>
            </w:r>
            <w:r>
              <w:rPr>
                <w:rFonts w:hint="default" w:eastAsia="仿宋_GB2312"/>
                <w:color w:val="auto"/>
                <w:sz w:val="24"/>
              </w:rPr>
              <w:t>保健食品</w:t>
            </w:r>
            <w:r>
              <w:rPr>
                <w:rFonts w:hint="eastAsia" w:eastAsia="仿宋_GB2312"/>
                <w:color w:val="auto"/>
                <w:sz w:val="24"/>
                <w:lang w:eastAsia="zh-CN"/>
              </w:rPr>
              <w:t>。</w:t>
            </w:r>
            <w:r>
              <w:rPr>
                <w:rFonts w:hint="eastAsia" w:eastAsia="仿宋_GB2312"/>
                <w:bCs/>
                <w:color w:val="auto"/>
                <w:sz w:val="24"/>
                <w:lang w:eastAsia="zh-CN"/>
              </w:rPr>
              <w:t>食品用原料（</w:t>
            </w:r>
            <w:r>
              <w:rPr>
                <w:rFonts w:hint="default" w:eastAsia="仿宋_GB2312"/>
                <w:bCs/>
                <w:color w:val="auto"/>
                <w:sz w:val="24"/>
              </w:rPr>
              <w:t>γ-氨基丁酸</w:t>
            </w:r>
            <w:r>
              <w:rPr>
                <w:rFonts w:hint="eastAsia" w:eastAsia="仿宋_GB2312"/>
                <w:bCs/>
                <w:color w:val="auto"/>
                <w:sz w:val="24"/>
                <w:lang w:eastAsia="zh-CN"/>
              </w:rPr>
              <w:t>）、</w:t>
            </w:r>
            <w:r>
              <w:rPr>
                <w:rFonts w:hint="eastAsia" w:eastAsia="仿宋_GB2312"/>
                <w:bCs/>
                <w:color w:val="auto"/>
                <w:sz w:val="24"/>
                <w:lang w:val="en-US" w:eastAsia="zh-CN"/>
              </w:rPr>
              <w:t>保健食品粉（二氢槲皮素）和</w:t>
            </w:r>
            <w:r>
              <w:rPr>
                <w:rFonts w:hint="eastAsia" w:eastAsia="仿宋_GB2312"/>
                <w:b w:val="0"/>
                <w:bCs w:val="0"/>
                <w:color w:val="auto"/>
                <w:kern w:val="0"/>
                <w:sz w:val="24"/>
              </w:rPr>
              <w:t>保健食品</w:t>
            </w:r>
            <w:r>
              <w:rPr>
                <w:rFonts w:hint="eastAsia" w:eastAsia="仿宋_GB2312"/>
                <w:b w:val="0"/>
                <w:bCs w:val="0"/>
                <w:color w:val="auto"/>
                <w:kern w:val="0"/>
                <w:sz w:val="24"/>
                <w:lang w:eastAsia="zh-CN"/>
              </w:rPr>
              <w:t>胶囊</w:t>
            </w:r>
            <w:r>
              <w:rPr>
                <w:rFonts w:hint="default" w:eastAsia="仿宋_GB2312"/>
                <w:bCs/>
                <w:color w:val="auto"/>
                <w:sz w:val="24"/>
              </w:rPr>
              <w:t>属于“十一、食品制造业 其他食品制造149”中“其他未列明食品制造”，需编制建设项目环境影响报告表。</w:t>
            </w:r>
          </w:p>
          <w:p w14:paraId="363F8B04">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sz w:val="24"/>
              </w:rPr>
            </w:pPr>
            <w:r>
              <w:rPr>
                <w:rFonts w:hint="default" w:eastAsia="仿宋_GB2312"/>
                <w:b/>
                <w:bCs/>
                <w:color w:val="auto"/>
                <w:sz w:val="24"/>
              </w:rPr>
              <w:t>项目地理位置示意图见附图1。</w:t>
            </w:r>
          </w:p>
          <w:p w14:paraId="2AC67032">
            <w:pPr>
              <w:keepNext w:val="0"/>
              <w:keepLines w:val="0"/>
              <w:suppressLineNumbers w:val="0"/>
              <w:spacing w:before="0" w:beforeAutospacing="0" w:after="0" w:afterAutospacing="0" w:line="500" w:lineRule="exact"/>
              <w:ind w:left="0" w:right="0" w:firstLine="482" w:firstLineChars="200"/>
              <w:rPr>
                <w:rStyle w:val="130"/>
                <w:rFonts w:hint="default" w:eastAsia="仿宋_GB2312"/>
                <w:color w:val="auto"/>
                <w:sz w:val="24"/>
              </w:rPr>
            </w:pPr>
            <w:r>
              <w:rPr>
                <w:rStyle w:val="130"/>
                <w:rFonts w:hint="default" w:eastAsia="仿宋_GB2312"/>
                <w:color w:val="auto"/>
                <w:sz w:val="24"/>
              </w:rPr>
              <w:t>三、工程内容</w:t>
            </w:r>
          </w:p>
          <w:p w14:paraId="4DA19918">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sz w:val="24"/>
              </w:rPr>
            </w:pPr>
            <w:r>
              <w:rPr>
                <w:rFonts w:hint="default" w:eastAsia="仿宋_GB2312"/>
                <w:b/>
                <w:bCs/>
                <w:color w:val="auto"/>
                <w:sz w:val="24"/>
              </w:rPr>
              <w:t>1、产品方案</w:t>
            </w:r>
          </w:p>
          <w:p w14:paraId="75FACD1D">
            <w:pPr>
              <w:keepNext w:val="0"/>
              <w:keepLines w:val="0"/>
              <w:suppressLineNumbers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本项目产品方案如下：</w:t>
            </w:r>
          </w:p>
          <w:p w14:paraId="42ED6FDA">
            <w:pPr>
              <w:keepNext w:val="0"/>
              <w:keepLines w:val="0"/>
              <w:suppressLineNumbers w:val="0"/>
              <w:spacing w:before="0" w:beforeAutospacing="0" w:after="0" w:afterAutospacing="0" w:line="400" w:lineRule="exact"/>
              <w:ind w:left="0" w:right="0"/>
              <w:jc w:val="center"/>
              <w:rPr>
                <w:rFonts w:hint="default" w:eastAsia="仿宋_GB2312"/>
                <w:b/>
                <w:color w:val="auto"/>
                <w:sz w:val="22"/>
                <w:szCs w:val="22"/>
              </w:rPr>
            </w:pPr>
            <w:bookmarkStart w:id="8" w:name="_Hlk102650751"/>
            <w:bookmarkStart w:id="9" w:name="_Hlk101338174"/>
            <w:r>
              <w:rPr>
                <w:rFonts w:hint="default" w:eastAsia="仿宋_GB2312"/>
                <w:b/>
                <w:color w:val="auto"/>
                <w:sz w:val="22"/>
                <w:szCs w:val="22"/>
              </w:rPr>
              <w:t>表2-1  本项目产品方案一览表</w:t>
            </w:r>
          </w:p>
          <w:tbl>
            <w:tblPr>
              <w:tblStyle w:val="167"/>
              <w:tblW w:w="497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1323"/>
              <w:gridCol w:w="734"/>
              <w:gridCol w:w="736"/>
              <w:gridCol w:w="940"/>
              <w:gridCol w:w="947"/>
              <w:gridCol w:w="1093"/>
              <w:gridCol w:w="1346"/>
              <w:gridCol w:w="1659"/>
            </w:tblGrid>
            <w:tr w14:paraId="3979EE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753" w:type="pct"/>
                  <w:tcBorders>
                    <w:tl2br w:val="nil"/>
                    <w:tr2bl w:val="nil"/>
                  </w:tcBorders>
                  <w:vAlign w:val="center"/>
                </w:tcPr>
                <w:p w14:paraId="602FCC4A">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s="Times New Roman"/>
                      <w:b/>
                      <w:color w:val="auto"/>
                      <w:kern w:val="0"/>
                      <w:sz w:val="21"/>
                      <w:szCs w:val="20"/>
                      <w:lang w:val="zh-CN" w:eastAsia="zh-CN" w:bidi="ar-SA"/>
                    </w:rPr>
                  </w:pPr>
                  <w:r>
                    <w:rPr>
                      <w:rFonts w:hint="eastAsia" w:ascii="Times New Roman" w:hAnsi="Times New Roman"/>
                      <w:b/>
                      <w:color w:val="auto"/>
                    </w:rPr>
                    <w:t>生产线</w:t>
                  </w:r>
                </w:p>
              </w:tc>
              <w:tc>
                <w:tcPr>
                  <w:tcW w:w="837" w:type="pct"/>
                  <w:gridSpan w:val="2"/>
                  <w:tcBorders>
                    <w:tl2br w:val="nil"/>
                    <w:tr2bl w:val="nil"/>
                  </w:tcBorders>
                  <w:vAlign w:val="center"/>
                </w:tcPr>
                <w:p w14:paraId="7DD9F912">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b/>
                      <w:color w:val="auto"/>
                      <w:lang w:eastAsia="zh-CN"/>
                    </w:rPr>
                  </w:pPr>
                  <w:r>
                    <w:rPr>
                      <w:rFonts w:hint="eastAsia" w:ascii="Times New Roman" w:hAnsi="Times New Roman"/>
                      <w:b/>
                      <w:color w:val="auto"/>
                    </w:rPr>
                    <w:t>产品名称</w:t>
                  </w:r>
                  <w:r>
                    <w:rPr>
                      <w:rFonts w:hint="eastAsia" w:ascii="Times New Roman" w:hAnsi="Times New Roman"/>
                      <w:b/>
                      <w:color w:val="auto"/>
                      <w:lang w:eastAsia="zh-CN"/>
                    </w:rPr>
                    <w:t>、规格</w:t>
                  </w:r>
                </w:p>
              </w:tc>
              <w:tc>
                <w:tcPr>
                  <w:tcW w:w="535" w:type="pct"/>
                  <w:tcBorders>
                    <w:tl2br w:val="nil"/>
                    <w:tr2bl w:val="nil"/>
                  </w:tcBorders>
                  <w:vAlign w:val="center"/>
                </w:tcPr>
                <w:p w14:paraId="168F869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lang w:val="en-US"/>
                    </w:rPr>
                    <w:t>产能</w:t>
                  </w:r>
                </w:p>
              </w:tc>
              <w:tc>
                <w:tcPr>
                  <w:tcW w:w="539" w:type="pct"/>
                  <w:tcBorders>
                    <w:tl2br w:val="nil"/>
                    <w:tr2bl w:val="nil"/>
                  </w:tcBorders>
                  <w:vAlign w:val="center"/>
                </w:tcPr>
                <w:p w14:paraId="53170FF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批次产</w:t>
                  </w:r>
                  <w:r>
                    <w:rPr>
                      <w:rFonts w:hint="eastAsia" w:ascii="Times New Roman" w:hAnsi="Times New Roman"/>
                      <w:b/>
                      <w:color w:val="auto"/>
                      <w:lang w:val="en-US"/>
                    </w:rPr>
                    <w:t>能</w:t>
                  </w:r>
                </w:p>
              </w:tc>
              <w:tc>
                <w:tcPr>
                  <w:tcW w:w="622" w:type="pct"/>
                  <w:tcBorders>
                    <w:tl2br w:val="nil"/>
                    <w:tr2bl w:val="nil"/>
                  </w:tcBorders>
                  <w:vAlign w:val="center"/>
                </w:tcPr>
                <w:p w14:paraId="506282A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批次数</w:t>
                  </w:r>
                </w:p>
                <w:p w14:paraId="3B202BD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(批次/年)</w:t>
                  </w:r>
                </w:p>
              </w:tc>
              <w:tc>
                <w:tcPr>
                  <w:tcW w:w="766" w:type="pct"/>
                  <w:tcBorders>
                    <w:tl2br w:val="nil"/>
                    <w:tr2bl w:val="nil"/>
                  </w:tcBorders>
                  <w:vAlign w:val="center"/>
                </w:tcPr>
                <w:p w14:paraId="2F1B15E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bCs/>
                      <w:color w:val="auto"/>
                    </w:rPr>
                    <w:t>年运行小时数（小时</w:t>
                  </w:r>
                  <w:r>
                    <w:rPr>
                      <w:rFonts w:hint="default" w:ascii="Times New Roman" w:hAnsi="Times New Roman"/>
                      <w:b/>
                      <w:bCs/>
                      <w:color w:val="auto"/>
                    </w:rPr>
                    <w:t>/年）</w:t>
                  </w:r>
                </w:p>
              </w:tc>
              <w:tc>
                <w:tcPr>
                  <w:tcW w:w="944" w:type="pct"/>
                  <w:tcBorders>
                    <w:tl2br w:val="nil"/>
                    <w:tr2bl w:val="nil"/>
                  </w:tcBorders>
                  <w:vAlign w:val="center"/>
                </w:tcPr>
                <w:p w14:paraId="22A6EE2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去向</w:t>
                  </w:r>
                </w:p>
              </w:tc>
            </w:tr>
            <w:tr w14:paraId="208CE5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753" w:type="pct"/>
                  <w:vMerge w:val="restart"/>
                  <w:tcBorders>
                    <w:tl2br w:val="nil"/>
                    <w:tr2bl w:val="nil"/>
                  </w:tcBorders>
                  <w:vAlign w:val="center"/>
                </w:tcPr>
                <w:p w14:paraId="43918684">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rPr>
                  </w:pPr>
                  <w:r>
                    <w:rPr>
                      <w:rFonts w:hint="eastAsia" w:ascii="Times New Roman" w:hAnsi="Times New Roman"/>
                      <w:color w:val="auto"/>
                    </w:rPr>
                    <w:t>食品用原料</w:t>
                  </w:r>
                  <w:r>
                    <w:rPr>
                      <w:rFonts w:hint="eastAsia" w:ascii="Times New Roman" w:hAnsi="Times New Roman"/>
                      <w:color w:val="auto"/>
                      <w:lang w:eastAsia="zh-CN"/>
                    </w:rPr>
                    <w:t>、</w:t>
                  </w:r>
                  <w:r>
                    <w:rPr>
                      <w:rFonts w:hint="eastAsia" w:ascii="Times New Roman" w:hAnsi="Times New Roman"/>
                      <w:color w:val="auto"/>
                    </w:rPr>
                    <w:t>保健食品粉</w:t>
                  </w:r>
                </w:p>
                <w:p w14:paraId="7E8C30AD">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rPr>
                  </w:pPr>
                  <w:r>
                    <w:rPr>
                      <w:rFonts w:hint="eastAsia" w:ascii="Times New Roman" w:hAnsi="Times New Roman"/>
                      <w:color w:val="auto"/>
                      <w:lang w:val="en-US"/>
                    </w:rPr>
                    <w:t>生产线</w:t>
                  </w:r>
                </w:p>
              </w:tc>
              <w:tc>
                <w:tcPr>
                  <w:tcW w:w="837" w:type="pct"/>
                  <w:gridSpan w:val="2"/>
                  <w:tcBorders>
                    <w:tl2br w:val="nil"/>
                    <w:tr2bl w:val="nil"/>
                  </w:tcBorders>
                  <w:vAlign w:val="center"/>
                </w:tcPr>
                <w:p w14:paraId="41B56DE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olor w:val="auto"/>
                    </w:rPr>
                    <w:t>食品用原料</w:t>
                  </w:r>
                  <w:r>
                    <w:rPr>
                      <w:rFonts w:hint="eastAsia" w:ascii="Times New Roman" w:hAnsi="Times New Roman"/>
                      <w:color w:val="auto"/>
                      <w:lang w:eastAsia="zh-CN"/>
                    </w:rPr>
                    <w:t>（</w:t>
                  </w:r>
                  <w:r>
                    <w:rPr>
                      <w:rFonts w:hint="eastAsia" w:ascii="Times New Roman" w:hAnsi="Times New Roman"/>
                      <w:color w:val="auto"/>
                    </w:rPr>
                    <w:t>γ-氨基丁酸</w:t>
                  </w:r>
                  <w:r>
                    <w:rPr>
                      <w:rFonts w:hint="eastAsia" w:ascii="Times New Roman" w:hAnsi="Times New Roman"/>
                      <w:color w:val="auto"/>
                      <w:lang w:eastAsia="zh-CN"/>
                    </w:rPr>
                    <w:t>）</w:t>
                  </w:r>
                </w:p>
              </w:tc>
              <w:tc>
                <w:tcPr>
                  <w:tcW w:w="535" w:type="pct"/>
                  <w:tcBorders>
                    <w:tl2br w:val="nil"/>
                    <w:tr2bl w:val="nil"/>
                  </w:tcBorders>
                  <w:vAlign w:val="center"/>
                </w:tcPr>
                <w:p w14:paraId="5C268BC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olor w:val="auto"/>
                    </w:rPr>
                    <w:t>600 kg/a</w:t>
                  </w:r>
                </w:p>
              </w:tc>
              <w:tc>
                <w:tcPr>
                  <w:tcW w:w="539" w:type="pct"/>
                  <w:tcBorders>
                    <w:tl2br w:val="nil"/>
                    <w:tr2bl w:val="nil"/>
                  </w:tcBorders>
                  <w:vAlign w:val="center"/>
                </w:tcPr>
                <w:p w14:paraId="2543118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7.5 kg/批</w:t>
                  </w:r>
                </w:p>
              </w:tc>
              <w:tc>
                <w:tcPr>
                  <w:tcW w:w="622" w:type="pct"/>
                  <w:tcBorders>
                    <w:tl2br w:val="nil"/>
                    <w:tr2bl w:val="nil"/>
                  </w:tcBorders>
                  <w:vAlign w:val="center"/>
                </w:tcPr>
                <w:p w14:paraId="59F57BD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80</w:t>
                  </w:r>
                </w:p>
              </w:tc>
              <w:tc>
                <w:tcPr>
                  <w:tcW w:w="766" w:type="pct"/>
                  <w:tcBorders>
                    <w:tl2br w:val="nil"/>
                    <w:tr2bl w:val="nil"/>
                  </w:tcBorders>
                  <w:vAlign w:val="center"/>
                </w:tcPr>
                <w:p w14:paraId="6E6A0A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3600</w:t>
                  </w:r>
                </w:p>
              </w:tc>
              <w:tc>
                <w:tcPr>
                  <w:tcW w:w="944" w:type="pct"/>
                  <w:tcBorders>
                    <w:tl2br w:val="nil"/>
                    <w:tr2bl w:val="nil"/>
                  </w:tcBorders>
                  <w:vAlign w:val="center"/>
                </w:tcPr>
                <w:p w14:paraId="2DD1DCE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olor w:val="auto"/>
                      <w:highlight w:val="none"/>
                    </w:rPr>
                    <w:t>300kg</w:t>
                  </w:r>
                  <w:r>
                    <w:rPr>
                      <w:rFonts w:hint="eastAsia" w:ascii="Times New Roman" w:hAnsi="Times New Roman"/>
                      <w:color w:val="auto"/>
                      <w:lang w:eastAsia="zh-CN"/>
                    </w:rPr>
                    <w:t>（</w:t>
                  </w:r>
                  <w:r>
                    <w:rPr>
                      <w:rFonts w:hint="eastAsia" w:ascii="Times New Roman" w:hAnsi="Times New Roman"/>
                      <w:color w:val="auto"/>
                      <w:lang w:val="en-US" w:eastAsia="zh-CN"/>
                    </w:rPr>
                    <w:t>25kg/袋</w:t>
                  </w:r>
                  <w:r>
                    <w:rPr>
                      <w:rFonts w:hint="eastAsia" w:ascii="Times New Roman" w:hAnsi="Times New Roman"/>
                      <w:color w:val="auto"/>
                      <w:lang w:eastAsia="zh-CN"/>
                    </w:rPr>
                    <w:t>）</w:t>
                  </w:r>
                  <w:r>
                    <w:rPr>
                      <w:rFonts w:hint="eastAsia" w:ascii="Times New Roman" w:hAnsi="Times New Roman"/>
                      <w:color w:val="auto"/>
                      <w:highlight w:val="none"/>
                    </w:rPr>
                    <w:t>用于出售，300kg</w:t>
                  </w:r>
                  <w:r>
                    <w:rPr>
                      <w:rFonts w:hint="eastAsia" w:ascii="Times New Roman" w:hAnsi="Times New Roman"/>
                      <w:color w:val="auto"/>
                      <w:lang w:eastAsia="zh-CN"/>
                    </w:rPr>
                    <w:t>（</w:t>
                  </w:r>
                  <w:r>
                    <w:rPr>
                      <w:rFonts w:hint="eastAsia" w:ascii="Times New Roman" w:hAnsi="Times New Roman"/>
                      <w:color w:val="auto"/>
                      <w:lang w:val="en-US" w:eastAsia="zh-CN"/>
                    </w:rPr>
                    <w:t>25kg/袋</w:t>
                  </w:r>
                  <w:r>
                    <w:rPr>
                      <w:rFonts w:hint="eastAsia" w:ascii="Times New Roman" w:hAnsi="Times New Roman"/>
                      <w:color w:val="auto"/>
                      <w:lang w:eastAsia="zh-CN"/>
                    </w:rPr>
                    <w:t>）</w:t>
                  </w:r>
                  <w:r>
                    <w:rPr>
                      <w:rFonts w:hint="eastAsia" w:ascii="Times New Roman" w:hAnsi="Times New Roman"/>
                      <w:color w:val="auto"/>
                      <w:highlight w:val="none"/>
                    </w:rPr>
                    <w:t>用于γ-氨基丁酸保健食品胶囊的</w:t>
                  </w:r>
                  <w:r>
                    <w:rPr>
                      <w:rFonts w:hint="eastAsia" w:ascii="Times New Roman" w:hAnsi="Times New Roman"/>
                      <w:color w:val="auto"/>
                      <w:highlight w:val="none"/>
                      <w:lang w:val="en-US"/>
                    </w:rPr>
                    <w:t>生产</w:t>
                  </w:r>
                  <w:r>
                    <w:rPr>
                      <w:rFonts w:hint="eastAsia" w:ascii="Times New Roman" w:hAnsi="Times New Roman"/>
                      <w:color w:val="auto"/>
                      <w:highlight w:val="none"/>
                    </w:rPr>
                    <w:t>。</w:t>
                  </w:r>
                </w:p>
              </w:tc>
            </w:tr>
            <w:tr w14:paraId="2507BA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753" w:type="pct"/>
                  <w:vMerge w:val="continue"/>
                  <w:tcBorders>
                    <w:tl2br w:val="nil"/>
                    <w:tr2bl w:val="nil"/>
                  </w:tcBorders>
                  <w:vAlign w:val="center"/>
                </w:tcPr>
                <w:p w14:paraId="1FF16813">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rPr>
                  </w:pPr>
                </w:p>
              </w:tc>
              <w:tc>
                <w:tcPr>
                  <w:tcW w:w="837" w:type="pct"/>
                  <w:gridSpan w:val="2"/>
                  <w:tcBorders>
                    <w:tl2br w:val="nil"/>
                    <w:tr2bl w:val="nil"/>
                  </w:tcBorders>
                  <w:vAlign w:val="center"/>
                </w:tcPr>
                <w:p w14:paraId="4EA015D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保健食品粉</w:t>
                  </w:r>
                  <w:r>
                    <w:rPr>
                      <w:rFonts w:hint="eastAsia" w:ascii="Times New Roman" w:hAnsi="Times New Roman"/>
                      <w:color w:val="auto"/>
                      <w:lang w:eastAsia="zh-CN"/>
                    </w:rPr>
                    <w:t>（</w:t>
                  </w:r>
                  <w:r>
                    <w:rPr>
                      <w:rFonts w:hint="eastAsia" w:ascii="Times New Roman" w:hAnsi="Times New Roman"/>
                      <w:color w:val="auto"/>
                    </w:rPr>
                    <w:t>二氢槲皮素</w:t>
                  </w:r>
                  <w:r>
                    <w:rPr>
                      <w:rFonts w:hint="eastAsia" w:ascii="Times New Roman" w:hAnsi="Times New Roman"/>
                      <w:color w:val="auto"/>
                      <w:lang w:eastAsia="zh-CN"/>
                    </w:rPr>
                    <w:t>）</w:t>
                  </w:r>
                </w:p>
              </w:tc>
              <w:tc>
                <w:tcPr>
                  <w:tcW w:w="535" w:type="pct"/>
                  <w:tcBorders>
                    <w:tl2br w:val="nil"/>
                    <w:tr2bl w:val="nil"/>
                  </w:tcBorders>
                  <w:vAlign w:val="center"/>
                </w:tcPr>
                <w:p w14:paraId="42090B7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500 kg/a</w:t>
                  </w:r>
                </w:p>
              </w:tc>
              <w:tc>
                <w:tcPr>
                  <w:tcW w:w="539" w:type="pct"/>
                  <w:tcBorders>
                    <w:tl2br w:val="nil"/>
                    <w:tr2bl w:val="nil"/>
                  </w:tcBorders>
                  <w:vAlign w:val="center"/>
                </w:tcPr>
                <w:p w14:paraId="776E823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6</w:t>
                  </w:r>
                  <w:r>
                    <w:rPr>
                      <w:rFonts w:hint="default" w:ascii="Times New Roman" w:hAnsi="Times New Roman"/>
                      <w:color w:val="auto"/>
                    </w:rPr>
                    <w:t>.25</w:t>
                  </w:r>
                  <w:r>
                    <w:rPr>
                      <w:rFonts w:hint="eastAsia" w:ascii="Times New Roman" w:hAnsi="Times New Roman"/>
                      <w:color w:val="auto"/>
                    </w:rPr>
                    <w:t xml:space="preserve"> kg/批</w:t>
                  </w:r>
                </w:p>
              </w:tc>
              <w:tc>
                <w:tcPr>
                  <w:tcW w:w="622" w:type="pct"/>
                  <w:tcBorders>
                    <w:tl2br w:val="nil"/>
                    <w:tr2bl w:val="nil"/>
                  </w:tcBorders>
                  <w:vAlign w:val="center"/>
                </w:tcPr>
                <w:p w14:paraId="0ABDDE7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w:t>
                  </w:r>
                  <w:r>
                    <w:rPr>
                      <w:rFonts w:hint="default" w:ascii="Times New Roman" w:hAnsi="Times New Roman"/>
                      <w:color w:val="auto"/>
                    </w:rPr>
                    <w:t>0</w:t>
                  </w:r>
                </w:p>
              </w:tc>
              <w:tc>
                <w:tcPr>
                  <w:tcW w:w="766" w:type="pct"/>
                  <w:tcBorders>
                    <w:tl2br w:val="nil"/>
                    <w:tr2bl w:val="nil"/>
                  </w:tcBorders>
                  <w:vAlign w:val="center"/>
                </w:tcPr>
                <w:p w14:paraId="3B7323A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3600</w:t>
                  </w:r>
                </w:p>
              </w:tc>
              <w:tc>
                <w:tcPr>
                  <w:tcW w:w="944" w:type="pct"/>
                  <w:tcBorders>
                    <w:tl2br w:val="nil"/>
                    <w:tr2bl w:val="nil"/>
                  </w:tcBorders>
                  <w:vAlign w:val="center"/>
                </w:tcPr>
                <w:p w14:paraId="12A0E34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olor w:val="auto"/>
                      <w:highlight w:val="none"/>
                    </w:rPr>
                    <w:t>250kg</w:t>
                  </w:r>
                  <w:r>
                    <w:rPr>
                      <w:rFonts w:hint="eastAsia" w:ascii="Times New Roman" w:hAnsi="Times New Roman"/>
                      <w:color w:val="auto"/>
                      <w:lang w:eastAsia="zh-CN"/>
                    </w:rPr>
                    <w:t>（</w:t>
                  </w:r>
                  <w:r>
                    <w:rPr>
                      <w:rFonts w:hint="eastAsia" w:ascii="Times New Roman" w:hAnsi="Times New Roman"/>
                      <w:color w:val="auto"/>
                      <w:lang w:val="en-US" w:eastAsia="zh-CN"/>
                    </w:rPr>
                    <w:t>25kg/袋</w:t>
                  </w:r>
                  <w:r>
                    <w:rPr>
                      <w:rFonts w:hint="eastAsia" w:ascii="Times New Roman" w:hAnsi="Times New Roman"/>
                      <w:color w:val="auto"/>
                      <w:lang w:eastAsia="zh-CN"/>
                    </w:rPr>
                    <w:t>）</w:t>
                  </w:r>
                  <w:r>
                    <w:rPr>
                      <w:rFonts w:hint="eastAsia" w:ascii="Times New Roman" w:hAnsi="Times New Roman"/>
                      <w:color w:val="auto"/>
                      <w:highlight w:val="none"/>
                    </w:rPr>
                    <w:t>用于出售，250kg</w:t>
                  </w:r>
                  <w:r>
                    <w:rPr>
                      <w:rFonts w:hint="eastAsia" w:ascii="Times New Roman" w:hAnsi="Times New Roman"/>
                      <w:color w:val="auto"/>
                      <w:lang w:eastAsia="zh-CN"/>
                    </w:rPr>
                    <w:t>（</w:t>
                  </w:r>
                  <w:r>
                    <w:rPr>
                      <w:rFonts w:hint="eastAsia" w:ascii="Times New Roman" w:hAnsi="Times New Roman"/>
                      <w:color w:val="auto"/>
                      <w:lang w:val="en-US" w:eastAsia="zh-CN"/>
                    </w:rPr>
                    <w:t>25kg/袋</w:t>
                  </w:r>
                  <w:r>
                    <w:rPr>
                      <w:rFonts w:hint="eastAsia" w:ascii="Times New Roman" w:hAnsi="Times New Roman"/>
                      <w:color w:val="auto"/>
                      <w:lang w:eastAsia="zh-CN"/>
                    </w:rPr>
                    <w:t>）</w:t>
                  </w:r>
                  <w:r>
                    <w:rPr>
                      <w:rFonts w:hint="eastAsia" w:ascii="Times New Roman" w:hAnsi="Times New Roman"/>
                      <w:color w:val="auto"/>
                      <w:highlight w:val="none"/>
                    </w:rPr>
                    <w:t>用于二氢槲皮素保健食品胶囊的</w:t>
                  </w:r>
                  <w:r>
                    <w:rPr>
                      <w:rFonts w:hint="eastAsia" w:ascii="Times New Roman" w:hAnsi="Times New Roman"/>
                      <w:color w:val="auto"/>
                      <w:highlight w:val="none"/>
                      <w:lang w:val="en-US"/>
                    </w:rPr>
                    <w:t>生产</w:t>
                  </w:r>
                  <w:r>
                    <w:rPr>
                      <w:rFonts w:hint="eastAsia" w:ascii="Times New Roman" w:hAnsi="Times New Roman"/>
                      <w:color w:val="auto"/>
                      <w:highlight w:val="none"/>
                    </w:rPr>
                    <w:t>。</w:t>
                  </w:r>
                </w:p>
              </w:tc>
            </w:tr>
            <w:tr w14:paraId="32C239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753" w:type="pct"/>
                  <w:vMerge w:val="restart"/>
                  <w:tcBorders>
                    <w:tl2br w:val="nil"/>
                    <w:tr2bl w:val="nil"/>
                  </w:tcBorders>
                  <w:vAlign w:val="center"/>
                </w:tcPr>
                <w:p w14:paraId="3912C6B6">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s="Times New Roman"/>
                      <w:color w:val="auto"/>
                      <w:kern w:val="0"/>
                      <w:sz w:val="21"/>
                      <w:szCs w:val="20"/>
                      <w:highlight w:val="none"/>
                      <w:lang w:val="en-US" w:eastAsia="zh-CN" w:bidi="ar-SA"/>
                    </w:rPr>
                  </w:pPr>
                  <w:r>
                    <w:rPr>
                      <w:rFonts w:hint="eastAsia" w:ascii="Times New Roman" w:hAnsi="Times New Roman"/>
                      <w:color w:val="auto"/>
                      <w:highlight w:val="none"/>
                    </w:rPr>
                    <w:t>保健食品胶囊</w:t>
                  </w:r>
                  <w:r>
                    <w:rPr>
                      <w:rFonts w:hint="eastAsia" w:ascii="Times New Roman" w:hAnsi="Times New Roman"/>
                      <w:color w:val="auto"/>
                      <w:highlight w:val="none"/>
                      <w:lang w:val="en-US"/>
                    </w:rPr>
                    <w:t>生产线</w:t>
                  </w:r>
                </w:p>
              </w:tc>
              <w:tc>
                <w:tcPr>
                  <w:tcW w:w="418" w:type="pct"/>
                  <w:vMerge w:val="restart"/>
                  <w:tcBorders>
                    <w:tl2br w:val="nil"/>
                    <w:tr2bl w:val="nil"/>
                  </w:tcBorders>
                  <w:vAlign w:val="center"/>
                </w:tcPr>
                <w:p w14:paraId="3AC0A73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none"/>
                    </w:rPr>
                  </w:pPr>
                  <w:r>
                    <w:rPr>
                      <w:rFonts w:hint="eastAsia" w:ascii="Times New Roman" w:hAnsi="Times New Roman"/>
                      <w:color w:val="auto"/>
                      <w:highlight w:val="none"/>
                    </w:rPr>
                    <w:t>保健食品胶囊</w:t>
                  </w:r>
                </w:p>
              </w:tc>
              <w:tc>
                <w:tcPr>
                  <w:tcW w:w="419" w:type="pct"/>
                  <w:tcBorders>
                    <w:tl2br w:val="nil"/>
                    <w:tr2bl w:val="nil"/>
                  </w:tcBorders>
                  <w:vAlign w:val="center"/>
                </w:tcPr>
                <w:p w14:paraId="298EC495">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highlight w:val="none"/>
                    </w:rPr>
                  </w:pPr>
                  <w:r>
                    <w:rPr>
                      <w:rFonts w:hint="eastAsia" w:ascii="Times New Roman" w:hAnsi="Times New Roman"/>
                      <w:color w:val="auto"/>
                      <w:highlight w:val="none"/>
                    </w:rPr>
                    <w:t>γ-氨基丁酸</w:t>
                  </w:r>
                </w:p>
              </w:tc>
              <w:tc>
                <w:tcPr>
                  <w:tcW w:w="535" w:type="pct"/>
                  <w:tcBorders>
                    <w:tl2br w:val="nil"/>
                    <w:tr2bl w:val="nil"/>
                  </w:tcBorders>
                  <w:vAlign w:val="center"/>
                </w:tcPr>
                <w:p w14:paraId="4896C6F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1000万粒/a</w:t>
                  </w:r>
                </w:p>
              </w:tc>
              <w:tc>
                <w:tcPr>
                  <w:tcW w:w="539" w:type="pct"/>
                  <w:tcBorders>
                    <w:tl2br w:val="nil"/>
                    <w:tr2bl w:val="nil"/>
                  </w:tcBorders>
                  <w:vAlign w:val="center"/>
                </w:tcPr>
                <w:p w14:paraId="270C5EE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12.5</w:t>
                  </w:r>
                  <w:r>
                    <w:rPr>
                      <w:rFonts w:hint="eastAsia" w:ascii="Times New Roman" w:hAnsi="Times New Roman"/>
                      <w:color w:val="auto"/>
                    </w:rPr>
                    <w:t>万粒/批</w:t>
                  </w:r>
                </w:p>
              </w:tc>
              <w:tc>
                <w:tcPr>
                  <w:tcW w:w="622" w:type="pct"/>
                  <w:tcBorders>
                    <w:tl2br w:val="nil"/>
                    <w:tr2bl w:val="nil"/>
                  </w:tcBorders>
                  <w:vAlign w:val="center"/>
                </w:tcPr>
                <w:p w14:paraId="7182077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80</w:t>
                  </w:r>
                </w:p>
              </w:tc>
              <w:tc>
                <w:tcPr>
                  <w:tcW w:w="766" w:type="pct"/>
                  <w:tcBorders>
                    <w:tl2br w:val="nil"/>
                    <w:tr2bl w:val="nil"/>
                  </w:tcBorders>
                  <w:vAlign w:val="center"/>
                </w:tcPr>
                <w:p w14:paraId="211D3C2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w:t>
                  </w:r>
                  <w:r>
                    <w:rPr>
                      <w:rFonts w:hint="default" w:ascii="Times New Roman" w:hAnsi="Times New Roman"/>
                      <w:color w:val="auto"/>
                    </w:rPr>
                    <w:t>880</w:t>
                  </w:r>
                </w:p>
              </w:tc>
              <w:tc>
                <w:tcPr>
                  <w:tcW w:w="944" w:type="pct"/>
                  <w:tcBorders>
                    <w:tl2br w:val="nil"/>
                    <w:tr2bl w:val="nil"/>
                  </w:tcBorders>
                  <w:vAlign w:val="center"/>
                </w:tcPr>
                <w:p w14:paraId="362D2E0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出售</w:t>
                  </w:r>
                </w:p>
              </w:tc>
            </w:tr>
            <w:tr w14:paraId="736F08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753" w:type="pct"/>
                  <w:vMerge w:val="continue"/>
                  <w:tcBorders>
                    <w:tl2br w:val="nil"/>
                    <w:tr2bl w:val="nil"/>
                  </w:tcBorders>
                  <w:vAlign w:val="center"/>
                </w:tcPr>
                <w:p w14:paraId="19E75A9F">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highlight w:val="none"/>
                    </w:rPr>
                  </w:pPr>
                </w:p>
              </w:tc>
              <w:tc>
                <w:tcPr>
                  <w:tcW w:w="418" w:type="pct"/>
                  <w:vMerge w:val="continue"/>
                  <w:tcBorders>
                    <w:tl2br w:val="nil"/>
                    <w:tr2bl w:val="nil"/>
                  </w:tcBorders>
                  <w:vAlign w:val="center"/>
                </w:tcPr>
                <w:p w14:paraId="14FE3A1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none"/>
                    </w:rPr>
                  </w:pPr>
                </w:p>
              </w:tc>
              <w:tc>
                <w:tcPr>
                  <w:tcW w:w="419" w:type="pct"/>
                  <w:tcBorders>
                    <w:tl2br w:val="nil"/>
                    <w:tr2bl w:val="nil"/>
                  </w:tcBorders>
                  <w:vAlign w:val="center"/>
                </w:tcPr>
                <w:p w14:paraId="3208BC47">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highlight w:val="none"/>
                    </w:rPr>
                  </w:pPr>
                  <w:r>
                    <w:rPr>
                      <w:rFonts w:hint="eastAsia" w:ascii="Times New Roman" w:hAnsi="Times New Roman"/>
                      <w:color w:val="auto"/>
                      <w:highlight w:val="none"/>
                    </w:rPr>
                    <w:t>二氢槲皮素</w:t>
                  </w:r>
                </w:p>
              </w:tc>
              <w:tc>
                <w:tcPr>
                  <w:tcW w:w="535" w:type="pct"/>
                  <w:tcBorders>
                    <w:tl2br w:val="nil"/>
                    <w:tr2bl w:val="nil"/>
                  </w:tcBorders>
                  <w:vAlign w:val="center"/>
                </w:tcPr>
                <w:p w14:paraId="4E6B418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250万粒/a</w:t>
                  </w:r>
                </w:p>
              </w:tc>
              <w:tc>
                <w:tcPr>
                  <w:tcW w:w="539" w:type="pct"/>
                  <w:tcBorders>
                    <w:tl2br w:val="nil"/>
                    <w:tr2bl w:val="nil"/>
                  </w:tcBorders>
                  <w:vAlign w:val="center"/>
                </w:tcPr>
                <w:p w14:paraId="636C21F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12.5</w:t>
                  </w:r>
                  <w:r>
                    <w:rPr>
                      <w:rFonts w:hint="eastAsia" w:ascii="Times New Roman" w:hAnsi="Times New Roman"/>
                      <w:color w:val="auto"/>
                    </w:rPr>
                    <w:t>万粒/批</w:t>
                  </w:r>
                </w:p>
              </w:tc>
              <w:tc>
                <w:tcPr>
                  <w:tcW w:w="622" w:type="pct"/>
                  <w:tcBorders>
                    <w:tl2br w:val="nil"/>
                    <w:tr2bl w:val="nil"/>
                  </w:tcBorders>
                  <w:vAlign w:val="center"/>
                </w:tcPr>
                <w:p w14:paraId="36587B0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20</w:t>
                  </w:r>
                </w:p>
              </w:tc>
              <w:tc>
                <w:tcPr>
                  <w:tcW w:w="766" w:type="pct"/>
                  <w:tcBorders>
                    <w:tl2br w:val="nil"/>
                    <w:tr2bl w:val="nil"/>
                  </w:tcBorders>
                  <w:vAlign w:val="center"/>
                </w:tcPr>
                <w:p w14:paraId="5ACD083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7</w:t>
                  </w:r>
                  <w:r>
                    <w:rPr>
                      <w:rFonts w:hint="default" w:ascii="Times New Roman" w:hAnsi="Times New Roman"/>
                      <w:color w:val="auto"/>
                    </w:rPr>
                    <w:t>20</w:t>
                  </w:r>
                </w:p>
              </w:tc>
              <w:tc>
                <w:tcPr>
                  <w:tcW w:w="944" w:type="pct"/>
                  <w:tcBorders>
                    <w:tl2br w:val="nil"/>
                    <w:tr2bl w:val="nil"/>
                  </w:tcBorders>
                  <w:vAlign w:val="center"/>
                </w:tcPr>
                <w:p w14:paraId="7829488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出售</w:t>
                  </w:r>
                </w:p>
              </w:tc>
            </w:tr>
          </w:tbl>
          <w:p w14:paraId="4373D0E6">
            <w:pPr>
              <w:keepNext w:val="0"/>
              <w:keepLines w:val="0"/>
              <w:suppressLineNumbers w:val="0"/>
              <w:spacing w:before="0" w:beforeAutospacing="0" w:after="0" w:afterAutospacing="0" w:line="500" w:lineRule="exact"/>
              <w:ind w:left="0" w:right="0" w:firstLine="482" w:firstLineChars="200"/>
              <w:rPr>
                <w:rStyle w:val="130"/>
                <w:rFonts w:hint="default" w:eastAsia="仿宋_GB2312"/>
                <w:color w:val="auto"/>
                <w:sz w:val="24"/>
              </w:rPr>
            </w:pPr>
            <w:r>
              <w:rPr>
                <w:rStyle w:val="130"/>
                <w:rFonts w:hint="default" w:eastAsia="仿宋_GB2312"/>
                <w:color w:val="auto"/>
                <w:sz w:val="24"/>
              </w:rPr>
              <w:t>2、产品质量技术指标</w:t>
            </w:r>
          </w:p>
          <w:bookmarkEnd w:id="8"/>
          <w:bookmarkEnd w:id="9"/>
          <w:p w14:paraId="10EE02C4">
            <w:pPr>
              <w:keepNext w:val="0"/>
              <w:keepLines w:val="0"/>
              <w:suppressLineNumbers w:val="0"/>
              <w:spacing w:before="0" w:beforeAutospacing="0" w:after="0" w:afterAutospacing="0" w:line="500" w:lineRule="exact"/>
              <w:ind w:left="0" w:right="0" w:firstLine="480" w:firstLineChars="200"/>
              <w:rPr>
                <w:rFonts w:hint="eastAsia" w:eastAsia="仿宋_GB2312"/>
                <w:bCs/>
                <w:color w:val="auto"/>
                <w:sz w:val="24"/>
                <w:lang w:eastAsia="zh-CN"/>
              </w:rPr>
            </w:pPr>
            <w:r>
              <w:rPr>
                <w:rFonts w:hint="default" w:eastAsia="仿宋_GB2312"/>
                <w:bCs/>
                <w:color w:val="auto"/>
                <w:sz w:val="24"/>
              </w:rPr>
              <w:t>本项目食品用原料</w:t>
            </w:r>
            <w:r>
              <w:rPr>
                <w:rFonts w:hint="eastAsia" w:eastAsia="仿宋_GB2312"/>
                <w:bCs/>
                <w:color w:val="auto"/>
                <w:sz w:val="24"/>
                <w:lang w:eastAsia="zh-CN"/>
              </w:rPr>
              <w:t>（γ-氨基丁酸）产品执行QB/T5633.7-2022；保健食品粉（二氢槲皮素）产品和保健食品胶囊产品执行上海光玥生物科技有限公司（母公司）产品内控标准，具体内容如下。</w:t>
            </w:r>
          </w:p>
          <w:p w14:paraId="2B592B77">
            <w:pPr>
              <w:keepNext w:val="0"/>
              <w:keepLines w:val="0"/>
              <w:suppressLineNumbers w:val="0"/>
              <w:spacing w:before="0" w:beforeAutospacing="0" w:after="0" w:afterAutospacing="0" w:line="400" w:lineRule="exact"/>
              <w:ind w:left="0" w:right="0"/>
              <w:jc w:val="center"/>
              <w:rPr>
                <w:rFonts w:hint="default" w:eastAsia="仿宋_GB2312"/>
                <w:b/>
                <w:color w:val="auto"/>
                <w:sz w:val="21"/>
                <w:szCs w:val="21"/>
                <w:highlight w:val="none"/>
              </w:rPr>
            </w:pPr>
            <w:r>
              <w:rPr>
                <w:rFonts w:hint="eastAsia" w:eastAsia="仿宋_GB2312"/>
                <w:b/>
                <w:color w:val="auto"/>
                <w:sz w:val="21"/>
                <w:szCs w:val="21"/>
                <w:highlight w:val="none"/>
              </w:rPr>
              <w:t>表</w:t>
            </w:r>
            <w:r>
              <w:rPr>
                <w:rFonts w:hint="eastAsia" w:eastAsia="仿宋_GB2312"/>
                <w:b/>
                <w:color w:val="auto"/>
                <w:sz w:val="21"/>
                <w:szCs w:val="21"/>
                <w:highlight w:val="none"/>
                <w:lang w:val="en-US" w:eastAsia="zh-CN"/>
              </w:rPr>
              <w:t>2-2</w:t>
            </w:r>
            <w:r>
              <w:rPr>
                <w:rFonts w:hint="default" w:eastAsia="仿宋_GB2312"/>
                <w:b/>
                <w:color w:val="auto"/>
                <w:sz w:val="21"/>
                <w:szCs w:val="21"/>
                <w:highlight w:val="none"/>
              </w:rPr>
              <w:t xml:space="preserve"> </w:t>
            </w:r>
            <w:r>
              <w:rPr>
                <w:rFonts w:hint="eastAsia" w:eastAsia="仿宋_GB2312"/>
                <w:b/>
                <w:color w:val="auto"/>
                <w:sz w:val="21"/>
                <w:szCs w:val="21"/>
                <w:highlight w:val="none"/>
              </w:rPr>
              <w:t>γ-氨基丁酸产品质量技术指标</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900"/>
              <w:gridCol w:w="5656"/>
            </w:tblGrid>
            <w:tr w14:paraId="2C61C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nil"/>
                    <w:tr2bl w:val="nil"/>
                  </w:tcBorders>
                  <w:vAlign w:val="center"/>
                </w:tcPr>
                <w:p w14:paraId="4373B8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序号</w:t>
                  </w:r>
                </w:p>
              </w:tc>
              <w:tc>
                <w:tcPr>
                  <w:tcW w:w="1900" w:type="dxa"/>
                  <w:tcBorders>
                    <w:tl2br w:val="nil"/>
                    <w:tr2bl w:val="nil"/>
                  </w:tcBorders>
                  <w:vAlign w:val="center"/>
                </w:tcPr>
                <w:p w14:paraId="27E608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名称</w:t>
                  </w:r>
                </w:p>
              </w:tc>
              <w:tc>
                <w:tcPr>
                  <w:tcW w:w="5656" w:type="dxa"/>
                  <w:tcBorders>
                    <w:tl2br w:val="nil"/>
                    <w:tr2bl w:val="nil"/>
                  </w:tcBorders>
                  <w:vAlign w:val="center"/>
                </w:tcPr>
                <w:p w14:paraId="0AAFE1E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指标</w:t>
                  </w:r>
                </w:p>
              </w:tc>
            </w:tr>
            <w:tr w14:paraId="0144E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82" w:type="dxa"/>
                  <w:gridSpan w:val="3"/>
                  <w:tcBorders>
                    <w:tl2br w:val="nil"/>
                    <w:tr2bl w:val="nil"/>
                  </w:tcBorders>
                  <w:vAlign w:val="center"/>
                </w:tcPr>
                <w:p w14:paraId="3607A1B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bookmarkStart w:id="10" w:name="OLE_LINK4"/>
                  <w:r>
                    <w:rPr>
                      <w:rFonts w:hint="default" w:ascii="Times New Roman" w:hAnsi="Times New Roman" w:eastAsia="仿宋_GB2312" w:cs="Times New Roman"/>
                      <w:color w:val="auto"/>
                      <w:sz w:val="21"/>
                    </w:rPr>
                    <w:t>γ-氨基丁酸</w:t>
                  </w:r>
                  <w:bookmarkEnd w:id="10"/>
                </w:p>
              </w:tc>
            </w:tr>
            <w:tr w14:paraId="4866A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nil"/>
                    <w:tr2bl w:val="nil"/>
                  </w:tcBorders>
                  <w:vAlign w:val="center"/>
                </w:tcPr>
                <w:p w14:paraId="0204F1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1900" w:type="dxa"/>
                  <w:tcBorders>
                    <w:tl2br w:val="nil"/>
                    <w:tr2bl w:val="nil"/>
                  </w:tcBorders>
                  <w:vAlign w:val="center"/>
                </w:tcPr>
                <w:p w14:paraId="510B73C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外观</w:t>
                  </w:r>
                </w:p>
              </w:tc>
              <w:tc>
                <w:tcPr>
                  <w:tcW w:w="5656" w:type="dxa"/>
                  <w:tcBorders>
                    <w:tl2br w:val="nil"/>
                    <w:tr2bl w:val="nil"/>
                  </w:tcBorders>
                  <w:vAlign w:val="center"/>
                </w:tcPr>
                <w:p w14:paraId="657B52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白色</w:t>
                  </w:r>
                  <w:r>
                    <w:rPr>
                      <w:rFonts w:hint="eastAsia" w:eastAsia="仿宋_GB2312" w:cs="Times New Roman"/>
                      <w:color w:val="auto"/>
                      <w:sz w:val="21"/>
                      <w:lang w:eastAsia="zh-CN"/>
                    </w:rPr>
                    <w:t>或淡黄色结晶性粉末</w:t>
                  </w:r>
                </w:p>
              </w:tc>
            </w:tr>
            <w:tr w14:paraId="2AAED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nil"/>
                    <w:tr2bl w:val="nil"/>
                  </w:tcBorders>
                  <w:vAlign w:val="center"/>
                </w:tcPr>
                <w:p w14:paraId="7710F44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1900" w:type="dxa"/>
                  <w:tcBorders>
                    <w:tl2br w:val="nil"/>
                    <w:tr2bl w:val="nil"/>
                  </w:tcBorders>
                  <w:vAlign w:val="center"/>
                </w:tcPr>
                <w:p w14:paraId="17A7B10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鉴别方法</w:t>
                  </w:r>
                </w:p>
              </w:tc>
              <w:tc>
                <w:tcPr>
                  <w:tcW w:w="5656" w:type="dxa"/>
                  <w:tcBorders>
                    <w:tl2br w:val="nil"/>
                    <w:tr2bl w:val="nil"/>
                  </w:tcBorders>
                  <w:vAlign w:val="center"/>
                </w:tcPr>
                <w:p w14:paraId="171A23C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高效液相色谱</w:t>
                  </w:r>
                </w:p>
              </w:tc>
            </w:tr>
            <w:tr w14:paraId="5AD34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nil"/>
                    <w:tr2bl w:val="nil"/>
                  </w:tcBorders>
                  <w:vAlign w:val="center"/>
                </w:tcPr>
                <w:p w14:paraId="587D49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3</w:t>
                  </w:r>
                </w:p>
              </w:tc>
              <w:tc>
                <w:tcPr>
                  <w:tcW w:w="1900" w:type="dxa"/>
                  <w:tcBorders>
                    <w:tl2br w:val="nil"/>
                    <w:tr2bl w:val="nil"/>
                  </w:tcBorders>
                  <w:vAlign w:val="center"/>
                </w:tcPr>
                <w:p w14:paraId="1F08AFA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纯度</w:t>
                  </w:r>
                </w:p>
              </w:tc>
              <w:tc>
                <w:tcPr>
                  <w:tcW w:w="5656" w:type="dxa"/>
                  <w:tcBorders>
                    <w:tl2br w:val="nil"/>
                    <w:tr2bl w:val="nil"/>
                  </w:tcBorders>
                  <w:vAlign w:val="center"/>
                </w:tcPr>
                <w:p w14:paraId="1789304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≥98.</w:t>
                  </w:r>
                  <w:r>
                    <w:rPr>
                      <w:rFonts w:hint="eastAsia" w:eastAsia="仿宋_GB2312" w:cs="Times New Roman"/>
                      <w:color w:val="auto"/>
                      <w:sz w:val="21"/>
                      <w:lang w:val="en-US" w:eastAsia="zh-CN"/>
                    </w:rPr>
                    <w:t>5</w:t>
                  </w:r>
                  <w:r>
                    <w:rPr>
                      <w:rFonts w:hint="default" w:ascii="Times New Roman" w:hAnsi="Times New Roman" w:eastAsia="仿宋_GB2312" w:cs="Times New Roman"/>
                      <w:color w:val="auto"/>
                      <w:sz w:val="21"/>
                    </w:rPr>
                    <w:t>%</w:t>
                  </w:r>
                </w:p>
              </w:tc>
            </w:tr>
            <w:tr w14:paraId="2F7BC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nil"/>
                    <w:tr2bl w:val="nil"/>
                  </w:tcBorders>
                  <w:vAlign w:val="center"/>
                </w:tcPr>
                <w:p w14:paraId="6ECC141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w:t>
                  </w:r>
                </w:p>
              </w:tc>
              <w:tc>
                <w:tcPr>
                  <w:tcW w:w="1900" w:type="dxa"/>
                  <w:tcBorders>
                    <w:tl2br w:val="nil"/>
                    <w:tr2bl w:val="nil"/>
                  </w:tcBorders>
                  <w:vAlign w:val="center"/>
                </w:tcPr>
                <w:p w14:paraId="15FC1C8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重金属</w:t>
                  </w:r>
                  <w:r>
                    <w:rPr>
                      <w:rFonts w:hint="eastAsia" w:eastAsia="仿宋_GB2312" w:cs="Times New Roman"/>
                      <w:color w:val="auto"/>
                      <w:sz w:val="21"/>
                      <w:lang w:eastAsia="zh-CN"/>
                    </w:rPr>
                    <w:t>及盐类</w:t>
                  </w:r>
                  <w:r>
                    <w:rPr>
                      <w:rFonts w:hint="default" w:ascii="Times New Roman" w:hAnsi="Times New Roman" w:eastAsia="仿宋_GB2312" w:cs="Times New Roman"/>
                      <w:color w:val="auto"/>
                      <w:sz w:val="21"/>
                    </w:rPr>
                    <w:t>限量</w:t>
                  </w:r>
                </w:p>
              </w:tc>
              <w:tc>
                <w:tcPr>
                  <w:tcW w:w="5656" w:type="dxa"/>
                  <w:tcBorders>
                    <w:tl2br w:val="nil"/>
                    <w:tr2bl w:val="nil"/>
                  </w:tcBorders>
                  <w:vAlign w:val="center"/>
                </w:tcPr>
                <w:p w14:paraId="448DFF4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rPr>
                    <w:t>铅（Pb）≤</w:t>
                  </w:r>
                  <w:r>
                    <w:rPr>
                      <w:rFonts w:hint="eastAsia" w:eastAsia="仿宋_GB2312" w:cs="Times New Roman"/>
                      <w:color w:val="auto"/>
                      <w:sz w:val="21"/>
                      <w:lang w:val="en-US" w:eastAsia="zh-CN"/>
                    </w:rPr>
                    <w:t>0.3</w:t>
                  </w:r>
                  <w:r>
                    <w:rPr>
                      <w:rFonts w:hint="default" w:ascii="Times New Roman" w:hAnsi="Times New Roman" w:eastAsia="仿宋_GB2312" w:cs="Times New Roman"/>
                      <w:color w:val="auto"/>
                      <w:sz w:val="21"/>
                    </w:rPr>
                    <w:t xml:space="preserve"> </w:t>
                  </w:r>
                  <w:r>
                    <w:rPr>
                      <w:rFonts w:hint="eastAsia" w:eastAsia="仿宋_GB2312" w:cs="Times New Roman"/>
                      <w:color w:val="auto"/>
                      <w:sz w:val="21"/>
                      <w:lang w:val="en-US" w:eastAsia="zh-CN"/>
                    </w:rPr>
                    <w:t>mg/kg</w:t>
                  </w:r>
                  <w:r>
                    <w:rPr>
                      <w:rFonts w:hint="default" w:ascii="Times New Roman" w:hAnsi="Times New Roman" w:eastAsia="仿宋_GB2312" w:cs="Times New Roman"/>
                      <w:color w:val="auto"/>
                      <w:sz w:val="21"/>
                    </w:rPr>
                    <w:t>，</w:t>
                  </w:r>
                  <w:r>
                    <w:rPr>
                      <w:rFonts w:hint="eastAsia" w:eastAsia="仿宋_GB2312" w:cs="Times New Roman"/>
                      <w:color w:val="auto"/>
                      <w:sz w:val="21"/>
                      <w:lang w:eastAsia="zh-CN"/>
                    </w:rPr>
                    <w:t>氯化物（以</w:t>
                  </w:r>
                  <w:r>
                    <w:rPr>
                      <w:rFonts w:hint="eastAsia" w:eastAsia="仿宋_GB2312" w:cs="Times New Roman"/>
                      <w:color w:val="auto"/>
                      <w:sz w:val="21"/>
                      <w:lang w:val="en-US" w:eastAsia="zh-CN"/>
                    </w:rPr>
                    <w:t>Cl</w:t>
                  </w:r>
                  <w:r>
                    <w:rPr>
                      <w:rFonts w:hint="eastAsia" w:eastAsia="仿宋_GB2312" w:cs="Times New Roman"/>
                      <w:color w:val="auto"/>
                      <w:sz w:val="21"/>
                      <w:vertAlign w:val="superscript"/>
                      <w:lang w:val="en-US" w:eastAsia="zh-CN"/>
                    </w:rPr>
                    <w:t>-</w:t>
                  </w:r>
                  <w:r>
                    <w:rPr>
                      <w:rFonts w:hint="eastAsia" w:eastAsia="仿宋_GB2312" w:cs="Times New Roman"/>
                      <w:color w:val="auto"/>
                      <w:sz w:val="21"/>
                      <w:lang w:val="en-US" w:eastAsia="zh-CN"/>
                    </w:rPr>
                    <w:t>计</w:t>
                  </w:r>
                  <w:r>
                    <w:rPr>
                      <w:rFonts w:hint="eastAsia" w:eastAsia="仿宋_GB2312" w:cs="Times New Roman"/>
                      <w:color w:val="auto"/>
                      <w:sz w:val="21"/>
                      <w:lang w:eastAsia="zh-CN"/>
                    </w:rPr>
                    <w:t>）</w:t>
                  </w:r>
                  <w:r>
                    <w:rPr>
                      <w:rFonts w:hint="default" w:ascii="Times New Roman" w:hAnsi="Times New Roman" w:eastAsia="仿宋_GB2312" w:cs="Times New Roman"/>
                      <w:color w:val="auto"/>
                      <w:sz w:val="21"/>
                    </w:rPr>
                    <w:t>≤0.</w:t>
                  </w:r>
                  <w:r>
                    <w:rPr>
                      <w:rFonts w:hint="eastAsia" w:eastAsia="仿宋_GB2312" w:cs="Times New Roman"/>
                      <w:color w:val="auto"/>
                      <w:sz w:val="21"/>
                      <w:lang w:val="en-US" w:eastAsia="zh-CN"/>
                    </w:rPr>
                    <w:t>02%</w:t>
                  </w:r>
                  <w:r>
                    <w:rPr>
                      <w:rFonts w:hint="default" w:ascii="Times New Roman" w:hAnsi="Times New Roman" w:eastAsia="仿宋_GB2312" w:cs="Times New Roman"/>
                      <w:color w:val="auto"/>
                      <w:sz w:val="21"/>
                    </w:rPr>
                    <w:t>，</w:t>
                  </w:r>
                  <w:r>
                    <w:rPr>
                      <w:rFonts w:hint="eastAsia" w:eastAsia="仿宋_GB2312" w:cs="Times New Roman"/>
                      <w:color w:val="auto"/>
                      <w:sz w:val="21"/>
                      <w:lang w:eastAsia="zh-CN"/>
                    </w:rPr>
                    <w:t>硫酸盐（以</w:t>
                  </w:r>
                  <w:r>
                    <w:rPr>
                      <w:rFonts w:hint="eastAsia" w:eastAsia="仿宋_GB2312" w:cs="Times New Roman"/>
                      <w:color w:val="auto"/>
                      <w:sz w:val="21"/>
                      <w:lang w:val="en-US" w:eastAsia="zh-CN"/>
                    </w:rPr>
                    <w:t>SO</w:t>
                  </w:r>
                  <w:r>
                    <w:rPr>
                      <w:rFonts w:hint="eastAsia" w:eastAsia="仿宋_GB2312" w:cs="Times New Roman"/>
                      <w:color w:val="auto"/>
                      <w:sz w:val="21"/>
                      <w:vertAlign w:val="subscript"/>
                      <w:lang w:val="en-US" w:eastAsia="zh-CN"/>
                    </w:rPr>
                    <w:t>4</w:t>
                  </w:r>
                  <w:r>
                    <w:rPr>
                      <w:rFonts w:hint="eastAsia" w:eastAsia="仿宋_GB2312" w:cs="Times New Roman"/>
                      <w:color w:val="auto"/>
                      <w:sz w:val="21"/>
                      <w:vertAlign w:val="superscript"/>
                      <w:lang w:val="en-US" w:eastAsia="zh-CN"/>
                    </w:rPr>
                    <w:t>2-</w:t>
                  </w:r>
                  <w:r>
                    <w:rPr>
                      <w:rFonts w:hint="eastAsia" w:eastAsia="仿宋_GB2312" w:cs="Times New Roman"/>
                      <w:color w:val="auto"/>
                      <w:sz w:val="21"/>
                      <w:lang w:val="en-US" w:eastAsia="zh-CN"/>
                    </w:rPr>
                    <w:t>计</w:t>
                  </w:r>
                  <w:r>
                    <w:rPr>
                      <w:rFonts w:hint="eastAsia" w:eastAsia="仿宋_GB2312" w:cs="Times New Roman"/>
                      <w:color w:val="auto"/>
                      <w:sz w:val="21"/>
                      <w:lang w:eastAsia="zh-CN"/>
                    </w:rPr>
                    <w:t>）</w:t>
                  </w:r>
                  <w:r>
                    <w:rPr>
                      <w:rFonts w:hint="default" w:ascii="Times New Roman" w:hAnsi="Times New Roman" w:eastAsia="仿宋_GB2312" w:cs="Times New Roman"/>
                      <w:color w:val="auto"/>
                      <w:sz w:val="21"/>
                    </w:rPr>
                    <w:t>≤</w:t>
                  </w:r>
                  <w:r>
                    <w:rPr>
                      <w:rFonts w:hint="eastAsia" w:eastAsia="仿宋_GB2312" w:cs="Times New Roman"/>
                      <w:color w:val="auto"/>
                      <w:sz w:val="21"/>
                      <w:lang w:val="en-US" w:eastAsia="zh-CN"/>
                    </w:rPr>
                    <w:t>0.04%</w:t>
                  </w:r>
                  <w:r>
                    <w:rPr>
                      <w:rFonts w:hint="default" w:ascii="Times New Roman" w:hAnsi="Times New Roman" w:eastAsia="仿宋_GB2312" w:cs="Times New Roman"/>
                      <w:color w:val="auto"/>
                      <w:sz w:val="21"/>
                    </w:rPr>
                    <w:t>，总砷（As）≤</w:t>
                  </w:r>
                  <w:r>
                    <w:rPr>
                      <w:rFonts w:hint="eastAsia" w:eastAsia="仿宋_GB2312" w:cs="Times New Roman"/>
                      <w:color w:val="auto"/>
                      <w:sz w:val="21"/>
                      <w:lang w:val="en-US" w:eastAsia="zh-CN"/>
                    </w:rPr>
                    <w:t>0.2</w:t>
                  </w:r>
                  <w:r>
                    <w:rPr>
                      <w:rFonts w:hint="default" w:ascii="Times New Roman" w:hAnsi="Times New Roman" w:eastAsia="仿宋_GB2312" w:cs="Times New Roman"/>
                      <w:color w:val="auto"/>
                      <w:sz w:val="21"/>
                    </w:rPr>
                    <w:t xml:space="preserve"> </w:t>
                  </w:r>
                  <w:r>
                    <w:rPr>
                      <w:rFonts w:hint="eastAsia" w:eastAsia="仿宋_GB2312" w:cs="Times New Roman"/>
                      <w:color w:val="auto"/>
                      <w:sz w:val="21"/>
                      <w:lang w:val="en-US" w:eastAsia="zh-CN"/>
                    </w:rPr>
                    <w:t>mg/kg，铵盐</w:t>
                  </w:r>
                  <w:r>
                    <w:rPr>
                      <w:rFonts w:hint="eastAsia" w:eastAsia="仿宋_GB2312" w:cs="Times New Roman"/>
                      <w:color w:val="auto"/>
                      <w:sz w:val="21"/>
                      <w:lang w:eastAsia="zh-CN"/>
                    </w:rPr>
                    <w:t>（以</w:t>
                  </w:r>
                  <w:r>
                    <w:rPr>
                      <w:rFonts w:hint="eastAsia" w:eastAsia="仿宋_GB2312" w:cs="Times New Roman"/>
                      <w:color w:val="auto"/>
                      <w:sz w:val="21"/>
                      <w:lang w:val="en-US" w:eastAsia="zh-CN"/>
                    </w:rPr>
                    <w:t>NH</w:t>
                  </w:r>
                  <w:r>
                    <w:rPr>
                      <w:rFonts w:hint="eastAsia" w:eastAsia="仿宋_GB2312" w:cs="Times New Roman"/>
                      <w:color w:val="auto"/>
                      <w:sz w:val="21"/>
                      <w:vertAlign w:val="subscript"/>
                      <w:lang w:val="en-US" w:eastAsia="zh-CN"/>
                    </w:rPr>
                    <w:t>4</w:t>
                  </w:r>
                  <w:r>
                    <w:rPr>
                      <w:rFonts w:hint="eastAsia" w:eastAsia="仿宋_GB2312" w:cs="Times New Roman"/>
                      <w:color w:val="auto"/>
                      <w:sz w:val="21"/>
                      <w:vertAlign w:val="superscript"/>
                      <w:lang w:val="en-US" w:eastAsia="zh-CN"/>
                    </w:rPr>
                    <w:t>+</w:t>
                  </w:r>
                  <w:r>
                    <w:rPr>
                      <w:rFonts w:hint="eastAsia" w:eastAsia="仿宋_GB2312" w:cs="Times New Roman"/>
                      <w:color w:val="auto"/>
                      <w:sz w:val="21"/>
                      <w:lang w:val="en-US" w:eastAsia="zh-CN"/>
                    </w:rPr>
                    <w:t>计</w:t>
                  </w:r>
                  <w:r>
                    <w:rPr>
                      <w:rFonts w:hint="eastAsia" w:eastAsia="仿宋_GB2312" w:cs="Times New Roman"/>
                      <w:color w:val="auto"/>
                      <w:sz w:val="21"/>
                      <w:lang w:eastAsia="zh-CN"/>
                    </w:rPr>
                    <w:t>）</w:t>
                  </w:r>
                  <w:r>
                    <w:rPr>
                      <w:rFonts w:hint="default" w:ascii="Times New Roman" w:hAnsi="Times New Roman" w:eastAsia="仿宋_GB2312" w:cs="Times New Roman"/>
                      <w:color w:val="auto"/>
                      <w:sz w:val="21"/>
                    </w:rPr>
                    <w:t>≤</w:t>
                  </w:r>
                  <w:r>
                    <w:rPr>
                      <w:rFonts w:hint="eastAsia" w:eastAsia="仿宋_GB2312" w:cs="Times New Roman"/>
                      <w:color w:val="auto"/>
                      <w:sz w:val="21"/>
                      <w:lang w:val="en-US" w:eastAsia="zh-CN"/>
                    </w:rPr>
                    <w:t>0.02%，铁盐</w:t>
                  </w:r>
                  <w:r>
                    <w:rPr>
                      <w:rFonts w:hint="eastAsia" w:eastAsia="仿宋_GB2312" w:cs="Times New Roman"/>
                      <w:color w:val="auto"/>
                      <w:sz w:val="21"/>
                      <w:lang w:eastAsia="zh-CN"/>
                    </w:rPr>
                    <w:t>（以</w:t>
                  </w:r>
                  <w:r>
                    <w:rPr>
                      <w:rFonts w:hint="eastAsia" w:eastAsia="仿宋_GB2312" w:cs="Times New Roman"/>
                      <w:color w:val="auto"/>
                      <w:sz w:val="21"/>
                      <w:lang w:val="en-US" w:eastAsia="zh-CN"/>
                    </w:rPr>
                    <w:t>Fe计</w:t>
                  </w:r>
                  <w:r>
                    <w:rPr>
                      <w:rFonts w:hint="eastAsia" w:eastAsia="仿宋_GB2312" w:cs="Times New Roman"/>
                      <w:color w:val="auto"/>
                      <w:sz w:val="21"/>
                      <w:lang w:eastAsia="zh-CN"/>
                    </w:rPr>
                    <w:t>）</w:t>
                  </w:r>
                  <w:r>
                    <w:rPr>
                      <w:rFonts w:hint="default" w:ascii="Times New Roman" w:hAnsi="Times New Roman" w:eastAsia="仿宋_GB2312" w:cs="Times New Roman"/>
                      <w:color w:val="auto"/>
                      <w:sz w:val="21"/>
                    </w:rPr>
                    <w:t>≤</w:t>
                  </w:r>
                  <w:r>
                    <w:rPr>
                      <w:rFonts w:hint="eastAsia" w:eastAsia="仿宋_GB2312" w:cs="Times New Roman"/>
                      <w:color w:val="auto"/>
                      <w:sz w:val="21"/>
                      <w:lang w:val="en-US" w:eastAsia="zh-CN"/>
                    </w:rPr>
                    <w:t>30mg/kg，其他杂质</w:t>
                  </w:r>
                  <w:r>
                    <w:rPr>
                      <w:rFonts w:hint="default" w:ascii="Times New Roman" w:hAnsi="Times New Roman" w:eastAsia="仿宋_GB2312" w:cs="Times New Roman"/>
                      <w:color w:val="auto"/>
                      <w:sz w:val="21"/>
                    </w:rPr>
                    <w:t>≤</w:t>
                  </w:r>
                  <w:r>
                    <w:rPr>
                      <w:rFonts w:hint="eastAsia" w:eastAsia="仿宋_GB2312" w:cs="Times New Roman"/>
                      <w:color w:val="auto"/>
                      <w:sz w:val="21"/>
                      <w:lang w:val="en-US" w:eastAsia="zh-CN"/>
                    </w:rPr>
                    <w:t>0.05%</w:t>
                  </w:r>
                </w:p>
              </w:tc>
            </w:tr>
            <w:tr w14:paraId="5B705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nil"/>
                    <w:tr2bl w:val="nil"/>
                  </w:tcBorders>
                  <w:vAlign w:val="center"/>
                </w:tcPr>
                <w:p w14:paraId="1B253D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w:t>
                  </w:r>
                </w:p>
              </w:tc>
              <w:tc>
                <w:tcPr>
                  <w:tcW w:w="1900" w:type="dxa"/>
                  <w:tcBorders>
                    <w:tl2br w:val="nil"/>
                    <w:tr2bl w:val="nil"/>
                  </w:tcBorders>
                  <w:vAlign w:val="center"/>
                </w:tcPr>
                <w:p w14:paraId="524B266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微生物限量</w:t>
                  </w:r>
                </w:p>
              </w:tc>
              <w:tc>
                <w:tcPr>
                  <w:tcW w:w="5656" w:type="dxa"/>
                  <w:tcBorders>
                    <w:tl2br w:val="nil"/>
                    <w:tr2bl w:val="nil"/>
                  </w:tcBorders>
                  <w:vAlign w:val="center"/>
                </w:tcPr>
                <w:p w14:paraId="0897ED9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eastAsia" w:eastAsia="仿宋_GB2312" w:cs="Times New Roman"/>
                      <w:color w:val="auto"/>
                      <w:sz w:val="21"/>
                      <w:lang w:eastAsia="zh-CN"/>
                    </w:rPr>
                    <w:t>菌落总数</w:t>
                  </w:r>
                  <w:r>
                    <w:rPr>
                      <w:rFonts w:hint="default" w:ascii="Times New Roman" w:hAnsi="Times New Roman" w:eastAsia="仿宋_GB2312" w:cs="Times New Roman"/>
                      <w:color w:val="auto"/>
                      <w:sz w:val="21"/>
                    </w:rPr>
                    <w:t>≤1000 CFU/g；霉菌和酵母≤</w:t>
                  </w:r>
                  <w:r>
                    <w:rPr>
                      <w:rFonts w:hint="eastAsia" w:eastAsia="仿宋_GB2312" w:cs="Times New Roman"/>
                      <w:color w:val="auto"/>
                      <w:sz w:val="21"/>
                      <w:lang w:val="en-US" w:eastAsia="zh-CN"/>
                    </w:rPr>
                    <w:t>5</w:t>
                  </w:r>
                  <w:r>
                    <w:rPr>
                      <w:rFonts w:hint="default" w:ascii="Times New Roman" w:hAnsi="Times New Roman" w:eastAsia="仿宋_GB2312" w:cs="Times New Roman"/>
                      <w:color w:val="auto"/>
                      <w:sz w:val="21"/>
                    </w:rPr>
                    <w:t>0 CFU/g</w:t>
                  </w:r>
                  <w:r>
                    <w:rPr>
                      <w:rFonts w:hint="eastAsia" w:eastAsia="仿宋_GB2312" w:cs="Times New Roman"/>
                      <w:color w:val="auto"/>
                      <w:sz w:val="21"/>
                      <w:lang w:eastAsia="zh-CN"/>
                    </w:rPr>
                    <w:t>；</w:t>
                  </w:r>
                  <w:r>
                    <w:rPr>
                      <w:rFonts w:hint="default" w:ascii="Times New Roman" w:hAnsi="Times New Roman" w:eastAsia="仿宋_GB2312" w:cs="Times New Roman"/>
                      <w:color w:val="auto"/>
                      <w:sz w:val="21"/>
                    </w:rPr>
                    <w:t>大肠菌群≤</w:t>
                  </w:r>
                  <w:r>
                    <w:rPr>
                      <w:rFonts w:hint="eastAsia" w:eastAsia="仿宋_GB2312" w:cs="Times New Roman"/>
                      <w:color w:val="auto"/>
                      <w:sz w:val="21"/>
                      <w:lang w:val="en-US" w:eastAsia="zh-CN"/>
                    </w:rPr>
                    <w:t>5</w:t>
                  </w:r>
                  <w:r>
                    <w:rPr>
                      <w:rFonts w:hint="default" w:ascii="Times New Roman" w:hAnsi="Times New Roman" w:eastAsia="仿宋_GB2312" w:cs="Times New Roman"/>
                      <w:color w:val="auto"/>
                      <w:sz w:val="21"/>
                    </w:rPr>
                    <w:t>0 CFU/g</w:t>
                  </w:r>
                </w:p>
              </w:tc>
            </w:tr>
          </w:tbl>
          <w:p w14:paraId="32A48C38">
            <w:pPr>
              <w:keepNext w:val="0"/>
              <w:keepLines w:val="0"/>
              <w:suppressLineNumbers w:val="0"/>
              <w:spacing w:before="0" w:beforeAutospacing="0" w:after="0" w:afterAutospacing="0" w:line="400" w:lineRule="exact"/>
              <w:ind w:left="0" w:right="0"/>
              <w:jc w:val="center"/>
              <w:rPr>
                <w:rFonts w:hint="eastAsia" w:eastAsia="仿宋_GB2312"/>
                <w:b/>
                <w:color w:val="auto"/>
                <w:sz w:val="21"/>
                <w:szCs w:val="21"/>
              </w:rPr>
            </w:pPr>
            <w:r>
              <w:rPr>
                <w:rFonts w:hint="eastAsia" w:eastAsia="仿宋_GB2312"/>
                <w:b/>
                <w:color w:val="auto"/>
                <w:sz w:val="21"/>
                <w:szCs w:val="21"/>
              </w:rPr>
              <w:t>表</w:t>
            </w:r>
            <w:r>
              <w:rPr>
                <w:rFonts w:hint="eastAsia" w:eastAsia="仿宋_GB2312"/>
                <w:b/>
                <w:color w:val="auto"/>
                <w:sz w:val="21"/>
                <w:szCs w:val="21"/>
                <w:lang w:val="en-US" w:eastAsia="zh-CN"/>
              </w:rPr>
              <w:t>2</w:t>
            </w:r>
            <w:r>
              <w:rPr>
                <w:rFonts w:hint="eastAsia" w:eastAsia="仿宋_GB2312"/>
                <w:b/>
                <w:color w:val="auto"/>
                <w:sz w:val="21"/>
                <w:szCs w:val="21"/>
              </w:rPr>
              <w:t xml:space="preserve">-3  </w:t>
            </w:r>
            <w:bookmarkStart w:id="11" w:name="OLE_LINK13"/>
            <w:r>
              <w:rPr>
                <w:rFonts w:hint="eastAsia" w:eastAsia="仿宋_GB2312"/>
                <w:b/>
                <w:color w:val="auto"/>
                <w:sz w:val="21"/>
                <w:szCs w:val="21"/>
              </w:rPr>
              <w:t>二氢槲皮素</w:t>
            </w:r>
            <w:bookmarkEnd w:id="11"/>
            <w:r>
              <w:rPr>
                <w:rFonts w:hint="eastAsia" w:eastAsia="仿宋_GB2312"/>
                <w:b/>
                <w:color w:val="auto"/>
                <w:sz w:val="21"/>
                <w:szCs w:val="21"/>
              </w:rPr>
              <w:t>产品质量技术指标</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698"/>
              <w:gridCol w:w="5739"/>
            </w:tblGrid>
            <w:tr w14:paraId="47E0D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1FF563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序号</w:t>
                  </w:r>
                </w:p>
              </w:tc>
              <w:tc>
                <w:tcPr>
                  <w:tcW w:w="1698" w:type="dxa"/>
                  <w:tcBorders>
                    <w:tl2br w:val="nil"/>
                    <w:tr2bl w:val="nil"/>
                  </w:tcBorders>
                  <w:vAlign w:val="center"/>
                </w:tcPr>
                <w:p w14:paraId="7AE32DE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名称</w:t>
                  </w:r>
                </w:p>
              </w:tc>
              <w:tc>
                <w:tcPr>
                  <w:tcW w:w="5739" w:type="dxa"/>
                  <w:tcBorders>
                    <w:tl2br w:val="nil"/>
                    <w:tr2bl w:val="nil"/>
                  </w:tcBorders>
                  <w:vAlign w:val="center"/>
                </w:tcPr>
                <w:p w14:paraId="60A1D5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指标</w:t>
                  </w:r>
                </w:p>
              </w:tc>
            </w:tr>
            <w:tr w14:paraId="20F3D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82" w:type="dxa"/>
                  <w:gridSpan w:val="3"/>
                  <w:tcBorders>
                    <w:tl2br w:val="nil"/>
                    <w:tr2bl w:val="nil"/>
                  </w:tcBorders>
                  <w:vAlign w:val="center"/>
                </w:tcPr>
                <w:p w14:paraId="646F12D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二氢槲皮素</w:t>
                  </w:r>
                </w:p>
              </w:tc>
            </w:tr>
            <w:tr w14:paraId="44E4C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6CD06C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1698" w:type="dxa"/>
                  <w:tcBorders>
                    <w:tl2br w:val="nil"/>
                    <w:tr2bl w:val="nil"/>
                  </w:tcBorders>
                  <w:vAlign w:val="center"/>
                </w:tcPr>
                <w:p w14:paraId="064D5D7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外观</w:t>
                  </w:r>
                </w:p>
              </w:tc>
              <w:tc>
                <w:tcPr>
                  <w:tcW w:w="5739" w:type="dxa"/>
                  <w:tcBorders>
                    <w:tl2br w:val="nil"/>
                    <w:tr2bl w:val="nil"/>
                  </w:tcBorders>
                  <w:vAlign w:val="center"/>
                </w:tcPr>
                <w:p w14:paraId="2BD2E87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浅黄色粉末</w:t>
                  </w:r>
                </w:p>
              </w:tc>
            </w:tr>
            <w:tr w14:paraId="3189D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085740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1698" w:type="dxa"/>
                  <w:tcBorders>
                    <w:tl2br w:val="nil"/>
                    <w:tr2bl w:val="nil"/>
                  </w:tcBorders>
                  <w:vAlign w:val="center"/>
                </w:tcPr>
                <w:p w14:paraId="20559A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鉴别方法</w:t>
                  </w:r>
                </w:p>
              </w:tc>
              <w:tc>
                <w:tcPr>
                  <w:tcW w:w="5739" w:type="dxa"/>
                  <w:tcBorders>
                    <w:tl2br w:val="nil"/>
                    <w:tr2bl w:val="nil"/>
                  </w:tcBorders>
                  <w:vAlign w:val="center"/>
                </w:tcPr>
                <w:p w14:paraId="4BFE32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高效液相色谱</w:t>
                  </w:r>
                </w:p>
              </w:tc>
            </w:tr>
            <w:tr w14:paraId="257C9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022FF5E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3</w:t>
                  </w:r>
                </w:p>
              </w:tc>
              <w:tc>
                <w:tcPr>
                  <w:tcW w:w="1698" w:type="dxa"/>
                  <w:tcBorders>
                    <w:tl2br w:val="nil"/>
                    <w:tr2bl w:val="nil"/>
                  </w:tcBorders>
                  <w:vAlign w:val="center"/>
                </w:tcPr>
                <w:p w14:paraId="4AC32A6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纯度</w:t>
                  </w:r>
                </w:p>
              </w:tc>
              <w:tc>
                <w:tcPr>
                  <w:tcW w:w="5739" w:type="dxa"/>
                  <w:tcBorders>
                    <w:tl2br w:val="nil"/>
                    <w:tr2bl w:val="nil"/>
                  </w:tcBorders>
                  <w:vAlign w:val="center"/>
                </w:tcPr>
                <w:p w14:paraId="3F489C5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≥98.0%</w:t>
                  </w:r>
                </w:p>
              </w:tc>
            </w:tr>
            <w:tr w14:paraId="4D42F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1F2141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w:t>
                  </w:r>
                </w:p>
              </w:tc>
              <w:tc>
                <w:tcPr>
                  <w:tcW w:w="1698" w:type="dxa"/>
                  <w:tcBorders>
                    <w:tl2br w:val="nil"/>
                    <w:tr2bl w:val="nil"/>
                  </w:tcBorders>
                  <w:vAlign w:val="center"/>
                </w:tcPr>
                <w:p w14:paraId="64F83A8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重金属限量</w:t>
                  </w:r>
                </w:p>
              </w:tc>
              <w:tc>
                <w:tcPr>
                  <w:tcW w:w="5739" w:type="dxa"/>
                  <w:tcBorders>
                    <w:tl2br w:val="nil"/>
                    <w:tr2bl w:val="nil"/>
                  </w:tcBorders>
                  <w:vAlign w:val="center"/>
                </w:tcPr>
                <w:p w14:paraId="16F8C09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铅（Pb）≤0.5 ppm，镉（Cd）≤0.5 ppm，总汞（Hg）≤0.1 ppm，总砷（As）≤0.3 ppm</w:t>
                  </w:r>
                </w:p>
              </w:tc>
            </w:tr>
            <w:tr w14:paraId="11E25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1A40A58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w:t>
                  </w:r>
                </w:p>
              </w:tc>
              <w:tc>
                <w:tcPr>
                  <w:tcW w:w="1698" w:type="dxa"/>
                  <w:tcBorders>
                    <w:tl2br w:val="nil"/>
                    <w:tr2bl w:val="nil"/>
                  </w:tcBorders>
                  <w:vAlign w:val="center"/>
                </w:tcPr>
                <w:p w14:paraId="6C38BE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微生物限量</w:t>
                  </w:r>
                </w:p>
              </w:tc>
              <w:tc>
                <w:tcPr>
                  <w:tcW w:w="5739" w:type="dxa"/>
                  <w:tcBorders>
                    <w:tl2br w:val="nil"/>
                    <w:tr2bl w:val="nil"/>
                  </w:tcBorders>
                  <w:vAlign w:val="center"/>
                </w:tcPr>
                <w:p w14:paraId="153572E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菌落总数≤1000 CFU/g，大肠菌群≤3.0 MPN/g，霉菌≤100 CFU/g，酵母≤100 CFU/g，沙门氏菌、金黄色葡萄球菌25g中不得检出</w:t>
                  </w:r>
                </w:p>
              </w:tc>
            </w:tr>
          </w:tbl>
          <w:p w14:paraId="336157B5">
            <w:pPr>
              <w:keepNext w:val="0"/>
              <w:keepLines w:val="0"/>
              <w:suppressLineNumbers w:val="0"/>
              <w:spacing w:before="0" w:beforeAutospacing="0" w:after="0" w:afterAutospacing="0" w:line="400" w:lineRule="exact"/>
              <w:ind w:left="0" w:right="0"/>
              <w:jc w:val="center"/>
              <w:rPr>
                <w:rFonts w:hint="eastAsia" w:eastAsia="仿宋_GB2312"/>
                <w:b/>
                <w:color w:val="auto"/>
                <w:sz w:val="21"/>
                <w:szCs w:val="21"/>
              </w:rPr>
            </w:pPr>
            <w:r>
              <w:rPr>
                <w:rFonts w:hint="eastAsia" w:eastAsia="仿宋_GB2312"/>
                <w:b/>
                <w:color w:val="auto"/>
                <w:sz w:val="21"/>
                <w:szCs w:val="21"/>
              </w:rPr>
              <w:t>表</w:t>
            </w:r>
            <w:r>
              <w:rPr>
                <w:rFonts w:hint="eastAsia" w:eastAsia="仿宋_GB2312"/>
                <w:b/>
                <w:color w:val="auto"/>
                <w:sz w:val="21"/>
                <w:szCs w:val="21"/>
                <w:lang w:val="en-US" w:eastAsia="zh-CN"/>
              </w:rPr>
              <w:t>2</w:t>
            </w:r>
            <w:r>
              <w:rPr>
                <w:rFonts w:hint="eastAsia" w:eastAsia="仿宋_GB2312"/>
                <w:b/>
                <w:color w:val="auto"/>
                <w:sz w:val="21"/>
                <w:szCs w:val="21"/>
              </w:rPr>
              <w:t>-4  保健食品胶囊产品质量技术指标</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698"/>
              <w:gridCol w:w="5739"/>
            </w:tblGrid>
            <w:tr w14:paraId="69CEB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6618BF9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序号</w:t>
                  </w:r>
                </w:p>
              </w:tc>
              <w:tc>
                <w:tcPr>
                  <w:tcW w:w="1698" w:type="dxa"/>
                  <w:tcBorders>
                    <w:tl2br w:val="nil"/>
                    <w:tr2bl w:val="nil"/>
                  </w:tcBorders>
                  <w:vAlign w:val="center"/>
                </w:tcPr>
                <w:p w14:paraId="7BC529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项目</w:t>
                  </w:r>
                </w:p>
              </w:tc>
              <w:tc>
                <w:tcPr>
                  <w:tcW w:w="5739" w:type="dxa"/>
                  <w:tcBorders>
                    <w:tl2br w:val="nil"/>
                    <w:tr2bl w:val="nil"/>
                  </w:tcBorders>
                  <w:vAlign w:val="center"/>
                </w:tcPr>
                <w:p w14:paraId="7CECF6E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指标</w:t>
                  </w:r>
                </w:p>
              </w:tc>
            </w:tr>
            <w:tr w14:paraId="71A43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82" w:type="dxa"/>
                  <w:gridSpan w:val="3"/>
                  <w:tcBorders>
                    <w:tl2br w:val="nil"/>
                    <w:tr2bl w:val="nil"/>
                  </w:tcBorders>
                  <w:vAlign w:val="center"/>
                </w:tcPr>
                <w:p w14:paraId="40ABE85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膳食补充剂</w:t>
                  </w:r>
                </w:p>
              </w:tc>
            </w:tr>
            <w:tr w14:paraId="665F9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72DDA3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1698" w:type="dxa"/>
                  <w:tcBorders>
                    <w:tl2br w:val="nil"/>
                    <w:tr2bl w:val="nil"/>
                  </w:tcBorders>
                  <w:vAlign w:val="center"/>
                </w:tcPr>
                <w:p w14:paraId="1213FA7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外观</w:t>
                  </w:r>
                </w:p>
              </w:tc>
              <w:tc>
                <w:tcPr>
                  <w:tcW w:w="5739" w:type="dxa"/>
                  <w:tcBorders>
                    <w:tl2br w:val="nil"/>
                    <w:tr2bl w:val="nil"/>
                  </w:tcBorders>
                  <w:vAlign w:val="center"/>
                </w:tcPr>
                <w:p w14:paraId="7255A01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均匀一致、无异味、无肉眼可见杂质</w:t>
                  </w:r>
                </w:p>
              </w:tc>
            </w:tr>
            <w:tr w14:paraId="5CAC8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382FA2C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1698" w:type="dxa"/>
                  <w:tcBorders>
                    <w:tl2br w:val="nil"/>
                    <w:tr2bl w:val="nil"/>
                  </w:tcBorders>
                  <w:vAlign w:val="center"/>
                </w:tcPr>
                <w:p w14:paraId="29EDCB1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理化指标</w:t>
                  </w:r>
                </w:p>
              </w:tc>
              <w:tc>
                <w:tcPr>
                  <w:tcW w:w="5739" w:type="dxa"/>
                  <w:tcBorders>
                    <w:tl2br w:val="nil"/>
                    <w:tr2bl w:val="nil"/>
                  </w:tcBorders>
                  <w:vAlign w:val="center"/>
                </w:tcPr>
                <w:p w14:paraId="68927DB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蛋白质≥4g/100g，水分≤7%，铅（Pb）≤0.4mg/kg，总砷（As）≤0.5mg/kg</w:t>
                  </w:r>
                </w:p>
              </w:tc>
            </w:tr>
            <w:tr w14:paraId="5EDAC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Borders>
                    <w:tl2br w:val="nil"/>
                    <w:tr2bl w:val="nil"/>
                  </w:tcBorders>
                  <w:vAlign w:val="center"/>
                </w:tcPr>
                <w:p w14:paraId="62E241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3</w:t>
                  </w:r>
                </w:p>
              </w:tc>
              <w:tc>
                <w:tcPr>
                  <w:tcW w:w="1698" w:type="dxa"/>
                  <w:tcBorders>
                    <w:tl2br w:val="nil"/>
                    <w:tr2bl w:val="nil"/>
                  </w:tcBorders>
                  <w:vAlign w:val="center"/>
                </w:tcPr>
                <w:p w14:paraId="79124A1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微生物限量</w:t>
                  </w:r>
                </w:p>
              </w:tc>
              <w:tc>
                <w:tcPr>
                  <w:tcW w:w="5739" w:type="dxa"/>
                  <w:tcBorders>
                    <w:tl2br w:val="nil"/>
                    <w:tr2bl w:val="nil"/>
                  </w:tcBorders>
                  <w:vAlign w:val="center"/>
                </w:tcPr>
                <w:p w14:paraId="1188775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菌落总数≤10000 CFU/g，大肠菌群≤10MPN/g，霉菌≤100 CFU/g，沙门氏菌 0/25 g，金黄色葡萄球菌 ≤10 CFU/g</w:t>
                  </w:r>
                </w:p>
              </w:tc>
            </w:tr>
          </w:tbl>
          <w:p w14:paraId="42860DF8">
            <w:pPr>
              <w:keepNext w:val="0"/>
              <w:keepLines w:val="0"/>
              <w:suppressLineNumbers w:val="0"/>
              <w:spacing w:before="0" w:beforeAutospacing="0" w:after="0" w:afterAutospacing="0" w:line="500" w:lineRule="exact"/>
              <w:ind w:left="0" w:right="0" w:firstLine="482" w:firstLineChars="200"/>
              <w:rPr>
                <w:rStyle w:val="130"/>
                <w:rFonts w:hint="eastAsia" w:eastAsia="仿宋_GB2312"/>
                <w:color w:val="auto"/>
                <w:sz w:val="24"/>
                <w:lang w:eastAsia="zh-CN"/>
              </w:rPr>
            </w:pPr>
            <w:r>
              <w:rPr>
                <w:rStyle w:val="130"/>
                <w:rFonts w:hint="default" w:eastAsia="仿宋_GB2312"/>
                <w:color w:val="auto"/>
                <w:sz w:val="24"/>
              </w:rPr>
              <w:t>3、</w:t>
            </w:r>
            <w:r>
              <w:rPr>
                <w:rStyle w:val="130"/>
                <w:rFonts w:hint="eastAsia" w:eastAsia="仿宋_GB2312"/>
                <w:color w:val="auto"/>
                <w:sz w:val="24"/>
                <w:lang w:eastAsia="zh-CN"/>
              </w:rPr>
              <w:t>产品用途</w:t>
            </w:r>
          </w:p>
          <w:p w14:paraId="64D1F789">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食品用原料</w:t>
            </w:r>
            <w:r>
              <w:rPr>
                <w:rFonts w:hint="eastAsia" w:eastAsia="仿宋_GB2312"/>
                <w:color w:val="auto"/>
                <w:sz w:val="24"/>
                <w:lang w:eastAsia="zh-CN"/>
              </w:rPr>
              <w:t>（</w:t>
            </w:r>
            <w:r>
              <w:rPr>
                <w:rFonts w:hint="default" w:eastAsia="仿宋_GB2312"/>
                <w:color w:val="auto"/>
                <w:sz w:val="24"/>
              </w:rPr>
              <w:t>γ-氨基丁酸</w:t>
            </w:r>
            <w:r>
              <w:rPr>
                <w:rFonts w:hint="eastAsia" w:eastAsia="仿宋_GB2312"/>
                <w:color w:val="auto"/>
                <w:sz w:val="24"/>
                <w:lang w:eastAsia="zh-CN"/>
              </w:rPr>
              <w:t>）</w:t>
            </w:r>
            <w:r>
              <w:rPr>
                <w:rFonts w:hint="default" w:eastAsia="仿宋_GB2312"/>
                <w:color w:val="auto"/>
                <w:sz w:val="24"/>
              </w:rPr>
              <w:t>具有改善睡眠、舒缓情绪、辅助稳定血压和促进生长激素分泌等作用。在食品、功能食品等行业有广泛应用。</w:t>
            </w:r>
          </w:p>
          <w:p w14:paraId="518E472D">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保健食品粉</w:t>
            </w:r>
            <w:r>
              <w:rPr>
                <w:rFonts w:hint="eastAsia" w:eastAsia="仿宋_GB2312"/>
                <w:color w:val="auto"/>
                <w:sz w:val="24"/>
                <w:lang w:eastAsia="zh-CN"/>
              </w:rPr>
              <w:t>（</w:t>
            </w:r>
            <w:r>
              <w:rPr>
                <w:rFonts w:hint="default" w:eastAsia="仿宋_GB2312"/>
                <w:color w:val="auto"/>
                <w:sz w:val="24"/>
              </w:rPr>
              <w:t>二氢槲皮素</w:t>
            </w:r>
            <w:r>
              <w:rPr>
                <w:rFonts w:hint="eastAsia" w:eastAsia="仿宋_GB2312"/>
                <w:color w:val="auto"/>
                <w:sz w:val="24"/>
                <w:lang w:eastAsia="zh-CN"/>
              </w:rPr>
              <w:t>）</w:t>
            </w:r>
            <w:r>
              <w:rPr>
                <w:rFonts w:hint="default" w:eastAsia="仿宋_GB2312"/>
                <w:color w:val="auto"/>
                <w:sz w:val="24"/>
              </w:rPr>
              <w:t>具有抗菌、清除自由基和促进新陈代谢等功能。作为新食品原料之一，二氢槲皮素功能多样，在食品领域应用前景广阔。</w:t>
            </w:r>
          </w:p>
          <w:p w14:paraId="30FCEEB8">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保健食品胶囊可以改善消化健康，促进规律排便，帮助控制体重。</w:t>
            </w:r>
          </w:p>
          <w:p w14:paraId="4DA6F42F">
            <w:pPr>
              <w:keepNext w:val="0"/>
              <w:keepLines w:val="0"/>
              <w:suppressLineNumbers w:val="0"/>
              <w:spacing w:before="0" w:beforeAutospacing="0" w:after="0" w:afterAutospacing="0" w:line="500" w:lineRule="exact"/>
              <w:ind w:left="0" w:right="0" w:firstLine="482" w:firstLineChars="200"/>
              <w:rPr>
                <w:rStyle w:val="130"/>
                <w:rFonts w:hint="default" w:eastAsia="仿宋_GB2312"/>
                <w:color w:val="auto"/>
                <w:sz w:val="24"/>
              </w:rPr>
            </w:pPr>
            <w:r>
              <w:rPr>
                <w:rStyle w:val="130"/>
                <w:rFonts w:hint="eastAsia" w:eastAsia="仿宋_GB2312"/>
                <w:color w:val="auto"/>
                <w:sz w:val="24"/>
                <w:lang w:val="en-US" w:eastAsia="zh-CN"/>
              </w:rPr>
              <w:t>4</w:t>
            </w:r>
            <w:r>
              <w:rPr>
                <w:rStyle w:val="130"/>
                <w:rFonts w:hint="default" w:eastAsia="仿宋_GB2312"/>
                <w:color w:val="auto"/>
                <w:sz w:val="24"/>
              </w:rPr>
              <w:t>、建设内容</w:t>
            </w:r>
          </w:p>
          <w:p w14:paraId="5C877019">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本项目建设内容主要包括主体工程、贮存工程、公辅工程、风险防范及环保工程，具体如下：</w:t>
            </w:r>
          </w:p>
          <w:p w14:paraId="2CC5C3BC">
            <w:pPr>
              <w:keepNext w:val="0"/>
              <w:keepLines w:val="0"/>
              <w:suppressLineNumbers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5</w:t>
            </w:r>
            <w:r>
              <w:rPr>
                <w:rFonts w:hint="default" w:eastAsia="仿宋_GB2312"/>
                <w:b/>
                <w:color w:val="auto"/>
                <w:sz w:val="22"/>
                <w:szCs w:val="22"/>
              </w:rPr>
              <w:t xml:space="preserve">  项目工程建设内容一览表</w:t>
            </w:r>
          </w:p>
          <w:tbl>
            <w:tblPr>
              <w:tblStyle w:val="87"/>
              <w:tblW w:w="488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65"/>
              <w:gridCol w:w="1206"/>
              <w:gridCol w:w="6244"/>
            </w:tblGrid>
            <w:tr w14:paraId="2FD207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676" w:type="pct"/>
                  <w:tcBorders>
                    <w:tl2br w:val="nil"/>
                    <w:tr2bl w:val="nil"/>
                  </w:tcBorders>
                  <w:vAlign w:val="center"/>
                </w:tcPr>
                <w:p w14:paraId="060F2D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类别</w:t>
                  </w:r>
                </w:p>
              </w:tc>
              <w:tc>
                <w:tcPr>
                  <w:tcW w:w="700" w:type="pct"/>
                  <w:tcBorders>
                    <w:tl2br w:val="nil"/>
                    <w:tr2bl w:val="nil"/>
                  </w:tcBorders>
                  <w:vAlign w:val="center"/>
                </w:tcPr>
                <w:p w14:paraId="22872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建设名称</w:t>
                  </w:r>
                </w:p>
              </w:tc>
              <w:tc>
                <w:tcPr>
                  <w:tcW w:w="3623" w:type="pct"/>
                  <w:tcBorders>
                    <w:tl2br w:val="nil"/>
                    <w:tr2bl w:val="nil"/>
                  </w:tcBorders>
                  <w:vAlign w:val="center"/>
                </w:tcPr>
                <w:p w14:paraId="30B9EB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本项目情况</w:t>
                  </w:r>
                </w:p>
              </w:tc>
            </w:tr>
            <w:tr w14:paraId="5E87AC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tcBorders>
                    <w:tl2br w:val="nil"/>
                    <w:tr2bl w:val="nil"/>
                  </w:tcBorders>
                  <w:vAlign w:val="center"/>
                </w:tcPr>
                <w:p w14:paraId="410DD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主体工程</w:t>
                  </w:r>
                </w:p>
              </w:tc>
              <w:tc>
                <w:tcPr>
                  <w:tcW w:w="700" w:type="pct"/>
                  <w:tcBorders>
                    <w:tl2br w:val="nil"/>
                    <w:tr2bl w:val="nil"/>
                  </w:tcBorders>
                  <w:vAlign w:val="center"/>
                </w:tcPr>
                <w:p w14:paraId="17CAC7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生产区</w:t>
                  </w:r>
                </w:p>
              </w:tc>
              <w:tc>
                <w:tcPr>
                  <w:tcW w:w="3623" w:type="pct"/>
                  <w:tcBorders>
                    <w:tl2br w:val="nil"/>
                    <w:tr2bl w:val="nil"/>
                  </w:tcBorders>
                  <w:vAlign w:val="center"/>
                </w:tcPr>
                <w:p w14:paraId="7AE24A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本项目生产主要在厂房一层发酵间、培养基制备间、纯化浓缩室、纯化超滤间及干燥间。厂房二层主要为质检区。</w:t>
                  </w:r>
                </w:p>
              </w:tc>
            </w:tr>
            <w:tr w14:paraId="41CA49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tcBorders>
                    <w:tl2br w:val="nil"/>
                    <w:tr2bl w:val="nil"/>
                  </w:tcBorders>
                  <w:vAlign w:val="center"/>
                </w:tcPr>
                <w:p w14:paraId="716B7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储运工程</w:t>
                  </w:r>
                </w:p>
              </w:tc>
              <w:tc>
                <w:tcPr>
                  <w:tcW w:w="700" w:type="pct"/>
                  <w:tcBorders>
                    <w:tl2br w:val="nil"/>
                    <w:tr2bl w:val="nil"/>
                  </w:tcBorders>
                  <w:vAlign w:val="center"/>
                </w:tcPr>
                <w:p w14:paraId="29091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仓库</w:t>
                  </w:r>
                </w:p>
              </w:tc>
              <w:tc>
                <w:tcPr>
                  <w:tcW w:w="3623" w:type="pct"/>
                  <w:tcBorders>
                    <w:tl2br w:val="nil"/>
                    <w:tr2bl w:val="nil"/>
                  </w:tcBorders>
                  <w:vAlign w:val="center"/>
                </w:tcPr>
                <w:p w14:paraId="017B4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厂房一层，常温库面积48.43m</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，阴凉库面积17.39 m</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，成品冷库面积8m</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w:t>
                  </w:r>
                </w:p>
              </w:tc>
            </w:tr>
            <w:tr w14:paraId="431FDE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restart"/>
                  <w:tcBorders>
                    <w:tl2br w:val="nil"/>
                    <w:tr2bl w:val="nil"/>
                  </w:tcBorders>
                  <w:vAlign w:val="center"/>
                </w:tcPr>
                <w:p w14:paraId="50B0408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exact"/>
                    <w:ind w:left="0" w:leftChars="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公辅工程</w:t>
                  </w:r>
                </w:p>
              </w:tc>
              <w:tc>
                <w:tcPr>
                  <w:tcW w:w="700" w:type="pct"/>
                  <w:tcBorders>
                    <w:tl2br w:val="nil"/>
                    <w:tr2bl w:val="nil"/>
                  </w:tcBorders>
                  <w:vAlign w:val="center"/>
                </w:tcPr>
                <w:p w14:paraId="19F9B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给水</w:t>
                  </w:r>
                </w:p>
              </w:tc>
              <w:tc>
                <w:tcPr>
                  <w:tcW w:w="3623" w:type="pct"/>
                  <w:tcBorders>
                    <w:tl2br w:val="nil"/>
                    <w:tr2bl w:val="nil"/>
                  </w:tcBorders>
                  <w:vAlign w:val="center"/>
                </w:tcPr>
                <w:p w14:paraId="543E16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自来水由市政管网供给，本项目实施后全厂用水量为3</w:t>
                  </w:r>
                  <w:r>
                    <w:rPr>
                      <w:rFonts w:hint="eastAsia" w:eastAsia="仿宋_GB2312" w:cs="Times New Roman"/>
                      <w:color w:val="auto"/>
                      <w:sz w:val="21"/>
                      <w:szCs w:val="21"/>
                      <w:lang w:val="en-US" w:eastAsia="zh-CN"/>
                    </w:rPr>
                    <w:t>490.231</w:t>
                  </w:r>
                  <w:r>
                    <w:rPr>
                      <w:rFonts w:hint="default" w:ascii="Times New Roman" w:hAnsi="Times New Roman" w:eastAsia="仿宋_GB2312" w:cs="Times New Roman"/>
                      <w:color w:val="auto"/>
                      <w:sz w:val="21"/>
                      <w:szCs w:val="21"/>
                    </w:rPr>
                    <w:t>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/a。</w:t>
                  </w:r>
                </w:p>
              </w:tc>
            </w:tr>
            <w:tr w14:paraId="4107EC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1FF84F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6664C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排水</w:t>
                  </w:r>
                </w:p>
              </w:tc>
              <w:tc>
                <w:tcPr>
                  <w:tcW w:w="3623" w:type="pct"/>
                  <w:tcBorders>
                    <w:tl2br w:val="nil"/>
                    <w:tr2bl w:val="nil"/>
                  </w:tcBorders>
                  <w:vAlign w:val="center"/>
                </w:tcPr>
                <w:p w14:paraId="7F6E9BF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本项目生活污水经化粪池处理后和纯水制备过程中产生浓水达标接管至常州金坛第二污水处理有限公司处理。本项目新增污水管道接入</w:t>
                  </w:r>
                  <w:r>
                    <w:rPr>
                      <w:rFonts w:hint="eastAsia" w:eastAsia="仿宋_GB2312" w:cs="Times New Roman"/>
                      <w:color w:val="auto"/>
                      <w:sz w:val="21"/>
                      <w:szCs w:val="21"/>
                      <w:lang w:eastAsia="zh-CN"/>
                    </w:rPr>
                    <w:t>出租方</w:t>
                  </w:r>
                  <w:r>
                    <w:rPr>
                      <w:rFonts w:hint="default" w:ascii="Times New Roman" w:hAnsi="Times New Roman" w:eastAsia="仿宋_GB2312" w:cs="Times New Roman"/>
                      <w:color w:val="auto"/>
                      <w:sz w:val="21"/>
                      <w:szCs w:val="21"/>
                    </w:rPr>
                    <w:t>污水排口，依托</w:t>
                  </w:r>
                  <w:r>
                    <w:rPr>
                      <w:rFonts w:hint="eastAsia" w:eastAsia="仿宋_GB2312" w:cs="Times New Roman"/>
                      <w:color w:val="auto"/>
                      <w:sz w:val="21"/>
                      <w:szCs w:val="21"/>
                      <w:lang w:eastAsia="zh-CN"/>
                    </w:rPr>
                    <w:t>出租方</w:t>
                  </w:r>
                  <w:r>
                    <w:rPr>
                      <w:rFonts w:hint="default" w:ascii="Times New Roman" w:hAnsi="Times New Roman" w:eastAsia="仿宋_GB2312" w:cs="Times New Roman"/>
                      <w:color w:val="auto"/>
                      <w:sz w:val="21"/>
                      <w:szCs w:val="21"/>
                    </w:rPr>
                    <w:t>现有污水排放口排放。</w:t>
                  </w:r>
                </w:p>
              </w:tc>
            </w:tr>
            <w:tr w14:paraId="1560C3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1BEF43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572237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供电</w:t>
                  </w:r>
                </w:p>
              </w:tc>
              <w:tc>
                <w:tcPr>
                  <w:tcW w:w="3623" w:type="pct"/>
                  <w:tcBorders>
                    <w:tl2br w:val="nil"/>
                    <w:tr2bl w:val="nil"/>
                  </w:tcBorders>
                  <w:vAlign w:val="center"/>
                </w:tcPr>
                <w:p w14:paraId="60E84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用电由市政电网提供，采用单回路供电，本项目年用电量约为39万KWh。</w:t>
                  </w:r>
                </w:p>
              </w:tc>
            </w:tr>
            <w:tr w14:paraId="166E49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57EAB0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5E7A1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供热</w:t>
                  </w:r>
                </w:p>
              </w:tc>
              <w:tc>
                <w:tcPr>
                  <w:tcW w:w="3623" w:type="pct"/>
                  <w:tcBorders>
                    <w:tl2br w:val="nil"/>
                    <w:tr2bl w:val="nil"/>
                  </w:tcBorders>
                  <w:vAlign w:val="center"/>
                </w:tcPr>
                <w:p w14:paraId="056B6F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本项目配置一套燃气蒸汽发生器系统LNS1000-0.8，用于厂内产蒸汽加热。本项目建成后天然气年用量4.34万m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，蒸汽年用量620t/a，蒸汽冷凝水用于循环冷却系统补水。</w:t>
                  </w:r>
                </w:p>
              </w:tc>
            </w:tr>
            <w:tr w14:paraId="54FF6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26035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0A2740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循环冷却系统</w:t>
                  </w:r>
                </w:p>
              </w:tc>
              <w:tc>
                <w:tcPr>
                  <w:tcW w:w="3623" w:type="pct"/>
                  <w:tcBorders>
                    <w:tl2br w:val="nil"/>
                    <w:tr2bl w:val="nil"/>
                  </w:tcBorders>
                  <w:vAlign w:val="center"/>
                </w:tcPr>
                <w:p w14:paraId="1C51EF73">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exact"/>
                    <w:ind w:left="0" w:leftChars="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配置1套循环冷却系统，循环量为15m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/h，正常运行时负荷</w:t>
                  </w:r>
                  <w:r>
                    <w:rPr>
                      <w:rFonts w:hint="default" w:ascii="Times New Roman" w:hAnsi="Times New Roman" w:eastAsia="仿宋_GB2312" w:cs="Times New Roman"/>
                      <w:color w:val="auto"/>
                      <w:sz w:val="21"/>
                      <w:szCs w:val="21"/>
                      <w:lang w:val="en-US"/>
                    </w:rPr>
                    <w:t>9</w:t>
                  </w:r>
                  <w:r>
                    <w:rPr>
                      <w:rFonts w:hint="default" w:ascii="Times New Roman" w:hAnsi="Times New Roman" w:eastAsia="仿宋_GB2312" w:cs="Times New Roman"/>
                      <w:color w:val="auto"/>
                      <w:sz w:val="21"/>
                      <w:szCs w:val="21"/>
                    </w:rPr>
                    <w:t>0%，全年总循环量为</w:t>
                  </w:r>
                  <w:r>
                    <w:rPr>
                      <w:rFonts w:hint="default" w:ascii="Times New Roman" w:hAnsi="Times New Roman" w:eastAsia="仿宋_GB2312" w:cs="Times New Roman"/>
                      <w:color w:val="auto"/>
                      <w:sz w:val="21"/>
                      <w:szCs w:val="21"/>
                      <w:lang w:val="en-US"/>
                    </w:rPr>
                    <w:t>972</w:t>
                  </w:r>
                  <w:r>
                    <w:rPr>
                      <w:rFonts w:hint="default" w:ascii="Times New Roman" w:hAnsi="Times New Roman" w:eastAsia="仿宋_GB2312" w:cs="Times New Roman"/>
                      <w:color w:val="auto"/>
                      <w:sz w:val="21"/>
                      <w:szCs w:val="21"/>
                    </w:rPr>
                    <w:t>00m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/a。</w:t>
                  </w:r>
                </w:p>
              </w:tc>
            </w:tr>
            <w:tr w14:paraId="68938B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7FA057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74A3ED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纯水制备系统</w:t>
                  </w:r>
                </w:p>
              </w:tc>
              <w:tc>
                <w:tcPr>
                  <w:tcW w:w="3623" w:type="pct"/>
                  <w:tcBorders>
                    <w:tl2br w:val="nil"/>
                    <w:tr2bl w:val="nil"/>
                  </w:tcBorders>
                  <w:vAlign w:val="center"/>
                </w:tcPr>
                <w:p w14:paraId="683CD4F7">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exact"/>
                    <w:ind w:left="0" w:leftChars="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Cs/>
                      <w:color w:val="auto"/>
                      <w:sz w:val="21"/>
                      <w:szCs w:val="21"/>
                    </w:rPr>
                    <w:t>本项目纯水供应配置一套纯水制备系统，设计能力为1t/h，</w:t>
                  </w:r>
                  <w:r>
                    <w:rPr>
                      <w:rFonts w:hint="default" w:ascii="Times New Roman" w:hAnsi="Times New Roman" w:eastAsia="仿宋_GB2312" w:cs="Times New Roman"/>
                      <w:bCs/>
                      <w:color w:val="auto"/>
                      <w:sz w:val="21"/>
                      <w:szCs w:val="21"/>
                      <w:lang w:val="en-US"/>
                    </w:rPr>
                    <w:t>自来水先经多介质过滤、活性炭过滤、离子交换后制出软水，部分供本项目蒸汽制备，部分再经两级RO、EDI深度处理后制备出纯水供本项目生产使用</w:t>
                  </w:r>
                  <w:r>
                    <w:rPr>
                      <w:rFonts w:hint="default" w:ascii="Times New Roman" w:hAnsi="Times New Roman" w:eastAsia="仿宋_GB2312" w:cs="Times New Roman"/>
                      <w:bCs/>
                      <w:color w:val="auto"/>
                      <w:sz w:val="21"/>
                      <w:szCs w:val="21"/>
                    </w:rPr>
                    <w:t>，</w:t>
                  </w:r>
                  <w:r>
                    <w:rPr>
                      <w:rFonts w:hint="default" w:ascii="Times New Roman" w:hAnsi="Times New Roman" w:eastAsia="仿宋_GB2312" w:cs="Times New Roman"/>
                      <w:bCs/>
                      <w:color w:val="auto"/>
                      <w:sz w:val="21"/>
                      <w:szCs w:val="21"/>
                      <w:lang w:val="en-US"/>
                    </w:rPr>
                    <w:t>纯水制备</w:t>
                  </w:r>
                  <w:r>
                    <w:rPr>
                      <w:rFonts w:hint="default" w:ascii="Times New Roman" w:hAnsi="Times New Roman" w:eastAsia="仿宋_GB2312" w:cs="Times New Roman"/>
                      <w:bCs/>
                      <w:color w:val="auto"/>
                      <w:sz w:val="21"/>
                      <w:szCs w:val="21"/>
                    </w:rPr>
                    <w:t>出水率为60%</w:t>
                  </w:r>
                  <w:r>
                    <w:rPr>
                      <w:rFonts w:hint="default" w:ascii="Times New Roman" w:hAnsi="Times New Roman" w:eastAsia="仿宋_GB2312" w:cs="Times New Roman"/>
                      <w:color w:val="auto"/>
                      <w:sz w:val="21"/>
                      <w:szCs w:val="21"/>
                    </w:rPr>
                    <w:t>，配置1个2t储罐。</w:t>
                  </w:r>
                </w:p>
              </w:tc>
            </w:tr>
            <w:tr w14:paraId="59953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1F6D4E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56BEC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空压系统</w:t>
                  </w:r>
                </w:p>
              </w:tc>
              <w:tc>
                <w:tcPr>
                  <w:tcW w:w="3623" w:type="pct"/>
                  <w:tcBorders>
                    <w:tl2br w:val="nil"/>
                    <w:tr2bl w:val="nil"/>
                  </w:tcBorders>
                  <w:vAlign w:val="center"/>
                </w:tcPr>
                <w:p w14:paraId="064A31B5">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exact"/>
                    <w:ind w:left="0" w:leftChars="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设置1套空压机系统，包括1台2.8m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/min的静音螺杆空压机。</w:t>
                  </w:r>
                </w:p>
              </w:tc>
            </w:tr>
            <w:tr w14:paraId="362EF7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40AA14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4A3A0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制冷系统</w:t>
                  </w:r>
                </w:p>
              </w:tc>
              <w:tc>
                <w:tcPr>
                  <w:tcW w:w="3623" w:type="pct"/>
                  <w:tcBorders>
                    <w:tl2br w:val="nil"/>
                    <w:tr2bl w:val="nil"/>
                  </w:tcBorders>
                  <w:vAlign w:val="center"/>
                </w:tcPr>
                <w:p w14:paraId="441F6574">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exact"/>
                    <w:ind w:left="0" w:leftChars="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rPr>
                    <w:t>成品冷库配备2台制冷机组（一用一备），每台制冷能力为6000大卡，制冷剂为R134a。供本项目成品冷库制冷使用。</w:t>
                  </w:r>
                </w:p>
              </w:tc>
            </w:tr>
            <w:tr w14:paraId="63F939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restart"/>
                  <w:tcBorders>
                    <w:tl2br w:val="nil"/>
                    <w:tr2bl w:val="nil"/>
                  </w:tcBorders>
                  <w:vAlign w:val="center"/>
                </w:tcPr>
                <w:p w14:paraId="3C9AC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风险防范</w:t>
                  </w:r>
                </w:p>
              </w:tc>
              <w:tc>
                <w:tcPr>
                  <w:tcW w:w="700" w:type="pct"/>
                  <w:tcBorders>
                    <w:tl2br w:val="nil"/>
                    <w:tr2bl w:val="nil"/>
                  </w:tcBorders>
                  <w:vAlign w:val="center"/>
                </w:tcPr>
                <w:p w14:paraId="40EDC2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bookmarkStart w:id="12" w:name="OLE_LINK14"/>
                  <w:r>
                    <w:rPr>
                      <w:rFonts w:hint="default" w:ascii="Times New Roman" w:hAnsi="Times New Roman" w:eastAsia="仿宋_GB2312" w:cs="Times New Roman"/>
                      <w:color w:val="auto"/>
                      <w:sz w:val="21"/>
                      <w:szCs w:val="21"/>
                    </w:rPr>
                    <w:t>事故应急池</w:t>
                  </w:r>
                  <w:bookmarkEnd w:id="12"/>
                </w:p>
              </w:tc>
              <w:tc>
                <w:tcPr>
                  <w:tcW w:w="3623" w:type="pct"/>
                  <w:tcBorders>
                    <w:tl2br w:val="nil"/>
                    <w:tr2bl w:val="nil"/>
                  </w:tcBorders>
                  <w:vAlign w:val="center"/>
                </w:tcPr>
                <w:p w14:paraId="750D5DE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exact"/>
                    <w:ind w:left="0" w:leftChars="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依托</w:t>
                  </w:r>
                  <w:r>
                    <w:rPr>
                      <w:rFonts w:hint="eastAsia" w:eastAsia="仿宋_GB2312" w:cs="Times New Roman"/>
                      <w:color w:val="auto"/>
                      <w:sz w:val="21"/>
                      <w:szCs w:val="21"/>
                      <w:lang w:val="en-US" w:eastAsia="zh-CN"/>
                    </w:rPr>
                    <w:t>出租方</w:t>
                  </w:r>
                  <w:r>
                    <w:rPr>
                      <w:rFonts w:hint="default" w:ascii="Times New Roman" w:hAnsi="Times New Roman" w:eastAsia="仿宋_GB2312" w:cs="Times New Roman"/>
                      <w:color w:val="auto"/>
                      <w:sz w:val="21"/>
                      <w:szCs w:val="21"/>
                    </w:rPr>
                    <w:t>现有的两座事故应急池，</w:t>
                  </w:r>
                  <w:r>
                    <w:rPr>
                      <w:rFonts w:hint="eastAsia" w:eastAsia="仿宋_GB2312" w:cs="Times New Roman"/>
                      <w:color w:val="auto"/>
                      <w:sz w:val="21"/>
                      <w:szCs w:val="21"/>
                      <w:lang w:eastAsia="zh-CN"/>
                    </w:rPr>
                    <w:t>有效</w:t>
                  </w:r>
                  <w:r>
                    <w:rPr>
                      <w:rFonts w:hint="default" w:ascii="Times New Roman" w:hAnsi="Times New Roman" w:eastAsia="仿宋_GB2312" w:cs="Times New Roman"/>
                      <w:color w:val="auto"/>
                      <w:sz w:val="21"/>
                      <w:szCs w:val="21"/>
                    </w:rPr>
                    <w:t>容积各为400m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w:t>
                  </w:r>
                  <w:r>
                    <w:rPr>
                      <w:rFonts w:hint="default" w:ascii="Times New Roman" w:hAnsi="Times New Roman" w:eastAsia="仿宋_GB2312" w:cs="Times New Roman"/>
                      <w:color w:val="auto"/>
                      <w:sz w:val="21"/>
                      <w:szCs w:val="21"/>
                      <w:lang w:val="en-US"/>
                    </w:rPr>
                    <w:t>总</w:t>
                  </w:r>
                  <w:r>
                    <w:rPr>
                      <w:rFonts w:hint="eastAsia" w:eastAsia="仿宋_GB2312" w:cs="Times New Roman"/>
                      <w:color w:val="auto"/>
                      <w:sz w:val="21"/>
                      <w:szCs w:val="21"/>
                      <w:lang w:val="en-US" w:eastAsia="zh-CN"/>
                    </w:rPr>
                    <w:t>有效</w:t>
                  </w:r>
                  <w:r>
                    <w:rPr>
                      <w:rFonts w:hint="default" w:ascii="Times New Roman" w:hAnsi="Times New Roman" w:eastAsia="仿宋_GB2312" w:cs="Times New Roman"/>
                      <w:color w:val="auto"/>
                      <w:sz w:val="21"/>
                      <w:szCs w:val="21"/>
                      <w:lang w:val="en-US"/>
                    </w:rPr>
                    <w:t>容积为800</w:t>
                  </w:r>
                  <w:r>
                    <w:rPr>
                      <w:rFonts w:hint="default" w:ascii="Times New Roman" w:hAnsi="Times New Roman" w:eastAsia="仿宋_GB2312" w:cs="Times New Roman"/>
                      <w:color w:val="auto"/>
                      <w:sz w:val="21"/>
                      <w:szCs w:val="21"/>
                    </w:rPr>
                    <w:t>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w:t>
                  </w:r>
                </w:p>
              </w:tc>
            </w:tr>
            <w:tr w14:paraId="1AFF0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0A4234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6A66A5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消防系统</w:t>
                  </w:r>
                </w:p>
              </w:tc>
              <w:tc>
                <w:tcPr>
                  <w:tcW w:w="3623" w:type="pct"/>
                  <w:tcBorders>
                    <w:tl2br w:val="nil"/>
                    <w:tr2bl w:val="nil"/>
                  </w:tcBorders>
                  <w:vAlign w:val="center"/>
                </w:tcPr>
                <w:p w14:paraId="4332897A">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exact"/>
                    <w:ind w:left="0" w:leftChars="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本项目依托</w:t>
                  </w:r>
                  <w:r>
                    <w:rPr>
                      <w:rFonts w:hint="eastAsia" w:eastAsia="仿宋_GB2312" w:cs="Times New Roman"/>
                      <w:color w:val="auto"/>
                      <w:sz w:val="21"/>
                      <w:szCs w:val="21"/>
                      <w:lang w:val="en-US" w:eastAsia="zh-CN"/>
                    </w:rPr>
                    <w:t>出租方</w:t>
                  </w:r>
                  <w:r>
                    <w:rPr>
                      <w:rFonts w:hint="default" w:ascii="Times New Roman" w:hAnsi="Times New Roman" w:eastAsia="仿宋_GB2312" w:cs="Times New Roman"/>
                      <w:color w:val="auto"/>
                      <w:sz w:val="21"/>
                      <w:szCs w:val="21"/>
                    </w:rPr>
                    <w:t>现有消防水系统，设置2座地下消防水池及泵房，消防水池有效容积分别为498.69m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和1420.03m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，在</w:t>
                  </w:r>
                  <w:r>
                    <w:rPr>
                      <w:rFonts w:hint="eastAsia" w:eastAsia="仿宋_GB2312" w:cs="Times New Roman"/>
                      <w:color w:val="auto"/>
                      <w:sz w:val="21"/>
                      <w:szCs w:val="21"/>
                      <w:lang w:val="en-US" w:eastAsia="zh-CN"/>
                    </w:rPr>
                    <w:t>出租方</w:t>
                  </w:r>
                  <w:r>
                    <w:rPr>
                      <w:rFonts w:hint="default" w:ascii="Times New Roman" w:hAnsi="Times New Roman" w:eastAsia="仿宋_GB2312" w:cs="Times New Roman"/>
                      <w:color w:val="auto"/>
                      <w:sz w:val="21"/>
                      <w:szCs w:val="21"/>
                    </w:rPr>
                    <w:t>综合办公室（地块最高栋）屋面上设置容积为18m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的消防水箱及增压设备，满足室内消防初期10min的消防要求。</w:t>
                  </w:r>
                </w:p>
              </w:tc>
            </w:tr>
            <w:tr w14:paraId="474AF4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restart"/>
                  <w:tcBorders>
                    <w:tl2br w:val="nil"/>
                    <w:tr2bl w:val="nil"/>
                  </w:tcBorders>
                  <w:vAlign w:val="center"/>
                </w:tcPr>
                <w:p w14:paraId="633768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环保工程</w:t>
                  </w:r>
                </w:p>
              </w:tc>
              <w:tc>
                <w:tcPr>
                  <w:tcW w:w="700" w:type="pct"/>
                  <w:tcBorders>
                    <w:tl2br w:val="nil"/>
                    <w:tr2bl w:val="nil"/>
                  </w:tcBorders>
                  <w:vAlign w:val="center"/>
                </w:tcPr>
                <w:p w14:paraId="231BB389">
                  <w:pPr>
                    <w:pStyle w:val="18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废气</w:t>
                  </w:r>
                </w:p>
              </w:tc>
              <w:tc>
                <w:tcPr>
                  <w:tcW w:w="3623" w:type="pct"/>
                  <w:tcBorders>
                    <w:tl2br w:val="nil"/>
                    <w:tr2bl w:val="nil"/>
                  </w:tcBorders>
                  <w:vAlign w:val="center"/>
                </w:tcPr>
                <w:p w14:paraId="5D06D8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本项目有组织废气按废气产生性质分类收集、处理，通过废气管线收集进入各自处理设施</w:t>
                  </w:r>
                </w:p>
                <w:p w14:paraId="3E03AC9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①食品用原料、保健食品粉生产过程中种子培养废气、发酵废气</w:t>
                  </w:r>
                  <w:r>
                    <w:rPr>
                      <w:rFonts w:hint="eastAsia" w:eastAsia="仿宋_GB2312" w:cs="Times New Roman"/>
                      <w:color w:val="auto"/>
                      <w:sz w:val="21"/>
                      <w:szCs w:val="21"/>
                      <w:highlight w:val="none"/>
                      <w:lang w:eastAsia="zh-CN"/>
                    </w:rPr>
                    <w:t>密闭管道</w:t>
                  </w:r>
                  <w:r>
                    <w:rPr>
                      <w:rFonts w:hint="default" w:ascii="Times New Roman" w:hAnsi="Times New Roman" w:eastAsia="仿宋_GB2312" w:cs="Times New Roman"/>
                      <w:color w:val="auto"/>
                      <w:sz w:val="21"/>
                      <w:szCs w:val="21"/>
                    </w:rPr>
                    <w:t>收集后经“酸吸收+碱吸收+除雾器+二级活性炭吸附”处理后，通过15米高排气筒排放（2#排气筒）。</w:t>
                  </w:r>
                </w:p>
                <w:p w14:paraId="086BA03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②食品用原料、保健食品粉包装废气，γ-氨基丁酸、二氢槲皮素</w:t>
                  </w:r>
                  <w:r>
                    <w:rPr>
                      <w:rFonts w:hint="eastAsia" w:eastAsia="仿宋_GB2312" w:cs="Times New Roman"/>
                      <w:color w:val="auto"/>
                      <w:sz w:val="21"/>
                      <w:szCs w:val="21"/>
                      <w:lang w:eastAsia="zh-CN"/>
                    </w:rPr>
                    <w:t>保健食品胶囊</w:t>
                  </w:r>
                  <w:r>
                    <w:rPr>
                      <w:rFonts w:hint="default" w:ascii="Times New Roman" w:hAnsi="Times New Roman" w:eastAsia="仿宋_GB2312" w:cs="Times New Roman"/>
                      <w:color w:val="auto"/>
                      <w:sz w:val="21"/>
                      <w:szCs w:val="21"/>
                    </w:rPr>
                    <w:t>混合废气、胶囊装载废气</w:t>
                  </w:r>
                  <w:r>
                    <w:rPr>
                      <w:rFonts w:hint="eastAsia" w:eastAsia="仿宋_GB2312" w:cs="Times New Roman"/>
                      <w:color w:val="auto"/>
                      <w:sz w:val="21"/>
                      <w:szCs w:val="21"/>
                      <w:lang w:eastAsia="zh-CN"/>
                    </w:rPr>
                    <w:t>整体换风</w:t>
                  </w:r>
                  <w:r>
                    <w:rPr>
                      <w:rFonts w:hint="default" w:ascii="Times New Roman" w:hAnsi="Times New Roman" w:eastAsia="仿宋_GB2312" w:cs="Times New Roman"/>
                      <w:color w:val="auto"/>
                      <w:sz w:val="21"/>
                      <w:szCs w:val="21"/>
                    </w:rPr>
                    <w:t>收集</w:t>
                  </w:r>
                  <w:r>
                    <w:rPr>
                      <w:rFonts w:hint="eastAsia" w:eastAsia="仿宋_GB2312" w:cs="Times New Roman"/>
                      <w:color w:val="auto"/>
                      <w:sz w:val="21"/>
                      <w:szCs w:val="21"/>
                      <w:lang w:eastAsia="zh-CN"/>
                    </w:rPr>
                    <w:t>（捕集率</w:t>
                  </w:r>
                  <w:r>
                    <w:rPr>
                      <w:rFonts w:hint="eastAsia" w:eastAsia="仿宋_GB2312" w:cs="Times New Roman"/>
                      <w:color w:val="auto"/>
                      <w:sz w:val="21"/>
                      <w:szCs w:val="21"/>
                      <w:lang w:val="en-US" w:eastAsia="zh-CN"/>
                    </w:rPr>
                    <w:t>90%</w:t>
                  </w:r>
                  <w:r>
                    <w:rPr>
                      <w:rFonts w:hint="eastAsia" w:eastAsia="仿宋_GB2312" w:cs="Times New Roman"/>
                      <w:color w:val="auto"/>
                      <w:sz w:val="21"/>
                      <w:szCs w:val="21"/>
                      <w:lang w:eastAsia="zh-CN"/>
                    </w:rPr>
                    <w:t>）和</w:t>
                  </w:r>
                  <w:r>
                    <w:rPr>
                      <w:rFonts w:hint="default" w:ascii="Times New Roman" w:hAnsi="Times New Roman" w:eastAsia="仿宋_GB2312" w:cs="Times New Roman"/>
                      <w:color w:val="auto"/>
                      <w:sz w:val="21"/>
                      <w:szCs w:val="21"/>
                    </w:rPr>
                    <w:t>沸腾干燥废气自带的布袋捕集器收集</w:t>
                  </w:r>
                  <w:r>
                    <w:rPr>
                      <w:rFonts w:hint="eastAsia" w:eastAsia="仿宋_GB2312" w:cs="Times New Roman"/>
                      <w:color w:val="auto"/>
                      <w:sz w:val="21"/>
                      <w:szCs w:val="21"/>
                      <w:lang w:eastAsia="zh-CN"/>
                    </w:rPr>
                    <w:t>（捕集率</w:t>
                  </w:r>
                  <w:r>
                    <w:rPr>
                      <w:rFonts w:hint="eastAsia" w:eastAsia="仿宋_GB2312" w:cs="Times New Roman"/>
                      <w:color w:val="auto"/>
                      <w:sz w:val="21"/>
                      <w:szCs w:val="21"/>
                      <w:lang w:val="en-US" w:eastAsia="zh-CN"/>
                    </w:rPr>
                    <w:t>99%</w:t>
                  </w:r>
                  <w:r>
                    <w:rPr>
                      <w:rFonts w:hint="eastAsia" w:eastAsia="仿宋_GB2312" w:cs="Times New Roman"/>
                      <w:color w:val="auto"/>
                      <w:sz w:val="21"/>
                      <w:szCs w:val="21"/>
                      <w:lang w:eastAsia="zh-CN"/>
                    </w:rPr>
                    <w:t>）后，</w:t>
                  </w:r>
                  <w:r>
                    <w:rPr>
                      <w:rFonts w:hint="default" w:ascii="Times New Roman" w:hAnsi="Times New Roman" w:eastAsia="仿宋_GB2312" w:cs="Times New Roman"/>
                      <w:color w:val="auto"/>
                      <w:sz w:val="21"/>
                      <w:szCs w:val="21"/>
                    </w:rPr>
                    <w:t>经布袋除尘处理后，通过15米高排气筒排放（1#排气筒）。</w:t>
                  </w:r>
                </w:p>
                <w:p w14:paraId="1A83018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③固体原辅料称量、投料、配制过程产生的废气在一楼称量间</w:t>
                  </w:r>
                  <w:r>
                    <w:rPr>
                      <w:rFonts w:hint="eastAsia" w:eastAsia="仿宋_GB2312" w:cs="Times New Roman"/>
                      <w:color w:val="auto"/>
                      <w:sz w:val="21"/>
                      <w:szCs w:val="21"/>
                      <w:lang w:eastAsia="zh-CN"/>
                    </w:rPr>
                    <w:t>整体换风</w:t>
                  </w:r>
                  <w:r>
                    <w:rPr>
                      <w:rFonts w:hint="default" w:ascii="Times New Roman" w:hAnsi="Times New Roman" w:eastAsia="仿宋_GB2312" w:cs="Times New Roman"/>
                      <w:color w:val="auto"/>
                      <w:sz w:val="21"/>
                      <w:szCs w:val="21"/>
                    </w:rPr>
                    <w:t>收集</w:t>
                  </w:r>
                  <w:r>
                    <w:rPr>
                      <w:rFonts w:hint="eastAsia" w:eastAsia="仿宋_GB2312" w:cs="Times New Roman"/>
                      <w:color w:val="auto"/>
                      <w:sz w:val="21"/>
                      <w:szCs w:val="21"/>
                      <w:lang w:eastAsia="zh-CN"/>
                    </w:rPr>
                    <w:t>（捕集率</w:t>
                  </w:r>
                  <w:r>
                    <w:rPr>
                      <w:rFonts w:hint="eastAsia" w:eastAsia="仿宋_GB2312" w:cs="Times New Roman"/>
                      <w:color w:val="auto"/>
                      <w:sz w:val="21"/>
                      <w:szCs w:val="21"/>
                      <w:lang w:val="en-US" w:eastAsia="zh-CN"/>
                    </w:rPr>
                    <w:t>90%</w:t>
                  </w:r>
                  <w:r>
                    <w:rPr>
                      <w:rFonts w:hint="eastAsia" w:eastAsia="仿宋_GB2312" w:cs="Times New Roman"/>
                      <w:color w:val="auto"/>
                      <w:sz w:val="21"/>
                      <w:szCs w:val="21"/>
                      <w:lang w:eastAsia="zh-CN"/>
                    </w:rPr>
                    <w:t>）</w:t>
                  </w:r>
                  <w:r>
                    <w:rPr>
                      <w:rFonts w:hint="default" w:ascii="Times New Roman" w:hAnsi="Times New Roman" w:eastAsia="仿宋_GB2312" w:cs="Times New Roman"/>
                      <w:color w:val="auto"/>
                      <w:sz w:val="21"/>
                      <w:szCs w:val="21"/>
                    </w:rPr>
                    <w:t>，经布袋除尘处理后，通过15米高排气筒排放（1#排气筒）。</w:t>
                  </w:r>
                </w:p>
                <w:p w14:paraId="0F36F03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fldChar w:fldCharType="begin"/>
                  </w:r>
                  <w:r>
                    <w:rPr>
                      <w:rFonts w:hint="default" w:ascii="Times New Roman" w:hAnsi="Times New Roman" w:eastAsia="仿宋_GB2312" w:cs="Times New Roman"/>
                      <w:color w:val="auto"/>
                      <w:sz w:val="21"/>
                      <w:szCs w:val="21"/>
                    </w:rPr>
                    <w:instrText xml:space="preserve"> = 4 \* GB3 </w:instrText>
                  </w:r>
                  <w:r>
                    <w:rPr>
                      <w:rFonts w:hint="default" w:ascii="Times New Roman" w:hAnsi="Times New Roman" w:eastAsia="仿宋_GB2312" w:cs="Times New Roman"/>
                      <w:color w:val="auto"/>
                      <w:sz w:val="21"/>
                      <w:szCs w:val="21"/>
                    </w:rPr>
                    <w:fldChar w:fldCharType="separate"/>
                  </w:r>
                  <w:r>
                    <w:rPr>
                      <w:rFonts w:hint="default" w:ascii="Times New Roman" w:hAnsi="Times New Roman" w:eastAsia="仿宋_GB2312" w:cs="Times New Roman"/>
                      <w:color w:val="auto"/>
                      <w:sz w:val="21"/>
                      <w:szCs w:val="21"/>
                    </w:rPr>
                    <w:t>④</w:t>
                  </w:r>
                  <w:r>
                    <w:rPr>
                      <w:rFonts w:hint="default" w:ascii="Times New Roman" w:hAnsi="Times New Roman" w:eastAsia="仿宋_GB2312" w:cs="Times New Roman"/>
                      <w:color w:val="auto"/>
                      <w:sz w:val="21"/>
                      <w:szCs w:val="21"/>
                    </w:rPr>
                    <w:fldChar w:fldCharType="end"/>
                  </w:r>
                  <w:r>
                    <w:rPr>
                      <w:rFonts w:hint="default" w:ascii="Times New Roman" w:hAnsi="Times New Roman" w:eastAsia="仿宋_GB2312" w:cs="Times New Roman"/>
                      <w:color w:val="auto"/>
                      <w:sz w:val="21"/>
                      <w:szCs w:val="21"/>
                    </w:rPr>
                    <w:t>盐酸溶液配制废气在二楼质检区通风橱收集</w:t>
                  </w:r>
                  <w:r>
                    <w:rPr>
                      <w:rFonts w:hint="eastAsia" w:eastAsia="仿宋_GB2312" w:cs="Times New Roman"/>
                      <w:color w:val="auto"/>
                      <w:sz w:val="21"/>
                      <w:szCs w:val="21"/>
                      <w:lang w:eastAsia="zh-CN"/>
                    </w:rPr>
                    <w:t>（捕集率</w:t>
                  </w:r>
                  <w:r>
                    <w:rPr>
                      <w:rFonts w:hint="eastAsia" w:eastAsia="仿宋_GB2312" w:cs="Times New Roman"/>
                      <w:color w:val="auto"/>
                      <w:sz w:val="21"/>
                      <w:szCs w:val="21"/>
                      <w:lang w:val="en-US" w:eastAsia="zh-CN"/>
                    </w:rPr>
                    <w:t>90%</w:t>
                  </w:r>
                  <w:r>
                    <w:rPr>
                      <w:rFonts w:hint="eastAsia" w:eastAsia="仿宋_GB2312" w:cs="Times New Roman"/>
                      <w:color w:val="auto"/>
                      <w:sz w:val="21"/>
                      <w:szCs w:val="21"/>
                      <w:lang w:eastAsia="zh-CN"/>
                    </w:rPr>
                    <w:t>）</w:t>
                  </w:r>
                  <w:r>
                    <w:rPr>
                      <w:rFonts w:hint="default" w:ascii="Times New Roman" w:hAnsi="Times New Roman" w:eastAsia="仿宋_GB2312" w:cs="Times New Roman"/>
                      <w:color w:val="auto"/>
                      <w:sz w:val="21"/>
                      <w:szCs w:val="21"/>
                    </w:rPr>
                    <w:t>后经“酸吸收+碱吸收+除雾器+二级活性炭吸附”处理后，通过15米高排气筒排放（2#排气筒）。</w:t>
                  </w:r>
                </w:p>
                <w:p w14:paraId="091E475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fldChar w:fldCharType="begin"/>
                  </w:r>
                  <w:r>
                    <w:rPr>
                      <w:rFonts w:hint="default" w:ascii="Times New Roman" w:hAnsi="Times New Roman" w:eastAsia="仿宋_GB2312" w:cs="Times New Roman"/>
                      <w:color w:val="auto"/>
                      <w:sz w:val="21"/>
                      <w:szCs w:val="21"/>
                    </w:rPr>
                    <w:instrText xml:space="preserve"> = 5 \* GB3 </w:instrText>
                  </w:r>
                  <w:r>
                    <w:rPr>
                      <w:rFonts w:hint="default" w:ascii="Times New Roman" w:hAnsi="Times New Roman" w:eastAsia="仿宋_GB2312" w:cs="Times New Roman"/>
                      <w:color w:val="auto"/>
                      <w:sz w:val="21"/>
                      <w:szCs w:val="21"/>
                    </w:rPr>
                    <w:fldChar w:fldCharType="separate"/>
                  </w:r>
                  <w:r>
                    <w:rPr>
                      <w:rFonts w:hint="default" w:ascii="Times New Roman" w:hAnsi="Times New Roman" w:eastAsia="仿宋_GB2312" w:cs="Times New Roman"/>
                      <w:color w:val="auto"/>
                      <w:sz w:val="21"/>
                      <w:szCs w:val="21"/>
                    </w:rPr>
                    <w:t>⑤</w:t>
                  </w:r>
                  <w:r>
                    <w:rPr>
                      <w:rFonts w:hint="default" w:ascii="Times New Roman" w:hAnsi="Times New Roman" w:eastAsia="仿宋_GB2312" w:cs="Times New Roman"/>
                      <w:color w:val="auto"/>
                      <w:sz w:val="21"/>
                      <w:szCs w:val="21"/>
                    </w:rPr>
                    <w:fldChar w:fldCharType="end"/>
                  </w:r>
                  <w:r>
                    <w:rPr>
                      <w:rFonts w:hint="default" w:ascii="Times New Roman" w:hAnsi="Times New Roman" w:eastAsia="仿宋_GB2312" w:cs="Times New Roman"/>
                      <w:color w:val="auto"/>
                      <w:sz w:val="21"/>
                      <w:szCs w:val="21"/>
                    </w:rPr>
                    <w:t>质检区废气采用吸风罩收集</w:t>
                  </w:r>
                  <w:r>
                    <w:rPr>
                      <w:rFonts w:hint="eastAsia" w:eastAsia="仿宋_GB2312" w:cs="Times New Roman"/>
                      <w:color w:val="auto"/>
                      <w:sz w:val="21"/>
                      <w:szCs w:val="21"/>
                      <w:lang w:eastAsia="zh-CN"/>
                    </w:rPr>
                    <w:t>（捕集率</w:t>
                  </w:r>
                  <w:r>
                    <w:rPr>
                      <w:rFonts w:hint="eastAsia" w:eastAsia="仿宋_GB2312" w:cs="Times New Roman"/>
                      <w:color w:val="auto"/>
                      <w:sz w:val="21"/>
                      <w:szCs w:val="21"/>
                      <w:lang w:val="en-US" w:eastAsia="zh-CN"/>
                    </w:rPr>
                    <w:t>90%</w:t>
                  </w:r>
                  <w:r>
                    <w:rPr>
                      <w:rFonts w:hint="eastAsia" w:eastAsia="仿宋_GB2312" w:cs="Times New Roman"/>
                      <w:color w:val="auto"/>
                      <w:sz w:val="21"/>
                      <w:szCs w:val="21"/>
                      <w:lang w:eastAsia="zh-CN"/>
                    </w:rPr>
                    <w:t>）</w:t>
                  </w:r>
                  <w:r>
                    <w:rPr>
                      <w:rFonts w:hint="default" w:ascii="Times New Roman" w:hAnsi="Times New Roman" w:eastAsia="仿宋_GB2312" w:cs="Times New Roman"/>
                      <w:color w:val="auto"/>
                      <w:sz w:val="21"/>
                      <w:szCs w:val="21"/>
                    </w:rPr>
                    <w:t>。废气收集后经“酸吸收+碱吸收+除雾器+二级活性炭吸附”处理后，通过15米高排气筒排放（2#排气筒）。</w:t>
                  </w:r>
                </w:p>
                <w:p w14:paraId="6821837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⑥危废库废气采用整体换风收集</w:t>
                  </w:r>
                  <w:r>
                    <w:rPr>
                      <w:rFonts w:hint="eastAsia" w:eastAsia="仿宋_GB2312" w:cs="Times New Roman"/>
                      <w:color w:val="auto"/>
                      <w:sz w:val="21"/>
                      <w:szCs w:val="21"/>
                      <w:lang w:eastAsia="zh-CN"/>
                    </w:rPr>
                    <w:t>（捕集率</w:t>
                  </w:r>
                  <w:r>
                    <w:rPr>
                      <w:rFonts w:hint="eastAsia" w:eastAsia="仿宋_GB2312" w:cs="Times New Roman"/>
                      <w:color w:val="auto"/>
                      <w:sz w:val="21"/>
                      <w:szCs w:val="21"/>
                      <w:lang w:val="en-US" w:eastAsia="zh-CN"/>
                    </w:rPr>
                    <w:t>90%</w:t>
                  </w:r>
                  <w:r>
                    <w:rPr>
                      <w:rFonts w:hint="eastAsia" w:eastAsia="仿宋_GB2312" w:cs="Times New Roman"/>
                      <w:color w:val="auto"/>
                      <w:sz w:val="21"/>
                      <w:szCs w:val="21"/>
                      <w:lang w:eastAsia="zh-CN"/>
                    </w:rPr>
                    <w:t>）</w:t>
                  </w:r>
                  <w:r>
                    <w:rPr>
                      <w:rFonts w:hint="default" w:ascii="Times New Roman" w:hAnsi="Times New Roman" w:eastAsia="仿宋_GB2312" w:cs="Times New Roman"/>
                      <w:color w:val="auto"/>
                      <w:sz w:val="21"/>
                      <w:szCs w:val="21"/>
                    </w:rPr>
                    <w:t>后经“酸吸收+碱吸收+除雾器+二级活性炭吸附”处理后，通过15米高排气筒排放（2#排气筒）。</w:t>
                  </w:r>
                </w:p>
                <w:p w14:paraId="35BE249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⑦污水站废气采用整体换风收集</w:t>
                  </w:r>
                  <w:r>
                    <w:rPr>
                      <w:rFonts w:hint="eastAsia" w:eastAsia="仿宋_GB2312" w:cs="Times New Roman"/>
                      <w:color w:val="auto"/>
                      <w:sz w:val="21"/>
                      <w:szCs w:val="21"/>
                      <w:lang w:eastAsia="zh-CN"/>
                    </w:rPr>
                    <w:t>（捕集率</w:t>
                  </w:r>
                  <w:r>
                    <w:rPr>
                      <w:rFonts w:hint="eastAsia" w:eastAsia="仿宋_GB2312" w:cs="Times New Roman"/>
                      <w:color w:val="auto"/>
                      <w:sz w:val="21"/>
                      <w:szCs w:val="21"/>
                      <w:lang w:val="en-US" w:eastAsia="zh-CN"/>
                    </w:rPr>
                    <w:t>90%</w:t>
                  </w:r>
                  <w:r>
                    <w:rPr>
                      <w:rFonts w:hint="eastAsia" w:eastAsia="仿宋_GB2312" w:cs="Times New Roman"/>
                      <w:color w:val="auto"/>
                      <w:sz w:val="21"/>
                      <w:szCs w:val="21"/>
                      <w:lang w:eastAsia="zh-CN"/>
                    </w:rPr>
                    <w:t>）</w:t>
                  </w:r>
                  <w:r>
                    <w:rPr>
                      <w:rFonts w:hint="default" w:ascii="Times New Roman" w:hAnsi="Times New Roman" w:eastAsia="仿宋_GB2312" w:cs="Times New Roman"/>
                      <w:color w:val="auto"/>
                      <w:sz w:val="21"/>
                      <w:szCs w:val="21"/>
                    </w:rPr>
                    <w:t>后经“酸吸收+碱吸收+除雾器+二级活性炭吸附”处理后，通过15米高排气筒排放（2#排气筒）。</w:t>
                  </w:r>
                </w:p>
                <w:p w14:paraId="040E64C1">
                  <w:pPr>
                    <w:pStyle w:val="2"/>
                    <w:keepNext w:val="0"/>
                    <w:keepLines w:val="0"/>
                    <w:suppressLineNumbers w:val="0"/>
                    <w:spacing w:beforeAutospacing="0" w:afterAutospacing="0"/>
                    <w:ind w:left="0"/>
                    <w:rPr>
                      <w:rFonts w:hint="eastAsia" w:eastAsia="仿宋_GB2312"/>
                      <w:color w:val="auto"/>
                      <w:lang w:val="en-US" w:eastAsia="zh-CN"/>
                    </w:rPr>
                  </w:pPr>
                  <w:r>
                    <w:rPr>
                      <w:rFonts w:hint="eastAsia" w:ascii="Times New Roman" w:hAnsi="Times New Roman" w:eastAsia="仿宋_GB2312" w:cs="Times New Roman"/>
                      <w:color w:val="auto"/>
                      <w:kern w:val="2"/>
                      <w:sz w:val="21"/>
                      <w:szCs w:val="21"/>
                      <w:lang w:val="en-US" w:eastAsia="zh-CN" w:bidi="ar-SA"/>
                    </w:rPr>
                    <w:t>⑧燃气蒸汽发生器</w:t>
                  </w:r>
                  <w:r>
                    <w:rPr>
                      <w:rFonts w:hint="eastAsia" w:eastAsia="仿宋_GB2312" w:cs="Times New Roman"/>
                      <w:color w:val="auto"/>
                      <w:kern w:val="2"/>
                      <w:sz w:val="21"/>
                      <w:szCs w:val="21"/>
                      <w:lang w:val="en-US" w:eastAsia="zh-CN" w:bidi="ar-SA"/>
                    </w:rPr>
                    <w:t>产生的废气</w:t>
                  </w:r>
                  <w:r>
                    <w:rPr>
                      <w:rFonts w:hint="default" w:ascii="Times New Roman" w:hAnsi="Times New Roman" w:eastAsia="仿宋_GB2312" w:cs="Times New Roman"/>
                      <w:color w:val="auto"/>
                      <w:sz w:val="21"/>
                      <w:szCs w:val="21"/>
                    </w:rPr>
                    <w:t>通过15米高排气筒排放（</w:t>
                  </w:r>
                  <w:r>
                    <w:rPr>
                      <w:rFonts w:hint="eastAsia" w:eastAsia="仿宋_GB2312" w:cs="Times New Roman"/>
                      <w:color w:val="auto"/>
                      <w:sz w:val="21"/>
                      <w:szCs w:val="21"/>
                      <w:lang w:val="en-US" w:eastAsia="zh-CN"/>
                    </w:rPr>
                    <w:t>3</w:t>
                  </w:r>
                  <w:r>
                    <w:rPr>
                      <w:rFonts w:hint="default" w:ascii="Times New Roman" w:hAnsi="Times New Roman" w:eastAsia="仿宋_GB2312" w:cs="Times New Roman"/>
                      <w:color w:val="auto"/>
                      <w:sz w:val="21"/>
                      <w:szCs w:val="21"/>
                    </w:rPr>
                    <w:t>#排气筒）</w:t>
                  </w:r>
                  <w:r>
                    <w:rPr>
                      <w:rFonts w:hint="eastAsia" w:eastAsia="仿宋_GB2312" w:cs="Times New Roman"/>
                      <w:color w:val="auto"/>
                      <w:sz w:val="21"/>
                      <w:szCs w:val="21"/>
                      <w:lang w:eastAsia="zh-CN"/>
                    </w:rPr>
                    <w:t>。</w:t>
                  </w:r>
                </w:p>
              </w:tc>
            </w:tr>
            <w:tr w14:paraId="373D85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782177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043F2D29">
                  <w:pPr>
                    <w:pStyle w:val="18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危废仓库</w:t>
                  </w:r>
                </w:p>
              </w:tc>
              <w:tc>
                <w:tcPr>
                  <w:tcW w:w="3623" w:type="pct"/>
                  <w:tcBorders>
                    <w:tl2br w:val="nil"/>
                    <w:tr2bl w:val="nil"/>
                  </w:tcBorders>
                  <w:vAlign w:val="center"/>
                </w:tcPr>
                <w:p w14:paraId="0FC061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设置1座</w:t>
                  </w:r>
                  <w:r>
                    <w:rPr>
                      <w:rFonts w:hint="eastAsia" w:eastAsia="仿宋_GB2312" w:cs="Times New Roman"/>
                      <w:color w:val="auto"/>
                      <w:sz w:val="21"/>
                      <w:szCs w:val="21"/>
                      <w:lang w:val="en-US" w:eastAsia="zh-CN"/>
                    </w:rPr>
                    <w:t>4</w:t>
                  </w:r>
                  <w:r>
                    <w:rPr>
                      <w:rFonts w:hint="default" w:ascii="Times New Roman" w:hAnsi="Times New Roman" w:eastAsia="仿宋_GB2312" w:cs="Times New Roman"/>
                      <w:color w:val="auto"/>
                      <w:sz w:val="21"/>
                      <w:szCs w:val="21"/>
                    </w:rPr>
                    <w:t>m</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危废库，设置1座10m</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一般固废库</w:t>
                  </w:r>
                </w:p>
              </w:tc>
            </w:tr>
            <w:tr w14:paraId="446E72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66EC2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5A3182A0">
                  <w:pPr>
                    <w:pStyle w:val="18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地下水及土壤</w:t>
                  </w:r>
                </w:p>
              </w:tc>
              <w:tc>
                <w:tcPr>
                  <w:tcW w:w="3623" w:type="pct"/>
                  <w:tcBorders>
                    <w:tl2br w:val="nil"/>
                    <w:tr2bl w:val="nil"/>
                  </w:tcBorders>
                  <w:vAlign w:val="center"/>
                </w:tcPr>
                <w:p w14:paraId="6CBA6B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snapToGrid w:val="0"/>
                      <w:color w:val="auto"/>
                      <w:sz w:val="21"/>
                      <w:szCs w:val="21"/>
                    </w:rPr>
                  </w:pPr>
                  <w:r>
                    <w:rPr>
                      <w:rFonts w:hint="default" w:ascii="Times New Roman" w:hAnsi="Times New Roman" w:eastAsia="仿宋_GB2312" w:cs="Times New Roman"/>
                      <w:snapToGrid w:val="0"/>
                      <w:color w:val="auto"/>
                      <w:sz w:val="21"/>
                      <w:szCs w:val="21"/>
                    </w:rPr>
                    <w:t>厂区地下水防腐、防渗措施</w:t>
                  </w:r>
                </w:p>
              </w:tc>
            </w:tr>
            <w:tr w14:paraId="7F851B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3143D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6B43B2FA">
                  <w:pPr>
                    <w:pStyle w:val="18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废水</w:t>
                  </w:r>
                </w:p>
              </w:tc>
              <w:tc>
                <w:tcPr>
                  <w:tcW w:w="3623" w:type="pct"/>
                  <w:tcBorders>
                    <w:tl2br w:val="nil"/>
                    <w:tr2bl w:val="nil"/>
                  </w:tcBorders>
                  <w:vAlign w:val="center"/>
                </w:tcPr>
                <w:p w14:paraId="623FC3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pacing w:val="-2"/>
                      <w:sz w:val="21"/>
                      <w:szCs w:val="21"/>
                    </w:rPr>
                  </w:pPr>
                  <w:r>
                    <w:rPr>
                      <w:rFonts w:hint="default" w:ascii="Times New Roman" w:hAnsi="Times New Roman" w:eastAsia="仿宋_GB2312" w:cs="Times New Roman"/>
                      <w:color w:val="auto"/>
                      <w:sz w:val="21"/>
                      <w:szCs w:val="21"/>
                    </w:rPr>
                    <w:t>本项目生活污水经化粪池处理后和纯水制备过程中产生浓水达标接管至常州金坛第二污水处理有限公司处理。本项目生产食品用原料、保健食品粉产生的</w:t>
                  </w:r>
                  <w:r>
                    <w:rPr>
                      <w:rFonts w:hint="eastAsia" w:eastAsia="仿宋_GB2312" w:cs="Times New Roman"/>
                      <w:color w:val="auto"/>
                      <w:sz w:val="21"/>
                      <w:szCs w:val="21"/>
                      <w:lang w:eastAsia="zh-CN"/>
                    </w:rPr>
                    <w:t>离心废水、结晶废水、</w:t>
                  </w:r>
                  <w:r>
                    <w:rPr>
                      <w:rFonts w:hint="default" w:ascii="Times New Roman" w:hAnsi="Times New Roman" w:eastAsia="仿宋_GB2312" w:cs="Times New Roman"/>
                      <w:color w:val="auto"/>
                      <w:sz w:val="21"/>
                      <w:szCs w:val="21"/>
                    </w:rPr>
                    <w:t>超滤废水、纳滤废液、脱色树脂再生废水、层析树脂再生废水、旋蒸废水，设备清洗废水，地面清洁废水，洗衣废水，循环冷却系统排水，废气喷淋废水，质检区废水进污水站处理后回用作循环冷却系统补水，不外排。</w:t>
                  </w:r>
                </w:p>
              </w:tc>
            </w:tr>
            <w:tr w14:paraId="0B8027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vAlign w:val="center"/>
                </w:tcPr>
                <w:p w14:paraId="3E4379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仿宋_GB2312" w:cs="Times New Roman"/>
                      <w:color w:val="auto"/>
                      <w:sz w:val="21"/>
                      <w:szCs w:val="21"/>
                    </w:rPr>
                  </w:pPr>
                </w:p>
              </w:tc>
              <w:tc>
                <w:tcPr>
                  <w:tcW w:w="700" w:type="pct"/>
                  <w:tcBorders>
                    <w:tl2br w:val="nil"/>
                    <w:tr2bl w:val="nil"/>
                  </w:tcBorders>
                  <w:vAlign w:val="center"/>
                </w:tcPr>
                <w:p w14:paraId="16A7D393">
                  <w:pPr>
                    <w:pStyle w:val="18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噪声</w:t>
                  </w:r>
                </w:p>
              </w:tc>
              <w:tc>
                <w:tcPr>
                  <w:tcW w:w="3623" w:type="pct"/>
                  <w:tcBorders>
                    <w:tl2br w:val="nil"/>
                    <w:tr2bl w:val="nil"/>
                  </w:tcBorders>
                  <w:vAlign w:val="center"/>
                </w:tcPr>
                <w:p w14:paraId="013D29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针对主要噪声源，采用减振、隔声等措施。</w:t>
                  </w:r>
                </w:p>
              </w:tc>
            </w:tr>
          </w:tbl>
          <w:p w14:paraId="01534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仿宋_GB2312" w:cs="Times New Roman"/>
                <w:b w:val="0"/>
                <w:bCs/>
                <w:color w:val="0000FF"/>
                <w:sz w:val="21"/>
                <w:szCs w:val="21"/>
                <w:highlight w:val="none"/>
                <w:lang w:val="en-US" w:eastAsia="zh-CN"/>
              </w:rPr>
            </w:pPr>
            <w:r>
              <w:rPr>
                <w:rFonts w:hint="default" w:ascii="Times New Roman" w:hAnsi="Times New Roman" w:eastAsia="仿宋_GB2312" w:cs="Times New Roman"/>
                <w:b w:val="0"/>
                <w:bCs/>
                <w:color w:val="0000FF"/>
                <w:sz w:val="21"/>
                <w:szCs w:val="21"/>
                <w:highlight w:val="none"/>
                <w:lang w:val="en-US" w:eastAsia="zh-CN"/>
              </w:rPr>
              <w:t>注：本项目依托出租方</w:t>
            </w:r>
            <w:r>
              <w:rPr>
                <w:rFonts w:hint="default" w:ascii="Times New Roman" w:hAnsi="Times New Roman" w:eastAsia="仿宋_GB2312" w:cs="Times New Roman"/>
                <w:b w:val="0"/>
                <w:bCs/>
                <w:color w:val="0000FF"/>
                <w:sz w:val="21"/>
                <w:szCs w:val="21"/>
              </w:rPr>
              <w:t>现有污水排放口</w:t>
            </w:r>
            <w:r>
              <w:rPr>
                <w:rFonts w:hint="default" w:ascii="Times New Roman" w:hAnsi="Times New Roman" w:eastAsia="仿宋_GB2312" w:cs="Times New Roman"/>
                <w:b w:val="0"/>
                <w:bCs/>
                <w:color w:val="0000FF"/>
                <w:sz w:val="21"/>
                <w:szCs w:val="21"/>
                <w:lang w:eastAsia="zh-CN"/>
              </w:rPr>
              <w:t>；依托出租方现有的两座事故应急池，有效容积各为400m</w:t>
            </w:r>
            <w:r>
              <w:rPr>
                <w:rFonts w:hint="default" w:ascii="Times New Roman" w:hAnsi="Times New Roman" w:eastAsia="仿宋_GB2312" w:cs="Times New Roman"/>
                <w:b w:val="0"/>
                <w:bCs/>
                <w:color w:val="0000FF"/>
                <w:sz w:val="21"/>
                <w:szCs w:val="21"/>
                <w:vertAlign w:val="superscript"/>
                <w:lang w:eastAsia="zh-CN"/>
              </w:rPr>
              <w:t>3</w:t>
            </w:r>
            <w:r>
              <w:rPr>
                <w:rFonts w:hint="default" w:ascii="Times New Roman" w:hAnsi="Times New Roman" w:eastAsia="仿宋_GB2312" w:cs="Times New Roman"/>
                <w:b w:val="0"/>
                <w:bCs/>
                <w:color w:val="0000FF"/>
                <w:sz w:val="21"/>
                <w:szCs w:val="21"/>
                <w:lang w:eastAsia="zh-CN"/>
              </w:rPr>
              <w:t>，总有效容积为800m</w:t>
            </w:r>
            <w:r>
              <w:rPr>
                <w:rFonts w:hint="default" w:ascii="Times New Roman" w:hAnsi="Times New Roman" w:eastAsia="仿宋_GB2312" w:cs="Times New Roman"/>
                <w:b w:val="0"/>
                <w:bCs/>
                <w:color w:val="0000FF"/>
                <w:sz w:val="21"/>
                <w:szCs w:val="21"/>
                <w:vertAlign w:val="superscript"/>
                <w:lang w:eastAsia="zh-CN"/>
              </w:rPr>
              <w:t>3</w:t>
            </w:r>
            <w:r>
              <w:rPr>
                <w:rFonts w:hint="default" w:ascii="Times New Roman" w:hAnsi="Times New Roman" w:eastAsia="仿宋_GB2312" w:cs="Times New Roman"/>
                <w:b w:val="0"/>
                <w:bCs/>
                <w:color w:val="0000FF"/>
                <w:sz w:val="21"/>
                <w:szCs w:val="21"/>
                <w:lang w:eastAsia="zh-CN"/>
              </w:rPr>
              <w:t>；依托出租方现有消防水系统；依托出租方现有化粪池</w:t>
            </w:r>
            <w:r>
              <w:rPr>
                <w:rFonts w:hint="eastAsia" w:ascii="Times New Roman" w:hAnsi="Times New Roman" w:eastAsia="仿宋_GB2312" w:cs="Times New Roman"/>
                <w:b w:val="0"/>
                <w:bCs/>
                <w:color w:val="0000FF"/>
                <w:sz w:val="21"/>
                <w:szCs w:val="21"/>
                <w:lang w:eastAsia="zh-CN"/>
              </w:rPr>
              <w:t>。本项目出租方（金坛经济开发区管委会）对</w:t>
            </w:r>
            <w:r>
              <w:rPr>
                <w:rFonts w:hint="default" w:ascii="Times New Roman" w:hAnsi="Times New Roman" w:eastAsia="仿宋_GB2312" w:cs="Times New Roman"/>
                <w:b w:val="0"/>
                <w:bCs/>
                <w:color w:val="0000FF"/>
                <w:sz w:val="21"/>
                <w:szCs w:val="21"/>
              </w:rPr>
              <w:t>污水排放口</w:t>
            </w:r>
            <w:r>
              <w:rPr>
                <w:rFonts w:hint="eastAsia" w:eastAsia="仿宋_GB2312" w:cs="Times New Roman"/>
                <w:b w:val="0"/>
                <w:bCs/>
                <w:color w:val="0000FF"/>
                <w:sz w:val="21"/>
                <w:szCs w:val="21"/>
                <w:lang w:eastAsia="zh-CN"/>
              </w:rPr>
              <w:t>、</w:t>
            </w:r>
            <w:r>
              <w:rPr>
                <w:rFonts w:hint="default" w:ascii="Times New Roman" w:hAnsi="Times New Roman" w:eastAsia="仿宋_GB2312" w:cs="Times New Roman"/>
                <w:b w:val="0"/>
                <w:bCs/>
                <w:color w:val="0000FF"/>
                <w:sz w:val="21"/>
                <w:szCs w:val="21"/>
                <w:lang w:eastAsia="zh-CN"/>
              </w:rPr>
              <w:t>事故应急池</w:t>
            </w:r>
            <w:r>
              <w:rPr>
                <w:rFonts w:hint="eastAsia" w:eastAsia="仿宋_GB2312" w:cs="Times New Roman"/>
                <w:b w:val="0"/>
                <w:bCs/>
                <w:color w:val="0000FF"/>
                <w:sz w:val="21"/>
                <w:szCs w:val="21"/>
                <w:lang w:eastAsia="zh-CN"/>
              </w:rPr>
              <w:t>、</w:t>
            </w:r>
            <w:r>
              <w:rPr>
                <w:rFonts w:hint="default" w:ascii="Times New Roman" w:hAnsi="Times New Roman" w:eastAsia="仿宋_GB2312" w:cs="Times New Roman"/>
                <w:b w:val="0"/>
                <w:bCs/>
                <w:color w:val="0000FF"/>
                <w:sz w:val="21"/>
                <w:szCs w:val="21"/>
                <w:lang w:eastAsia="zh-CN"/>
              </w:rPr>
              <w:t>消防水系统</w:t>
            </w:r>
            <w:r>
              <w:rPr>
                <w:rFonts w:hint="eastAsia" w:eastAsia="仿宋_GB2312" w:cs="Times New Roman"/>
                <w:b w:val="0"/>
                <w:bCs/>
                <w:color w:val="0000FF"/>
                <w:sz w:val="21"/>
                <w:szCs w:val="21"/>
                <w:lang w:eastAsia="zh-CN"/>
              </w:rPr>
              <w:t>和</w:t>
            </w:r>
            <w:r>
              <w:rPr>
                <w:rFonts w:hint="default" w:ascii="Times New Roman" w:hAnsi="Times New Roman" w:eastAsia="仿宋_GB2312" w:cs="Times New Roman"/>
                <w:b w:val="0"/>
                <w:bCs/>
                <w:color w:val="0000FF"/>
                <w:sz w:val="21"/>
                <w:szCs w:val="21"/>
                <w:lang w:eastAsia="zh-CN"/>
              </w:rPr>
              <w:t>化粪池</w:t>
            </w:r>
            <w:r>
              <w:rPr>
                <w:rFonts w:hint="eastAsia" w:eastAsia="仿宋_GB2312" w:cs="Times New Roman"/>
                <w:b w:val="0"/>
                <w:bCs/>
                <w:color w:val="0000FF"/>
                <w:sz w:val="21"/>
                <w:szCs w:val="21"/>
                <w:lang w:eastAsia="zh-CN"/>
              </w:rPr>
              <w:t>浮油有主要环保责任。</w:t>
            </w:r>
          </w:p>
          <w:p w14:paraId="39F1495D">
            <w:pPr>
              <w:keepNext w:val="0"/>
              <w:keepLines w:val="0"/>
              <w:suppressLineNumbers w:val="0"/>
              <w:spacing w:before="0" w:beforeAutospacing="0" w:after="0" w:afterAutospacing="0" w:line="500" w:lineRule="exact"/>
              <w:ind w:left="0" w:right="0" w:firstLine="482" w:firstLineChars="200"/>
              <w:rPr>
                <w:rFonts w:hint="eastAsia" w:eastAsia="仿宋_GB2312"/>
                <w:b/>
                <w:color w:val="auto"/>
                <w:sz w:val="24"/>
                <w:highlight w:val="yellow"/>
                <w:lang w:val="en-US" w:eastAsia="zh-CN"/>
              </w:rPr>
            </w:pPr>
            <w:r>
              <w:rPr>
                <w:rFonts w:hint="eastAsia" w:eastAsia="仿宋_GB2312"/>
                <w:b/>
                <w:color w:val="auto"/>
                <w:sz w:val="24"/>
                <w:highlight w:val="none"/>
                <w:lang w:val="en-US" w:eastAsia="zh-CN"/>
              </w:rPr>
              <w:t>燃气蒸汽发生器的设置必要性</w:t>
            </w:r>
          </w:p>
          <w:p w14:paraId="5E72CF95">
            <w:pPr>
              <w:keepNext w:val="0"/>
              <w:keepLines w:val="0"/>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本项目位于常州市金坛经济开发区西城路118号，位于金坛金城科技产业园内，本项目利用合成生物技术进行食品用原料（γ-氨基丁酸），保健食品粉（二氢槲皮素）和保健食品胶囊的生产。</w:t>
            </w:r>
            <w:r>
              <w:rPr>
                <w:rFonts w:hint="eastAsia" w:eastAsia="仿宋_GB2312" w:cs="Times New Roman"/>
                <w:color w:val="auto"/>
                <w:sz w:val="24"/>
                <w:lang w:val="en-US" w:eastAsia="zh-CN"/>
              </w:rPr>
              <w:t>在食品制造行业中，培养基组分普遍以夹套高温蒸汽的方式进行灭菌。</w:t>
            </w:r>
            <w:r>
              <w:rPr>
                <w:rFonts w:hint="eastAsia" w:ascii="Times New Roman" w:hAnsi="Times New Roman" w:eastAsia="仿宋_GB2312" w:cs="Times New Roman"/>
                <w:color w:val="auto"/>
                <w:sz w:val="24"/>
                <w:lang w:val="en-US" w:eastAsia="zh-CN"/>
              </w:rPr>
              <w:t>又由于企业所租赁区域暂时不具备供热条件，所以企业配置一套燃气蒸汽发生器系统LNS1000-0.8，以此来满足自身的供热需求。</w:t>
            </w:r>
          </w:p>
          <w:p w14:paraId="21AE9AC9">
            <w:pPr>
              <w:keepNext w:val="0"/>
              <w:keepLines w:val="0"/>
              <w:numPr>
                <w:ilvl w:val="0"/>
                <w:numId w:val="0"/>
              </w:numPr>
              <w:suppressLineNumbers w:val="0"/>
              <w:spacing w:before="0" w:beforeAutospacing="0" w:after="0" w:afterAutospacing="0" w:line="500" w:lineRule="exact"/>
              <w:ind w:left="0" w:leftChars="0" w:right="0" w:rightChars="0" w:firstLine="482" w:firstLineChars="200"/>
              <w:rPr>
                <w:rFonts w:hint="eastAsia" w:eastAsia="仿宋_GB2312"/>
                <w:b/>
                <w:color w:val="auto"/>
                <w:sz w:val="24"/>
                <w:highlight w:val="yellow"/>
                <w:lang w:val="en-US" w:eastAsia="zh-CN"/>
              </w:rPr>
            </w:pPr>
            <w:r>
              <w:rPr>
                <w:rFonts w:hint="eastAsia" w:ascii="Times New Roman" w:hAnsi="Times New Roman" w:eastAsia="仿宋_GB2312" w:cs="Times New Roman"/>
                <w:b/>
                <w:color w:val="auto"/>
                <w:kern w:val="2"/>
                <w:sz w:val="24"/>
                <w:szCs w:val="24"/>
                <w:highlight w:val="none"/>
                <w:lang w:val="en-US" w:eastAsia="zh-CN" w:bidi="ar-SA"/>
              </w:rPr>
              <w:t>5、</w:t>
            </w:r>
            <w:r>
              <w:rPr>
                <w:rFonts w:hint="eastAsia" w:eastAsia="仿宋_GB2312"/>
                <w:b/>
                <w:color w:val="auto"/>
                <w:sz w:val="24"/>
                <w:highlight w:val="none"/>
                <w:lang w:val="en-US" w:eastAsia="zh-CN"/>
              </w:rPr>
              <w:t>生产技术成熟度分析</w:t>
            </w:r>
          </w:p>
          <w:p w14:paraId="48D3C2E7">
            <w:pPr>
              <w:keepNext w:val="0"/>
              <w:keepLines w:val="0"/>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江苏光玥生物科技有限公司</w:t>
            </w:r>
            <w:r>
              <w:rPr>
                <w:rFonts w:hint="eastAsia" w:ascii="Times New Roman" w:hAnsi="Times New Roman" w:eastAsia="仿宋_GB2312" w:cs="Times New Roman"/>
                <w:color w:val="auto"/>
                <w:sz w:val="24"/>
                <w:lang w:val="en-US" w:eastAsia="zh-CN"/>
              </w:rPr>
              <w:t>作为上海光玥生物科技有限公司的子公司，其相关生产技术沿用于上海光玥生物（母公司）。上海光</w:t>
            </w:r>
            <w:r>
              <w:rPr>
                <w:rFonts w:hint="eastAsia" w:ascii="仿宋_GB2312" w:hAnsi="仿宋_GB2312" w:eastAsia="仿宋_GB2312" w:cs="仿宋_GB2312"/>
                <w:color w:val="auto"/>
                <w:sz w:val="24"/>
                <w:lang w:val="en-US" w:eastAsia="zh-CN"/>
              </w:rPr>
              <w:t>玥</w:t>
            </w:r>
            <w:r>
              <w:rPr>
                <w:rFonts w:hint="eastAsia" w:ascii="Times New Roman" w:hAnsi="Times New Roman" w:eastAsia="仿宋_GB2312" w:cs="Times New Roman"/>
                <w:color w:val="auto"/>
                <w:sz w:val="24"/>
                <w:lang w:val="en-US" w:eastAsia="zh-CN"/>
              </w:rPr>
              <w:t>生物的核心研发团队在光合生物改造领域有超过十年的积累（开发了光驱动负碳技术）。公司构建了全球领先的光合细胞工厂库，并开发了诸如DeepMARS（代谢路径超速优化系统）等专有技术平台。</w:t>
            </w:r>
          </w:p>
          <w:p w14:paraId="7551B9BA">
            <w:pPr>
              <w:keepNext w:val="0"/>
              <w:keepLines w:val="0"/>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本项目食品用原料（γ-氨基丁酸）生产线</w:t>
            </w:r>
            <w:r>
              <w:rPr>
                <w:rFonts w:hint="eastAsia" w:eastAsia="仿宋_GB2312" w:cs="Times New Roman"/>
                <w:color w:val="auto"/>
                <w:sz w:val="24"/>
                <w:lang w:val="en-US" w:eastAsia="zh-CN"/>
              </w:rPr>
              <w:t>利用生物发酵技术，生产</w:t>
            </w:r>
            <w:r>
              <w:rPr>
                <w:rFonts w:hint="eastAsia" w:ascii="Times New Roman" w:hAnsi="Times New Roman" w:eastAsia="仿宋_GB2312" w:cs="Times New Roman"/>
                <w:color w:val="auto"/>
                <w:sz w:val="24"/>
                <w:lang w:val="en-US" w:eastAsia="zh-CN"/>
              </w:rPr>
              <w:t>γ-氨基丁酸</w:t>
            </w:r>
            <w:r>
              <w:rPr>
                <w:rFonts w:hint="eastAsia" w:eastAsia="仿宋_GB2312" w:cs="Times New Roman"/>
                <w:color w:val="auto"/>
                <w:sz w:val="24"/>
                <w:lang w:val="en-US" w:eastAsia="zh-CN"/>
              </w:rPr>
              <w:t>。与化学合成技术相比，生物发酵技术生产成本低廉、产品安全可靠（无有害物质残留）。</w:t>
            </w:r>
          </w:p>
          <w:p w14:paraId="56F4638A">
            <w:pPr>
              <w:keepNext w:val="0"/>
              <w:keepLines w:val="0"/>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本项目食品用原料（二氢槲皮素）生产线</w:t>
            </w:r>
            <w:r>
              <w:rPr>
                <w:rFonts w:hint="eastAsia" w:eastAsia="仿宋_GB2312" w:cs="Times New Roman"/>
                <w:color w:val="auto"/>
                <w:sz w:val="24"/>
                <w:lang w:val="en-US" w:eastAsia="zh-CN"/>
              </w:rPr>
              <w:t>中工程菌株（LUMY-DHQ）来自于企业的“</w:t>
            </w:r>
            <w:r>
              <w:rPr>
                <w:rFonts w:hint="eastAsia" w:ascii="Times New Roman" w:hAnsi="Times New Roman" w:eastAsia="仿宋_GB2312" w:cs="Times New Roman"/>
                <w:color w:val="auto"/>
                <w:sz w:val="24"/>
                <w:lang w:val="en-US" w:eastAsia="zh-CN"/>
              </w:rPr>
              <w:t>细胞工厂库</w:t>
            </w:r>
            <w:r>
              <w:rPr>
                <w:rFonts w:hint="eastAsia" w:eastAsia="仿宋_GB2312" w:cs="Times New Roman"/>
                <w:color w:val="auto"/>
                <w:sz w:val="24"/>
                <w:lang w:val="en-US" w:eastAsia="zh-CN"/>
              </w:rPr>
              <w:t>”，其能够更加有效地</w:t>
            </w:r>
            <w:r>
              <w:rPr>
                <w:rFonts w:hint="eastAsia" w:ascii="Times New Roman" w:hAnsi="Times New Roman" w:eastAsia="仿宋_GB2312" w:cs="Times New Roman"/>
                <w:color w:val="auto"/>
                <w:sz w:val="24"/>
                <w:lang w:val="en-US" w:eastAsia="zh-CN"/>
              </w:rPr>
              <w:t>降低生产成本，并能大幅缩短生产周期，为食品用原料（二氢槲皮素）</w:t>
            </w:r>
            <w:r>
              <w:rPr>
                <w:rFonts w:hint="eastAsia" w:eastAsia="仿宋_GB2312" w:cs="Times New Roman"/>
                <w:color w:val="auto"/>
                <w:sz w:val="24"/>
                <w:lang w:val="en-US" w:eastAsia="zh-CN"/>
              </w:rPr>
              <w:t>提供更</w:t>
            </w:r>
            <w:r>
              <w:rPr>
                <w:rFonts w:hint="eastAsia" w:ascii="Times New Roman" w:hAnsi="Times New Roman" w:eastAsia="仿宋_GB2312" w:cs="Times New Roman"/>
                <w:color w:val="auto"/>
                <w:sz w:val="24"/>
                <w:lang w:val="en-US" w:eastAsia="zh-CN"/>
              </w:rPr>
              <w:t>强大的市场竞争力。</w:t>
            </w:r>
          </w:p>
          <w:p w14:paraId="13B3B08A">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r>
              <w:rPr>
                <w:rFonts w:hint="eastAsia" w:eastAsia="仿宋_GB2312"/>
                <w:b/>
                <w:color w:val="auto"/>
                <w:sz w:val="24"/>
                <w:lang w:val="en-US" w:eastAsia="zh-CN"/>
              </w:rPr>
              <w:t>6</w:t>
            </w:r>
            <w:r>
              <w:rPr>
                <w:rFonts w:hint="default" w:eastAsia="仿宋_GB2312"/>
                <w:b/>
                <w:color w:val="auto"/>
                <w:sz w:val="24"/>
              </w:rPr>
              <w:t>、劳动定员及运行时间</w:t>
            </w:r>
          </w:p>
          <w:p w14:paraId="40DFA4BB">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highlight w:val="yellow"/>
              </w:rPr>
            </w:pPr>
            <w:r>
              <w:rPr>
                <w:rFonts w:hint="default" w:eastAsia="仿宋_GB2312"/>
                <w:color w:val="auto"/>
                <w:sz w:val="24"/>
              </w:rPr>
              <w:t>人员编制：本项目</w:t>
            </w:r>
            <w:r>
              <w:rPr>
                <w:rFonts w:hint="eastAsia" w:eastAsia="仿宋_GB2312"/>
                <w:color w:val="auto"/>
                <w:sz w:val="24"/>
              </w:rPr>
              <w:t>定员</w:t>
            </w:r>
            <w:r>
              <w:rPr>
                <w:rFonts w:hint="eastAsia" w:eastAsia="仿宋_GB2312"/>
                <w:color w:val="auto"/>
                <w:sz w:val="24"/>
                <w:lang w:val="en-US" w:eastAsia="zh-CN"/>
              </w:rPr>
              <w:t>32</w:t>
            </w:r>
            <w:r>
              <w:rPr>
                <w:rFonts w:hint="default" w:eastAsia="仿宋_GB2312"/>
                <w:color w:val="auto"/>
                <w:sz w:val="24"/>
              </w:rPr>
              <w:t>人。</w:t>
            </w:r>
          </w:p>
          <w:p w14:paraId="4E7A017D">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工作班制：</w:t>
            </w:r>
            <w:r>
              <w:rPr>
                <w:rFonts w:hint="eastAsia" w:eastAsia="仿宋_GB2312"/>
                <w:color w:val="auto"/>
                <w:sz w:val="24"/>
                <w:lang w:eastAsia="zh-CN"/>
              </w:rPr>
              <w:t>三</w:t>
            </w:r>
            <w:r>
              <w:rPr>
                <w:rFonts w:hint="default" w:eastAsia="仿宋_GB2312"/>
                <w:color w:val="auto"/>
                <w:sz w:val="24"/>
              </w:rPr>
              <w:t>班制，每天工作8小时，年工作300天，即年工作</w:t>
            </w:r>
            <w:r>
              <w:rPr>
                <w:rFonts w:hint="eastAsia" w:eastAsia="仿宋_GB2312"/>
                <w:color w:val="auto"/>
                <w:sz w:val="24"/>
                <w:lang w:val="en-US" w:eastAsia="zh-CN"/>
              </w:rPr>
              <w:t>72</w:t>
            </w:r>
            <w:r>
              <w:rPr>
                <w:rFonts w:hint="default" w:eastAsia="仿宋_GB2312"/>
                <w:color w:val="auto"/>
                <w:sz w:val="24"/>
              </w:rPr>
              <w:t>00小时。</w:t>
            </w:r>
          </w:p>
          <w:p w14:paraId="3024BF27">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r>
              <w:rPr>
                <w:rFonts w:hint="eastAsia" w:eastAsia="仿宋_GB2312"/>
                <w:b/>
                <w:color w:val="auto"/>
                <w:sz w:val="24"/>
                <w:lang w:val="en-US" w:eastAsia="zh-CN"/>
              </w:rPr>
              <w:t>7</w:t>
            </w:r>
            <w:r>
              <w:rPr>
                <w:rFonts w:hint="default" w:eastAsia="仿宋_GB2312"/>
                <w:b/>
                <w:color w:val="auto"/>
                <w:sz w:val="24"/>
              </w:rPr>
              <w:t>、厂区平面布置</w:t>
            </w:r>
          </w:p>
          <w:p w14:paraId="2E0A83C2">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lang w:val="en-US" w:eastAsia="zh-CN"/>
              </w:rPr>
            </w:pPr>
            <w:r>
              <w:rPr>
                <w:rFonts w:hint="default" w:eastAsia="仿宋_GB2312"/>
                <w:color w:val="auto"/>
                <w:sz w:val="24"/>
                <w:lang w:eastAsia="zh-CN"/>
              </w:rPr>
              <w:t>本项目</w:t>
            </w:r>
            <w:r>
              <w:rPr>
                <w:rFonts w:hint="eastAsia" w:eastAsia="仿宋_GB2312"/>
                <w:color w:val="auto"/>
                <w:sz w:val="24"/>
                <w:lang w:eastAsia="zh-CN"/>
              </w:rPr>
              <w:t>出租方</w:t>
            </w:r>
            <w:r>
              <w:rPr>
                <w:rFonts w:hint="default" w:eastAsia="仿宋_GB2312"/>
                <w:color w:val="auto"/>
                <w:sz w:val="24"/>
                <w:lang w:eastAsia="zh-CN"/>
              </w:rPr>
              <w:t>厂区平面布置</w:t>
            </w:r>
            <w:r>
              <w:rPr>
                <w:rFonts w:hint="eastAsia" w:eastAsia="仿宋_GB2312"/>
                <w:color w:val="auto"/>
                <w:sz w:val="24"/>
                <w:lang w:eastAsia="zh-CN"/>
              </w:rPr>
              <w:t>，见附图</w:t>
            </w:r>
            <w:r>
              <w:rPr>
                <w:rFonts w:hint="eastAsia" w:eastAsia="仿宋_GB2312"/>
                <w:color w:val="auto"/>
                <w:sz w:val="24"/>
                <w:lang w:val="en-US" w:eastAsia="zh-CN"/>
              </w:rPr>
              <w:t>4</w:t>
            </w:r>
            <w:r>
              <w:rPr>
                <w:rFonts w:hint="default" w:eastAsia="仿宋_GB2312"/>
                <w:color w:val="auto"/>
                <w:sz w:val="24"/>
                <w:lang w:eastAsia="zh-CN"/>
              </w:rPr>
              <w:t>，本项目车间平面布置示意图</w:t>
            </w:r>
            <w:r>
              <w:rPr>
                <w:rFonts w:hint="eastAsia" w:eastAsia="仿宋_GB2312"/>
                <w:color w:val="auto"/>
                <w:sz w:val="24"/>
                <w:lang w:eastAsia="zh-CN"/>
              </w:rPr>
              <w:t>（一层、二层），见附图</w:t>
            </w:r>
            <w:r>
              <w:rPr>
                <w:rFonts w:hint="eastAsia" w:eastAsia="仿宋_GB2312"/>
                <w:color w:val="auto"/>
                <w:sz w:val="24"/>
                <w:lang w:val="en-US" w:eastAsia="zh-CN"/>
              </w:rPr>
              <w:t>10-1和附图10-2。</w:t>
            </w:r>
          </w:p>
          <w:p w14:paraId="546BB260">
            <w:pPr>
              <w:pStyle w:val="197"/>
              <w:keepNext w:val="0"/>
              <w:keepLines w:val="0"/>
              <w:suppressLineNumbers w:val="0"/>
              <w:spacing w:before="0" w:beforeAutospacing="0" w:after="0" w:afterAutospacing="0" w:line="440" w:lineRule="exact"/>
              <w:ind w:left="0" w:right="0" w:firstLine="0" w:firstLineChars="0"/>
              <w:jc w:val="center"/>
              <w:rPr>
                <w:rFonts w:hint="default" w:hAnsi="Times New Roman" w:eastAsia="仿宋_GB2312"/>
                <w:color w:val="auto"/>
                <w:sz w:val="22"/>
                <w:szCs w:val="22"/>
                <w:highlight w:val="none"/>
              </w:rPr>
            </w:pPr>
            <w:bookmarkStart w:id="13" w:name="_Hlk138260100"/>
            <w:r>
              <w:rPr>
                <w:rFonts w:hint="default" w:hAnsi="Times New Roman" w:eastAsia="仿宋_GB2312"/>
                <w:b/>
                <w:color w:val="auto"/>
                <w:sz w:val="22"/>
                <w:szCs w:val="22"/>
                <w:highlight w:val="none"/>
              </w:rPr>
              <w:t>表2</w:t>
            </w:r>
            <w:r>
              <w:rPr>
                <w:rFonts w:hint="eastAsia" w:hAnsi="Times New Roman" w:eastAsia="仿宋_GB2312"/>
                <w:b/>
                <w:color w:val="auto"/>
                <w:sz w:val="22"/>
                <w:szCs w:val="22"/>
                <w:highlight w:val="none"/>
                <w:lang w:val="en-US" w:eastAsia="zh-CN"/>
              </w:rPr>
              <w:t>-6</w:t>
            </w:r>
            <w:r>
              <w:rPr>
                <w:rFonts w:hint="default" w:hAnsi="Times New Roman" w:eastAsia="仿宋_GB2312"/>
                <w:b/>
                <w:color w:val="auto"/>
                <w:sz w:val="22"/>
                <w:szCs w:val="22"/>
                <w:highlight w:val="none"/>
              </w:rPr>
              <w:t xml:space="preserve">  </w:t>
            </w:r>
            <w:r>
              <w:rPr>
                <w:rFonts w:hint="eastAsia" w:hAnsi="Times New Roman" w:eastAsia="仿宋_GB2312"/>
                <w:b/>
                <w:color w:val="auto"/>
                <w:sz w:val="22"/>
                <w:szCs w:val="22"/>
                <w:highlight w:val="none"/>
                <w:lang w:eastAsia="zh-CN"/>
              </w:rPr>
              <w:t>本项目</w:t>
            </w:r>
            <w:r>
              <w:rPr>
                <w:rFonts w:hint="default" w:hAnsi="Times New Roman" w:eastAsia="仿宋_GB2312"/>
                <w:b/>
                <w:color w:val="auto"/>
                <w:sz w:val="22"/>
                <w:szCs w:val="22"/>
                <w:highlight w:val="none"/>
              </w:rPr>
              <w:t>建构筑物一览表</w:t>
            </w:r>
          </w:p>
          <w:tbl>
            <w:tblPr>
              <w:tblStyle w:val="87"/>
              <w:tblW w:w="45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537"/>
              <w:gridCol w:w="1530"/>
              <w:gridCol w:w="1881"/>
              <w:gridCol w:w="889"/>
              <w:gridCol w:w="1570"/>
              <w:gridCol w:w="1656"/>
            </w:tblGrid>
            <w:tr w14:paraId="6267B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33" w:type="pct"/>
                  <w:tcBorders>
                    <w:tl2br w:val="nil"/>
                    <w:tr2bl w:val="nil"/>
                  </w:tcBorders>
                  <w:vAlign w:val="center"/>
                </w:tcPr>
                <w:p w14:paraId="158661EE">
                  <w:pPr>
                    <w:keepNext w:val="0"/>
                    <w:keepLines w:val="0"/>
                    <w:suppressLineNumbers w:val="0"/>
                    <w:spacing w:before="0" w:beforeAutospacing="0" w:after="0" w:afterAutospacing="0" w:line="320" w:lineRule="exact"/>
                    <w:ind w:left="0" w:right="0"/>
                    <w:jc w:val="center"/>
                    <w:rPr>
                      <w:rFonts w:hint="default" w:eastAsia="仿宋_GB2312"/>
                      <w:b/>
                      <w:bCs/>
                      <w:color w:val="auto"/>
                      <w:szCs w:val="21"/>
                      <w:highlight w:val="none"/>
                    </w:rPr>
                  </w:pPr>
                  <w:r>
                    <w:rPr>
                      <w:rFonts w:hint="default" w:eastAsia="仿宋_GB2312"/>
                      <w:b/>
                      <w:bCs/>
                      <w:color w:val="auto"/>
                      <w:szCs w:val="21"/>
                      <w:highlight w:val="none"/>
                    </w:rPr>
                    <w:t>序号</w:t>
                  </w:r>
                </w:p>
              </w:tc>
              <w:tc>
                <w:tcPr>
                  <w:tcW w:w="948" w:type="pct"/>
                  <w:tcBorders>
                    <w:tl2br w:val="nil"/>
                    <w:tr2bl w:val="nil"/>
                  </w:tcBorders>
                  <w:vAlign w:val="center"/>
                </w:tcPr>
                <w:p w14:paraId="30FF1DAD">
                  <w:pPr>
                    <w:keepNext w:val="0"/>
                    <w:keepLines w:val="0"/>
                    <w:suppressLineNumbers w:val="0"/>
                    <w:spacing w:before="0" w:beforeAutospacing="0" w:after="0" w:afterAutospacing="0" w:line="320" w:lineRule="exact"/>
                    <w:ind w:left="0" w:right="0"/>
                    <w:jc w:val="center"/>
                    <w:rPr>
                      <w:rFonts w:hint="default" w:eastAsia="仿宋_GB2312"/>
                      <w:b/>
                      <w:bCs/>
                      <w:color w:val="auto"/>
                      <w:szCs w:val="21"/>
                      <w:highlight w:val="none"/>
                    </w:rPr>
                  </w:pPr>
                  <w:r>
                    <w:rPr>
                      <w:rFonts w:hint="default" w:eastAsia="仿宋_GB2312"/>
                      <w:b/>
                      <w:bCs/>
                      <w:color w:val="auto"/>
                      <w:szCs w:val="21"/>
                      <w:highlight w:val="none"/>
                    </w:rPr>
                    <w:t>构筑物名称</w:t>
                  </w:r>
                </w:p>
              </w:tc>
              <w:tc>
                <w:tcPr>
                  <w:tcW w:w="1166" w:type="pct"/>
                  <w:tcBorders>
                    <w:tl2br w:val="nil"/>
                    <w:tr2bl w:val="nil"/>
                  </w:tcBorders>
                  <w:vAlign w:val="center"/>
                </w:tcPr>
                <w:p w14:paraId="0478FFC7">
                  <w:pPr>
                    <w:keepNext w:val="0"/>
                    <w:keepLines w:val="0"/>
                    <w:suppressLineNumbers w:val="0"/>
                    <w:spacing w:before="0" w:beforeAutospacing="0" w:after="0" w:afterAutospacing="0" w:line="320" w:lineRule="exact"/>
                    <w:ind w:left="0" w:right="0"/>
                    <w:jc w:val="center"/>
                    <w:rPr>
                      <w:rFonts w:hint="default" w:eastAsia="仿宋_GB2312"/>
                      <w:b/>
                      <w:bCs/>
                      <w:color w:val="auto"/>
                      <w:szCs w:val="21"/>
                      <w:highlight w:val="none"/>
                    </w:rPr>
                  </w:pPr>
                  <w:r>
                    <w:rPr>
                      <w:rFonts w:hint="default" w:eastAsia="仿宋_GB2312"/>
                      <w:b/>
                      <w:bCs/>
                      <w:color w:val="auto"/>
                      <w:szCs w:val="21"/>
                      <w:highlight w:val="none"/>
                    </w:rPr>
                    <w:t>占地面积（m</w:t>
                  </w:r>
                  <w:r>
                    <w:rPr>
                      <w:rFonts w:hint="default" w:eastAsia="仿宋_GB2312"/>
                      <w:b/>
                      <w:bCs/>
                      <w:color w:val="auto"/>
                      <w:szCs w:val="21"/>
                      <w:highlight w:val="none"/>
                      <w:vertAlign w:val="superscript"/>
                    </w:rPr>
                    <w:t>2</w:t>
                  </w:r>
                  <w:r>
                    <w:rPr>
                      <w:rFonts w:hint="default" w:eastAsia="仿宋_GB2312"/>
                      <w:b/>
                      <w:bCs/>
                      <w:color w:val="auto"/>
                      <w:szCs w:val="21"/>
                      <w:highlight w:val="none"/>
                    </w:rPr>
                    <w:t>）</w:t>
                  </w:r>
                </w:p>
              </w:tc>
              <w:tc>
                <w:tcPr>
                  <w:tcW w:w="551" w:type="pct"/>
                  <w:tcBorders>
                    <w:tl2br w:val="nil"/>
                    <w:tr2bl w:val="nil"/>
                  </w:tcBorders>
                  <w:vAlign w:val="center"/>
                </w:tcPr>
                <w:p w14:paraId="29532990">
                  <w:pPr>
                    <w:keepNext w:val="0"/>
                    <w:keepLines w:val="0"/>
                    <w:suppressLineNumbers w:val="0"/>
                    <w:spacing w:before="0" w:beforeAutospacing="0" w:after="0" w:afterAutospacing="0" w:line="320" w:lineRule="exact"/>
                    <w:ind w:left="0" w:right="0"/>
                    <w:jc w:val="center"/>
                    <w:rPr>
                      <w:rFonts w:hint="default" w:eastAsia="仿宋_GB2312"/>
                      <w:b/>
                      <w:bCs/>
                      <w:color w:val="auto"/>
                      <w:szCs w:val="21"/>
                      <w:highlight w:val="none"/>
                    </w:rPr>
                  </w:pPr>
                  <w:r>
                    <w:rPr>
                      <w:rFonts w:hint="default" w:eastAsia="仿宋_GB2312"/>
                      <w:b/>
                      <w:bCs/>
                      <w:color w:val="auto"/>
                      <w:szCs w:val="21"/>
                      <w:highlight w:val="none"/>
                    </w:rPr>
                    <w:t>层数</w:t>
                  </w:r>
                </w:p>
              </w:tc>
              <w:tc>
                <w:tcPr>
                  <w:tcW w:w="973" w:type="pct"/>
                  <w:tcBorders>
                    <w:tl2br w:val="nil"/>
                    <w:tr2bl w:val="nil"/>
                  </w:tcBorders>
                  <w:vAlign w:val="center"/>
                </w:tcPr>
                <w:p w14:paraId="226AC9DA">
                  <w:pPr>
                    <w:keepNext w:val="0"/>
                    <w:keepLines w:val="0"/>
                    <w:suppressLineNumbers w:val="0"/>
                    <w:spacing w:before="0" w:beforeAutospacing="0" w:after="0" w:afterAutospacing="0" w:line="320" w:lineRule="exact"/>
                    <w:ind w:left="0" w:right="0"/>
                    <w:jc w:val="center"/>
                    <w:rPr>
                      <w:rFonts w:hint="default" w:eastAsia="仿宋_GB2312"/>
                      <w:b/>
                      <w:bCs/>
                      <w:color w:val="auto"/>
                      <w:szCs w:val="21"/>
                      <w:highlight w:val="none"/>
                    </w:rPr>
                  </w:pPr>
                  <w:r>
                    <w:rPr>
                      <w:rFonts w:hint="default" w:eastAsia="仿宋_GB2312"/>
                      <w:b/>
                      <w:bCs/>
                      <w:color w:val="auto"/>
                      <w:szCs w:val="21"/>
                      <w:highlight w:val="none"/>
                    </w:rPr>
                    <w:t>耐火等级</w:t>
                  </w:r>
                </w:p>
              </w:tc>
              <w:tc>
                <w:tcPr>
                  <w:tcW w:w="1026" w:type="pct"/>
                  <w:tcBorders>
                    <w:tl2br w:val="nil"/>
                    <w:tr2bl w:val="nil"/>
                  </w:tcBorders>
                  <w:vAlign w:val="center"/>
                </w:tcPr>
                <w:p w14:paraId="3C495153">
                  <w:pPr>
                    <w:keepNext w:val="0"/>
                    <w:keepLines w:val="0"/>
                    <w:suppressLineNumbers w:val="0"/>
                    <w:spacing w:before="0" w:beforeAutospacing="0" w:after="0" w:afterAutospacing="0" w:line="320" w:lineRule="exact"/>
                    <w:ind w:left="0" w:right="0"/>
                    <w:jc w:val="center"/>
                    <w:rPr>
                      <w:rFonts w:hint="default" w:eastAsia="仿宋_GB2312"/>
                      <w:b/>
                      <w:bCs/>
                      <w:color w:val="auto"/>
                      <w:szCs w:val="21"/>
                      <w:highlight w:val="none"/>
                    </w:rPr>
                  </w:pPr>
                  <w:r>
                    <w:rPr>
                      <w:rFonts w:hint="default" w:eastAsia="仿宋_GB2312"/>
                      <w:b/>
                      <w:bCs/>
                      <w:color w:val="auto"/>
                      <w:szCs w:val="21"/>
                      <w:highlight w:val="none"/>
                    </w:rPr>
                    <w:t>备注</w:t>
                  </w:r>
                </w:p>
              </w:tc>
            </w:tr>
            <w:tr w14:paraId="62251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33" w:type="pct"/>
                  <w:tcBorders>
                    <w:tl2br w:val="nil"/>
                    <w:tr2bl w:val="nil"/>
                  </w:tcBorders>
                  <w:vAlign w:val="center"/>
                </w:tcPr>
                <w:p w14:paraId="6AE2B599">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default" w:eastAsia="仿宋_GB2312"/>
                      <w:color w:val="auto"/>
                      <w:szCs w:val="21"/>
                      <w:highlight w:val="none"/>
                    </w:rPr>
                    <w:t>1</w:t>
                  </w:r>
                </w:p>
              </w:tc>
              <w:tc>
                <w:tcPr>
                  <w:tcW w:w="948" w:type="pct"/>
                  <w:tcBorders>
                    <w:tl2br w:val="nil"/>
                    <w:tr2bl w:val="nil"/>
                  </w:tcBorders>
                  <w:vAlign w:val="center"/>
                </w:tcPr>
                <w:p w14:paraId="61D31B99">
                  <w:pPr>
                    <w:pStyle w:val="36"/>
                    <w:keepNext w:val="0"/>
                    <w:keepLines w:val="0"/>
                    <w:suppressLineNumbers w:val="0"/>
                    <w:spacing w:before="0" w:beforeAutospacing="0" w:after="0" w:afterAutospacing="0" w:line="320" w:lineRule="exact"/>
                    <w:ind w:left="0" w:leftChars="0" w:right="0"/>
                    <w:jc w:val="center"/>
                    <w:rPr>
                      <w:rFonts w:hint="eastAsia" w:eastAsia="仿宋_GB2312"/>
                      <w:color w:val="auto"/>
                      <w:sz w:val="21"/>
                      <w:szCs w:val="21"/>
                      <w:highlight w:val="none"/>
                      <w:lang w:eastAsia="zh-CN"/>
                    </w:rPr>
                  </w:pPr>
                  <w:r>
                    <w:rPr>
                      <w:rFonts w:hint="default" w:eastAsia="仿宋_GB2312"/>
                      <w:color w:val="auto"/>
                      <w:sz w:val="21"/>
                      <w:szCs w:val="21"/>
                      <w:highlight w:val="none"/>
                    </w:rPr>
                    <w:t>生产</w:t>
                  </w:r>
                  <w:r>
                    <w:rPr>
                      <w:rFonts w:hint="eastAsia" w:eastAsia="仿宋_GB2312"/>
                      <w:color w:val="auto"/>
                      <w:sz w:val="21"/>
                      <w:szCs w:val="21"/>
                      <w:highlight w:val="none"/>
                      <w:lang w:eastAsia="zh-CN"/>
                    </w:rPr>
                    <w:t>厂房</w:t>
                  </w:r>
                </w:p>
              </w:tc>
              <w:tc>
                <w:tcPr>
                  <w:tcW w:w="1166" w:type="pct"/>
                  <w:tcBorders>
                    <w:tl2br w:val="nil"/>
                    <w:tr2bl w:val="nil"/>
                  </w:tcBorders>
                  <w:vAlign w:val="center"/>
                </w:tcPr>
                <w:p w14:paraId="7A1E2097">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2398.48</w:t>
                  </w:r>
                </w:p>
              </w:tc>
              <w:tc>
                <w:tcPr>
                  <w:tcW w:w="551" w:type="pct"/>
                  <w:tcBorders>
                    <w:tl2br w:val="nil"/>
                    <w:tr2bl w:val="nil"/>
                  </w:tcBorders>
                  <w:vAlign w:val="center"/>
                </w:tcPr>
                <w:p w14:paraId="4629E600">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eastAsia" w:eastAsia="仿宋_GB2312"/>
                      <w:color w:val="auto"/>
                      <w:szCs w:val="21"/>
                      <w:highlight w:val="none"/>
                      <w:lang w:val="en-US" w:eastAsia="zh-CN"/>
                    </w:rPr>
                    <w:t>2</w:t>
                  </w:r>
                  <w:r>
                    <w:rPr>
                      <w:rFonts w:hint="default" w:eastAsia="仿宋_GB2312"/>
                      <w:color w:val="auto"/>
                      <w:szCs w:val="21"/>
                      <w:highlight w:val="none"/>
                    </w:rPr>
                    <w:t>层</w:t>
                  </w:r>
                </w:p>
              </w:tc>
              <w:tc>
                <w:tcPr>
                  <w:tcW w:w="973" w:type="pct"/>
                  <w:tcBorders>
                    <w:tl2br w:val="nil"/>
                    <w:tr2bl w:val="nil"/>
                  </w:tcBorders>
                  <w:vAlign w:val="center"/>
                </w:tcPr>
                <w:p w14:paraId="6838DBF6">
                  <w:pPr>
                    <w:keepNext w:val="0"/>
                    <w:keepLines w:val="0"/>
                    <w:suppressLineNumbers w:val="0"/>
                    <w:spacing w:before="0" w:beforeAutospacing="0" w:after="0" w:afterAutospacing="0" w:line="320" w:lineRule="exact"/>
                    <w:ind w:left="0" w:right="0"/>
                    <w:jc w:val="center"/>
                    <w:rPr>
                      <w:rFonts w:hint="default" w:eastAsia="仿宋_GB2312"/>
                      <w:color w:val="auto"/>
                      <w:szCs w:val="21"/>
                      <w:highlight w:val="none"/>
                    </w:rPr>
                  </w:pPr>
                  <w:r>
                    <w:rPr>
                      <w:rFonts w:hint="default" w:eastAsia="仿宋_GB2312"/>
                      <w:color w:val="auto"/>
                      <w:szCs w:val="21"/>
                      <w:highlight w:val="none"/>
                    </w:rPr>
                    <w:t>一级</w:t>
                  </w:r>
                </w:p>
              </w:tc>
              <w:tc>
                <w:tcPr>
                  <w:tcW w:w="1026" w:type="pct"/>
                  <w:tcBorders>
                    <w:tl2br w:val="nil"/>
                    <w:tr2bl w:val="nil"/>
                  </w:tcBorders>
                  <w:vAlign w:val="center"/>
                </w:tcPr>
                <w:p w14:paraId="6360F708">
                  <w:pPr>
                    <w:keepNext w:val="0"/>
                    <w:keepLines w:val="0"/>
                    <w:suppressLineNumbers w:val="0"/>
                    <w:spacing w:before="0" w:beforeAutospacing="0" w:after="0" w:afterAutospacing="0" w:line="320" w:lineRule="exact"/>
                    <w:ind w:left="0" w:right="0"/>
                    <w:jc w:val="center"/>
                    <w:rPr>
                      <w:rFonts w:hint="eastAsia" w:eastAsia="仿宋_GB2312"/>
                      <w:color w:val="auto"/>
                      <w:szCs w:val="21"/>
                      <w:highlight w:val="none"/>
                      <w:lang w:eastAsia="zh-CN"/>
                    </w:rPr>
                  </w:pPr>
                  <w:r>
                    <w:rPr>
                      <w:rFonts w:hint="eastAsia" w:eastAsia="仿宋_GB2312"/>
                      <w:color w:val="auto"/>
                      <w:szCs w:val="21"/>
                      <w:highlight w:val="none"/>
                      <w:lang w:val="en-US" w:eastAsia="zh-CN"/>
                    </w:rPr>
                    <w:t>/</w:t>
                  </w:r>
                </w:p>
              </w:tc>
            </w:tr>
            <w:bookmarkEnd w:id="13"/>
          </w:tbl>
          <w:p w14:paraId="7844AB9C">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r>
              <w:rPr>
                <w:rFonts w:hint="eastAsia" w:eastAsia="仿宋_GB2312"/>
                <w:b/>
                <w:color w:val="auto"/>
                <w:sz w:val="24"/>
                <w:lang w:val="en-US" w:eastAsia="zh-CN"/>
              </w:rPr>
              <w:t>8</w:t>
            </w:r>
            <w:r>
              <w:rPr>
                <w:rFonts w:hint="default" w:eastAsia="仿宋_GB2312"/>
                <w:b/>
                <w:color w:val="auto"/>
                <w:sz w:val="24"/>
              </w:rPr>
              <w:t>、周围土地利用现状</w:t>
            </w:r>
          </w:p>
          <w:p w14:paraId="4610F8A2">
            <w:pPr>
              <w:keepNext w:val="0"/>
              <w:keepLines w:val="0"/>
              <w:suppressLineNumbers w:val="0"/>
              <w:spacing w:before="0" w:beforeAutospacing="0" w:after="0" w:afterAutospacing="0" w:line="500" w:lineRule="exact"/>
              <w:ind w:left="0" w:right="0" w:firstLine="480" w:firstLineChars="200"/>
              <w:rPr>
                <w:rFonts w:hint="default" w:eastAsia="仿宋_GB2312"/>
                <w:b/>
                <w:bCs/>
                <w:color w:val="auto"/>
                <w:sz w:val="24"/>
              </w:rPr>
            </w:pPr>
            <w:r>
              <w:rPr>
                <w:rFonts w:hint="default" w:eastAsia="仿宋_GB2312"/>
                <w:color w:val="auto"/>
                <w:sz w:val="24"/>
              </w:rPr>
              <w:t>本项目租赁金坛区金城镇西城路118号的厂房。本项目</w:t>
            </w:r>
            <w:r>
              <w:rPr>
                <w:rFonts w:hint="eastAsia" w:eastAsia="仿宋_GB2312"/>
                <w:color w:val="auto"/>
                <w:sz w:val="24"/>
                <w:lang w:eastAsia="zh-CN"/>
              </w:rPr>
              <w:t>出租方</w:t>
            </w:r>
            <w:r>
              <w:rPr>
                <w:rFonts w:hint="default" w:eastAsia="仿宋_GB2312"/>
                <w:color w:val="auto"/>
                <w:sz w:val="24"/>
              </w:rPr>
              <w:t>东侧为空地；南侧为良常路，隔路为元巷村；西侧为西城路，隔路为江苏德尔贝电气公司、澜瑞服饰、昊洋服饰和金军动力机械；北侧为空地。</w:t>
            </w:r>
            <w:r>
              <w:rPr>
                <w:rFonts w:hint="default" w:eastAsia="仿宋_GB2312"/>
                <w:b/>
                <w:bCs/>
                <w:color w:val="auto"/>
                <w:sz w:val="24"/>
              </w:rPr>
              <w:t>周边500米范围土地利用现状示意图见附图2。</w:t>
            </w:r>
          </w:p>
          <w:p w14:paraId="4FEBA927">
            <w:pPr>
              <w:keepNext w:val="0"/>
              <w:keepLines w:val="0"/>
              <w:suppressLineNumbers w:val="0"/>
              <w:spacing w:before="0" w:beforeAutospacing="0" w:after="0" w:afterAutospacing="0" w:line="500" w:lineRule="exact"/>
              <w:ind w:left="0" w:right="0" w:firstLine="482" w:firstLineChars="200"/>
              <w:rPr>
                <w:rFonts w:hint="eastAsia" w:eastAsia="仿宋_GB2312"/>
                <w:color w:val="auto"/>
                <w:sz w:val="24"/>
                <w:lang w:eastAsia="zh-CN"/>
              </w:rPr>
            </w:pPr>
            <w:r>
              <w:rPr>
                <w:rFonts w:hint="default" w:eastAsia="仿宋_GB2312"/>
                <w:b/>
                <w:bCs/>
                <w:color w:val="auto"/>
                <w:sz w:val="24"/>
              </w:rPr>
              <w:t>四、生产设备</w:t>
            </w:r>
            <w:r>
              <w:rPr>
                <w:rFonts w:hint="eastAsia" w:eastAsia="仿宋_GB2312"/>
                <w:b/>
                <w:bCs/>
                <w:color w:val="auto"/>
                <w:sz w:val="24"/>
                <w:lang w:eastAsia="zh-CN"/>
              </w:rPr>
              <w:t>及产能设备匹配性分析</w:t>
            </w:r>
          </w:p>
          <w:p w14:paraId="492AF3CE">
            <w:pPr>
              <w:keepNext w:val="0"/>
              <w:keepLines w:val="0"/>
              <w:suppressLineNumbers w:val="0"/>
              <w:spacing w:before="0" w:beforeAutospacing="0" w:after="0" w:afterAutospacing="0" w:line="500" w:lineRule="exact"/>
              <w:ind w:left="0" w:right="0" w:firstLine="480" w:firstLineChars="200"/>
              <w:rPr>
                <w:rFonts w:hint="default" w:eastAsia="仿宋_GB2312"/>
                <w:b/>
                <w:color w:val="auto"/>
                <w:kern w:val="0"/>
                <w:sz w:val="22"/>
                <w:szCs w:val="22"/>
              </w:rPr>
            </w:pPr>
            <w:r>
              <w:rPr>
                <w:rFonts w:hint="default" w:eastAsia="仿宋_GB2312"/>
                <w:color w:val="auto"/>
                <w:sz w:val="24"/>
              </w:rPr>
              <w:t>本项目主要生产设备如下表所示。</w:t>
            </w:r>
          </w:p>
          <w:p w14:paraId="3913FDF0">
            <w:pPr>
              <w:keepNext w:val="0"/>
              <w:keepLines w:val="0"/>
              <w:suppressLineNumbers w:val="0"/>
              <w:spacing w:before="0" w:beforeAutospacing="0" w:after="0" w:afterAutospacing="0" w:line="500" w:lineRule="exact"/>
              <w:ind w:left="0" w:right="0"/>
              <w:jc w:val="center"/>
              <w:rPr>
                <w:rFonts w:hint="default" w:eastAsia="仿宋_GB2312"/>
                <w:b/>
                <w:color w:val="auto"/>
                <w:kern w:val="0"/>
                <w:sz w:val="22"/>
                <w:szCs w:val="22"/>
                <w:highlight w:val="none"/>
              </w:rPr>
            </w:pPr>
            <w:r>
              <w:rPr>
                <w:rFonts w:hint="default" w:eastAsia="仿宋_GB2312"/>
                <w:b/>
                <w:color w:val="auto"/>
                <w:kern w:val="0"/>
                <w:sz w:val="22"/>
                <w:szCs w:val="22"/>
                <w:highlight w:val="none"/>
              </w:rPr>
              <w:t>表2-7  本项目主要生产设备汇总表</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638"/>
              <w:gridCol w:w="943"/>
              <w:gridCol w:w="850"/>
              <w:gridCol w:w="1701"/>
              <w:gridCol w:w="993"/>
              <w:gridCol w:w="850"/>
              <w:gridCol w:w="992"/>
              <w:gridCol w:w="993"/>
            </w:tblGrid>
            <w:tr w14:paraId="470902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69" w:hRule="atLeast"/>
                <w:jc w:val="center"/>
              </w:trPr>
              <w:tc>
                <w:tcPr>
                  <w:tcW w:w="638" w:type="dxa"/>
                  <w:vMerge w:val="restart"/>
                  <w:shd w:val="clear" w:color="000000" w:fill="FFFFFF"/>
                  <w:vAlign w:val="center"/>
                </w:tcPr>
                <w:p w14:paraId="32D9607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位置</w:t>
                  </w:r>
                </w:p>
              </w:tc>
              <w:tc>
                <w:tcPr>
                  <w:tcW w:w="1793" w:type="dxa"/>
                  <w:gridSpan w:val="2"/>
                  <w:vMerge w:val="restart"/>
                  <w:shd w:val="clear" w:color="000000" w:fill="FFFFFF"/>
                  <w:noWrap/>
                  <w:vAlign w:val="center"/>
                </w:tcPr>
                <w:p w14:paraId="60DC5D9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设备名称</w:t>
                  </w:r>
                </w:p>
              </w:tc>
              <w:tc>
                <w:tcPr>
                  <w:tcW w:w="1701" w:type="dxa"/>
                  <w:vMerge w:val="restart"/>
                  <w:shd w:val="clear" w:color="000000" w:fill="FFFFFF"/>
                  <w:noWrap/>
                  <w:vAlign w:val="center"/>
                </w:tcPr>
                <w:p w14:paraId="17D1883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规格型号</w:t>
                  </w:r>
                </w:p>
              </w:tc>
              <w:tc>
                <w:tcPr>
                  <w:tcW w:w="993" w:type="dxa"/>
                  <w:vMerge w:val="restart"/>
                  <w:shd w:val="clear" w:color="000000" w:fill="FFFFFF"/>
                  <w:vAlign w:val="center"/>
                </w:tcPr>
                <w:p w14:paraId="7C1417D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材质</w:t>
                  </w:r>
                </w:p>
              </w:tc>
              <w:tc>
                <w:tcPr>
                  <w:tcW w:w="1842" w:type="dxa"/>
                  <w:gridSpan w:val="2"/>
                  <w:shd w:val="clear" w:color="000000" w:fill="FFFFFF"/>
                  <w:vAlign w:val="center"/>
                </w:tcPr>
                <w:p w14:paraId="50A3C36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操作参数</w:t>
                  </w:r>
                </w:p>
              </w:tc>
              <w:tc>
                <w:tcPr>
                  <w:tcW w:w="993" w:type="dxa"/>
                  <w:vMerge w:val="restart"/>
                  <w:shd w:val="clear" w:color="000000" w:fill="FFFFFF"/>
                  <w:vAlign w:val="center"/>
                </w:tcPr>
                <w:p w14:paraId="71B527C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数量</w:t>
                  </w:r>
                </w:p>
                <w:p w14:paraId="1397730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（台/套）</w:t>
                  </w:r>
                </w:p>
              </w:tc>
            </w:tr>
            <w:tr w14:paraId="635E5A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68" w:hRule="atLeast"/>
                <w:jc w:val="center"/>
              </w:trPr>
              <w:tc>
                <w:tcPr>
                  <w:tcW w:w="638" w:type="dxa"/>
                  <w:vMerge w:val="continue"/>
                  <w:shd w:val="clear" w:color="000000" w:fill="FFFFFF"/>
                  <w:vAlign w:val="center"/>
                </w:tcPr>
                <w:p w14:paraId="047068E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p>
              </w:tc>
              <w:tc>
                <w:tcPr>
                  <w:tcW w:w="1793" w:type="dxa"/>
                  <w:gridSpan w:val="2"/>
                  <w:vMerge w:val="continue"/>
                  <w:shd w:val="clear" w:color="000000" w:fill="FFFFFF"/>
                  <w:noWrap/>
                  <w:vAlign w:val="center"/>
                </w:tcPr>
                <w:p w14:paraId="67E3299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p>
              </w:tc>
              <w:tc>
                <w:tcPr>
                  <w:tcW w:w="1701" w:type="dxa"/>
                  <w:vMerge w:val="continue"/>
                  <w:shd w:val="clear" w:color="000000" w:fill="FFFFFF"/>
                  <w:noWrap/>
                  <w:vAlign w:val="center"/>
                </w:tcPr>
                <w:p w14:paraId="40B95C0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p>
              </w:tc>
              <w:tc>
                <w:tcPr>
                  <w:tcW w:w="993" w:type="dxa"/>
                  <w:vMerge w:val="continue"/>
                  <w:shd w:val="clear" w:color="000000" w:fill="FFFFFF"/>
                  <w:vAlign w:val="center"/>
                </w:tcPr>
                <w:p w14:paraId="4652067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p>
              </w:tc>
              <w:tc>
                <w:tcPr>
                  <w:tcW w:w="850" w:type="dxa"/>
                  <w:shd w:val="clear" w:color="000000" w:fill="FFFFFF"/>
                  <w:vAlign w:val="center"/>
                </w:tcPr>
                <w:p w14:paraId="454363A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温度</w:t>
                  </w:r>
                </w:p>
                <w:p w14:paraId="5FDD22B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w:t>
                  </w:r>
                </w:p>
              </w:tc>
              <w:tc>
                <w:tcPr>
                  <w:tcW w:w="992" w:type="dxa"/>
                  <w:shd w:val="clear" w:color="000000" w:fill="FFFFFF"/>
                  <w:vAlign w:val="center"/>
                </w:tcPr>
                <w:p w14:paraId="3B26995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压力</w:t>
                  </w:r>
                </w:p>
                <w:p w14:paraId="06E9782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（MPa）</w:t>
                  </w:r>
                </w:p>
              </w:tc>
              <w:tc>
                <w:tcPr>
                  <w:tcW w:w="993" w:type="dxa"/>
                  <w:vMerge w:val="continue"/>
                  <w:shd w:val="clear" w:color="000000" w:fill="FFFFFF"/>
                  <w:vAlign w:val="center"/>
                </w:tcPr>
                <w:p w14:paraId="4787408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szCs w:val="21"/>
                    </w:rPr>
                  </w:pPr>
                </w:p>
              </w:tc>
            </w:tr>
            <w:tr w14:paraId="30A31C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restart"/>
                  <w:shd w:val="clear" w:color="000000" w:fill="FFFFFF"/>
                  <w:vAlign w:val="center"/>
                </w:tcPr>
                <w:p w14:paraId="4836E64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厂房一层</w:t>
                  </w:r>
                </w:p>
              </w:tc>
              <w:tc>
                <w:tcPr>
                  <w:tcW w:w="1793" w:type="dxa"/>
                  <w:gridSpan w:val="2"/>
                  <w:shd w:val="clear" w:color="000000" w:fill="FFFFFF"/>
                  <w:noWrap/>
                  <w:vAlign w:val="center"/>
                </w:tcPr>
                <w:p w14:paraId="7A66CC0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电子秤</w:t>
                  </w:r>
                </w:p>
              </w:tc>
              <w:tc>
                <w:tcPr>
                  <w:tcW w:w="1701" w:type="dxa"/>
                  <w:shd w:val="clear" w:color="000000" w:fill="FFFFFF"/>
                  <w:noWrap/>
                  <w:vAlign w:val="center"/>
                </w:tcPr>
                <w:p w14:paraId="4722387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w:t>
                  </w:r>
                </w:p>
              </w:tc>
              <w:tc>
                <w:tcPr>
                  <w:tcW w:w="993" w:type="dxa"/>
                  <w:shd w:val="clear" w:color="000000" w:fill="FFFFFF"/>
                  <w:vAlign w:val="center"/>
                </w:tcPr>
                <w:p w14:paraId="708C9A5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0D2E7FD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2599F80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008DA05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1</w:t>
                  </w:r>
                </w:p>
              </w:tc>
            </w:tr>
            <w:tr w14:paraId="73997F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6EE7BE1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p>
              </w:tc>
              <w:tc>
                <w:tcPr>
                  <w:tcW w:w="1793" w:type="dxa"/>
                  <w:gridSpan w:val="2"/>
                  <w:shd w:val="clear" w:color="000000" w:fill="FFFFFF"/>
                  <w:noWrap/>
                  <w:vAlign w:val="center"/>
                </w:tcPr>
                <w:p w14:paraId="2D5DBCB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负压称量罩</w:t>
                  </w:r>
                </w:p>
              </w:tc>
              <w:tc>
                <w:tcPr>
                  <w:tcW w:w="1701" w:type="dxa"/>
                  <w:shd w:val="clear" w:color="000000" w:fill="FFFFFF"/>
                  <w:noWrap/>
                  <w:vAlign w:val="center"/>
                </w:tcPr>
                <w:p w14:paraId="6516746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w:t>
                  </w:r>
                </w:p>
              </w:tc>
              <w:tc>
                <w:tcPr>
                  <w:tcW w:w="993" w:type="dxa"/>
                  <w:shd w:val="clear" w:color="000000" w:fill="FFFFFF"/>
                  <w:vAlign w:val="center"/>
                </w:tcPr>
                <w:p w14:paraId="6917A01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1B966AB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4D8A80A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-0.000025</w:t>
                  </w:r>
                </w:p>
              </w:tc>
              <w:tc>
                <w:tcPr>
                  <w:tcW w:w="993" w:type="dxa"/>
                  <w:shd w:val="clear" w:color="000000" w:fill="FFFFFF"/>
                  <w:vAlign w:val="center"/>
                </w:tcPr>
                <w:p w14:paraId="30E56EE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1</w:t>
                  </w:r>
                </w:p>
              </w:tc>
            </w:tr>
            <w:tr w14:paraId="66A4B1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4152335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65AE2A2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种子罐</w:t>
                  </w:r>
                </w:p>
              </w:tc>
              <w:tc>
                <w:tcPr>
                  <w:tcW w:w="1701" w:type="dxa"/>
                  <w:shd w:val="clear" w:color="000000" w:fill="FFFFFF"/>
                  <w:noWrap/>
                  <w:vAlign w:val="center"/>
                </w:tcPr>
                <w:p w14:paraId="51B665B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 L</w:t>
                  </w:r>
                </w:p>
              </w:tc>
              <w:tc>
                <w:tcPr>
                  <w:tcW w:w="993" w:type="dxa"/>
                  <w:shd w:val="clear" w:color="000000" w:fill="FFFFFF"/>
                  <w:vAlign w:val="center"/>
                </w:tcPr>
                <w:p w14:paraId="3F642BA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2F81B28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3466FF6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14597BD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r>
            <w:tr w14:paraId="133DCD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0C92F19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5C93B12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种子罐</w:t>
                  </w:r>
                </w:p>
              </w:tc>
              <w:tc>
                <w:tcPr>
                  <w:tcW w:w="1701" w:type="dxa"/>
                  <w:shd w:val="clear" w:color="000000" w:fill="FFFFFF"/>
                  <w:noWrap/>
                  <w:vAlign w:val="center"/>
                </w:tcPr>
                <w:p w14:paraId="46E917B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100L</w:t>
                  </w:r>
                </w:p>
              </w:tc>
              <w:tc>
                <w:tcPr>
                  <w:tcW w:w="993" w:type="dxa"/>
                  <w:shd w:val="clear" w:color="000000" w:fill="FFFFFF"/>
                  <w:vAlign w:val="center"/>
                </w:tcPr>
                <w:p w14:paraId="76A5F5C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2274EE7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516305B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18568CF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r>
            <w:tr w14:paraId="3DD96E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17A666C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37D51F3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发酵罐</w:t>
                  </w:r>
                </w:p>
              </w:tc>
              <w:tc>
                <w:tcPr>
                  <w:tcW w:w="1701" w:type="dxa"/>
                  <w:shd w:val="clear" w:color="000000" w:fill="FFFFFF"/>
                  <w:noWrap/>
                  <w:vAlign w:val="center"/>
                </w:tcPr>
                <w:p w14:paraId="75EDFF1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1000L</w:t>
                  </w:r>
                </w:p>
              </w:tc>
              <w:tc>
                <w:tcPr>
                  <w:tcW w:w="993" w:type="dxa"/>
                  <w:shd w:val="clear" w:color="000000" w:fill="FFFFFF"/>
                  <w:vAlign w:val="center"/>
                </w:tcPr>
                <w:p w14:paraId="0FE6EC3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5CE340D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3D9DA6E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5E1BF76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23152E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67839BF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3C79688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补料罐</w:t>
                  </w:r>
                </w:p>
              </w:tc>
              <w:tc>
                <w:tcPr>
                  <w:tcW w:w="1701" w:type="dxa"/>
                  <w:shd w:val="clear" w:color="000000" w:fill="FFFFFF"/>
                  <w:noWrap/>
                  <w:vAlign w:val="center"/>
                </w:tcPr>
                <w:p w14:paraId="12574DA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 L</w:t>
                  </w:r>
                </w:p>
              </w:tc>
              <w:tc>
                <w:tcPr>
                  <w:tcW w:w="993" w:type="dxa"/>
                  <w:shd w:val="clear" w:color="000000" w:fill="FFFFFF"/>
                  <w:vAlign w:val="center"/>
                </w:tcPr>
                <w:p w14:paraId="59F4B25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42AF1BD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1F562A3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434409C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0841D3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05A1B2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4EAAAB7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酸碱平衡罐</w:t>
                  </w:r>
                </w:p>
              </w:tc>
              <w:tc>
                <w:tcPr>
                  <w:tcW w:w="1701" w:type="dxa"/>
                  <w:shd w:val="clear" w:color="000000" w:fill="FFFFFF"/>
                  <w:noWrap/>
                  <w:vAlign w:val="center"/>
                </w:tcPr>
                <w:p w14:paraId="351DF87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 L</w:t>
                  </w:r>
                </w:p>
              </w:tc>
              <w:tc>
                <w:tcPr>
                  <w:tcW w:w="993" w:type="dxa"/>
                  <w:shd w:val="clear" w:color="000000" w:fill="FFFFFF"/>
                  <w:vAlign w:val="center"/>
                </w:tcPr>
                <w:p w14:paraId="30239F0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44ACF29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7693694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4A8DEE1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14CB83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40B1815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01048BB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消泡灌</w:t>
                  </w:r>
                </w:p>
              </w:tc>
              <w:tc>
                <w:tcPr>
                  <w:tcW w:w="1701" w:type="dxa"/>
                  <w:shd w:val="clear" w:color="000000" w:fill="FFFFFF"/>
                  <w:noWrap/>
                  <w:vAlign w:val="center"/>
                </w:tcPr>
                <w:p w14:paraId="76A9ACE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 L</w:t>
                  </w:r>
                </w:p>
              </w:tc>
              <w:tc>
                <w:tcPr>
                  <w:tcW w:w="993" w:type="dxa"/>
                  <w:shd w:val="clear" w:color="000000" w:fill="FFFFFF"/>
                  <w:vAlign w:val="center"/>
                </w:tcPr>
                <w:p w14:paraId="2B31963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5099C88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34F411F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20AAAD0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604AA2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5B10AC7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bookmarkStart w:id="14" w:name="_Hlk186455160"/>
                </w:p>
              </w:tc>
              <w:tc>
                <w:tcPr>
                  <w:tcW w:w="1793" w:type="dxa"/>
                  <w:gridSpan w:val="2"/>
                  <w:shd w:val="clear" w:color="000000" w:fill="FFFFFF"/>
                  <w:noWrap/>
                  <w:vAlign w:val="center"/>
                </w:tcPr>
                <w:p w14:paraId="01B6709D">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ascii="Times New Roman" w:hAnsi="Times New Roman" w:eastAsia="仿宋_GB2312" w:cs="Times New Roman"/>
                      <w:color w:val="auto"/>
                      <w:kern w:val="0"/>
                      <w:sz w:val="21"/>
                    </w:rPr>
                    <w:t>奥斯陆结晶器</w:t>
                  </w:r>
                </w:p>
              </w:tc>
              <w:tc>
                <w:tcPr>
                  <w:tcW w:w="1701" w:type="dxa"/>
                  <w:shd w:val="clear" w:color="000000" w:fill="FFFFFF"/>
                  <w:noWrap/>
                  <w:vAlign w:val="center"/>
                </w:tcPr>
                <w:p w14:paraId="626E2C3A">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ascii="Times New Roman" w:hAnsi="Times New Roman" w:eastAsia="仿宋_GB2312" w:cs="Times New Roman"/>
                      <w:color w:val="auto"/>
                      <w:kern w:val="0"/>
                      <w:sz w:val="21"/>
                    </w:rPr>
                    <w:t>20L/H</w:t>
                  </w:r>
                </w:p>
              </w:tc>
              <w:tc>
                <w:tcPr>
                  <w:tcW w:w="993" w:type="dxa"/>
                  <w:shd w:val="clear" w:color="000000" w:fill="FFFFFF"/>
                  <w:vAlign w:val="center"/>
                </w:tcPr>
                <w:p w14:paraId="77DF9439">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不锈钢</w:t>
                  </w:r>
                </w:p>
              </w:tc>
              <w:tc>
                <w:tcPr>
                  <w:tcW w:w="850" w:type="dxa"/>
                  <w:shd w:val="clear" w:color="000000" w:fill="FFFFFF"/>
                  <w:vAlign w:val="center"/>
                </w:tcPr>
                <w:p w14:paraId="714F4F5E">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常温</w:t>
                  </w:r>
                </w:p>
              </w:tc>
              <w:tc>
                <w:tcPr>
                  <w:tcW w:w="992" w:type="dxa"/>
                  <w:shd w:val="clear" w:color="000000" w:fill="FFFFFF"/>
                  <w:vAlign w:val="center"/>
                </w:tcPr>
                <w:p w14:paraId="5D779C9C">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常压</w:t>
                  </w:r>
                </w:p>
              </w:tc>
              <w:tc>
                <w:tcPr>
                  <w:tcW w:w="993" w:type="dxa"/>
                  <w:shd w:val="clear" w:color="000000" w:fill="FFFFFF"/>
                  <w:vAlign w:val="center"/>
                </w:tcPr>
                <w:p w14:paraId="36BE6417">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1</w:t>
                  </w:r>
                </w:p>
              </w:tc>
            </w:tr>
            <w:tr w14:paraId="11A5B1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12C9814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6839C2E5">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ascii="Times New Roman" w:hAnsi="Times New Roman" w:eastAsia="仿宋_GB2312" w:cs="Times New Roman"/>
                      <w:color w:val="auto"/>
                      <w:kern w:val="0"/>
                      <w:sz w:val="21"/>
                    </w:rPr>
                    <w:t>碟式离心机</w:t>
                  </w:r>
                </w:p>
              </w:tc>
              <w:tc>
                <w:tcPr>
                  <w:tcW w:w="1701" w:type="dxa"/>
                  <w:shd w:val="clear" w:color="000000" w:fill="FFFFFF"/>
                  <w:noWrap/>
                  <w:vAlign w:val="center"/>
                </w:tcPr>
                <w:p w14:paraId="44365D69">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ascii="Times New Roman" w:hAnsi="Times New Roman" w:eastAsia="仿宋_GB2312" w:cs="Times New Roman"/>
                      <w:color w:val="auto"/>
                      <w:kern w:val="0"/>
                      <w:sz w:val="21"/>
                    </w:rPr>
                    <w:t>DQB260</w:t>
                  </w:r>
                </w:p>
              </w:tc>
              <w:tc>
                <w:tcPr>
                  <w:tcW w:w="993" w:type="dxa"/>
                  <w:shd w:val="clear" w:color="000000" w:fill="FFFFFF"/>
                  <w:vAlign w:val="center"/>
                </w:tcPr>
                <w:p w14:paraId="650B2640">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不锈钢</w:t>
                  </w:r>
                </w:p>
              </w:tc>
              <w:tc>
                <w:tcPr>
                  <w:tcW w:w="850" w:type="dxa"/>
                  <w:shd w:val="clear" w:color="000000" w:fill="FFFFFF"/>
                  <w:vAlign w:val="center"/>
                </w:tcPr>
                <w:p w14:paraId="78D098AC">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常温</w:t>
                  </w:r>
                </w:p>
              </w:tc>
              <w:tc>
                <w:tcPr>
                  <w:tcW w:w="992" w:type="dxa"/>
                  <w:shd w:val="clear" w:color="000000" w:fill="FFFFFF"/>
                  <w:vAlign w:val="center"/>
                </w:tcPr>
                <w:p w14:paraId="382F32DE">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常压</w:t>
                  </w:r>
                </w:p>
              </w:tc>
              <w:tc>
                <w:tcPr>
                  <w:tcW w:w="993" w:type="dxa"/>
                  <w:shd w:val="clear" w:color="000000" w:fill="FFFFFF"/>
                  <w:vAlign w:val="center"/>
                </w:tcPr>
                <w:p w14:paraId="61BFE9B6">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1</w:t>
                  </w:r>
                </w:p>
              </w:tc>
            </w:tr>
            <w:tr w14:paraId="3C61A6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shd w:val="clear" w:color="000000" w:fill="FFFFFF"/>
                  <w:vAlign w:val="center"/>
                </w:tcPr>
                <w:p w14:paraId="0BC70A6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7AFC9E4D">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ascii="Times New Roman" w:hAnsi="Times New Roman" w:eastAsia="仿宋_GB2312" w:cs="Times New Roman"/>
                      <w:color w:val="auto"/>
                      <w:kern w:val="0"/>
                      <w:sz w:val="21"/>
                    </w:rPr>
                    <w:t>板式离心机</w:t>
                  </w:r>
                </w:p>
              </w:tc>
              <w:tc>
                <w:tcPr>
                  <w:tcW w:w="1701" w:type="dxa"/>
                  <w:shd w:val="clear" w:color="000000" w:fill="FFFFFF"/>
                  <w:noWrap/>
                  <w:vAlign w:val="center"/>
                </w:tcPr>
                <w:p w14:paraId="16255F33">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ascii="Times New Roman" w:hAnsi="Times New Roman" w:eastAsia="仿宋_GB2312" w:cs="Times New Roman"/>
                      <w:color w:val="auto"/>
                      <w:kern w:val="0"/>
                      <w:sz w:val="21"/>
                    </w:rPr>
                    <w:t>200</w:t>
                  </w:r>
                </w:p>
              </w:tc>
              <w:tc>
                <w:tcPr>
                  <w:tcW w:w="993" w:type="dxa"/>
                  <w:shd w:val="clear" w:color="000000" w:fill="FFFFFF"/>
                  <w:vAlign w:val="center"/>
                </w:tcPr>
                <w:p w14:paraId="39843159">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不锈钢</w:t>
                  </w:r>
                </w:p>
              </w:tc>
              <w:tc>
                <w:tcPr>
                  <w:tcW w:w="850" w:type="dxa"/>
                  <w:shd w:val="clear" w:color="000000" w:fill="FFFFFF"/>
                  <w:vAlign w:val="center"/>
                </w:tcPr>
                <w:p w14:paraId="243F538C">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常温</w:t>
                  </w:r>
                </w:p>
              </w:tc>
              <w:tc>
                <w:tcPr>
                  <w:tcW w:w="992" w:type="dxa"/>
                  <w:shd w:val="clear" w:color="000000" w:fill="FFFFFF"/>
                  <w:vAlign w:val="center"/>
                </w:tcPr>
                <w:p w14:paraId="1FF947EE">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常压</w:t>
                  </w:r>
                </w:p>
              </w:tc>
              <w:tc>
                <w:tcPr>
                  <w:tcW w:w="993" w:type="dxa"/>
                  <w:shd w:val="clear" w:color="000000" w:fill="FFFFFF"/>
                  <w:vAlign w:val="center"/>
                </w:tcPr>
                <w:p w14:paraId="3407AC4D">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1</w:t>
                  </w:r>
                </w:p>
              </w:tc>
            </w:tr>
            <w:tr w14:paraId="531076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6B0676C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yellow"/>
                    </w:rPr>
                  </w:pPr>
                </w:p>
              </w:tc>
              <w:tc>
                <w:tcPr>
                  <w:tcW w:w="1793" w:type="dxa"/>
                  <w:gridSpan w:val="2"/>
                  <w:shd w:val="clear" w:color="000000" w:fill="FFFFFF"/>
                  <w:noWrap/>
                  <w:vAlign w:val="center"/>
                </w:tcPr>
                <w:p w14:paraId="2630B49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旋转蒸发仪</w:t>
                  </w:r>
                </w:p>
              </w:tc>
              <w:tc>
                <w:tcPr>
                  <w:tcW w:w="1701" w:type="dxa"/>
                  <w:shd w:val="clear" w:color="000000" w:fill="FFFFFF"/>
                  <w:noWrap/>
                  <w:vAlign w:val="center"/>
                </w:tcPr>
                <w:p w14:paraId="2F8F6F2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EXRE-1050</w:t>
                  </w:r>
                </w:p>
              </w:tc>
              <w:tc>
                <w:tcPr>
                  <w:tcW w:w="993" w:type="dxa"/>
                  <w:shd w:val="clear" w:color="000000" w:fill="FFFFFF"/>
                  <w:vAlign w:val="center"/>
                </w:tcPr>
                <w:p w14:paraId="23434B1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5CDDC36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475922A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5449577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bookmarkEnd w:id="14"/>
            <w:tr w14:paraId="2556A5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638" w:type="dxa"/>
                  <w:vMerge w:val="continue"/>
                  <w:vAlign w:val="center"/>
                </w:tcPr>
                <w:p w14:paraId="097AC5D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yellow"/>
                    </w:rPr>
                  </w:pPr>
                </w:p>
              </w:tc>
              <w:tc>
                <w:tcPr>
                  <w:tcW w:w="943" w:type="dxa"/>
                  <w:vMerge w:val="restart"/>
                  <w:shd w:val="clear" w:color="000000" w:fill="FFFFFF"/>
                  <w:noWrap/>
                  <w:vAlign w:val="center"/>
                </w:tcPr>
                <w:p w14:paraId="7D45D33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膜过滤浓缩系统</w:t>
                  </w:r>
                </w:p>
              </w:tc>
              <w:tc>
                <w:tcPr>
                  <w:tcW w:w="850" w:type="dxa"/>
                  <w:shd w:val="clear" w:color="000000" w:fill="FFFFFF"/>
                  <w:vAlign w:val="center"/>
                </w:tcPr>
                <w:p w14:paraId="0EF7401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缓冲罐</w:t>
                  </w:r>
                </w:p>
              </w:tc>
              <w:tc>
                <w:tcPr>
                  <w:tcW w:w="1701" w:type="dxa"/>
                  <w:shd w:val="clear" w:color="000000" w:fill="FFFFFF"/>
                  <w:noWrap/>
                  <w:vAlign w:val="center"/>
                </w:tcPr>
                <w:p w14:paraId="0243EBE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500L</w:t>
                  </w:r>
                </w:p>
              </w:tc>
              <w:tc>
                <w:tcPr>
                  <w:tcW w:w="993" w:type="dxa"/>
                  <w:vMerge w:val="restart"/>
                  <w:shd w:val="clear" w:color="000000" w:fill="FFFFFF"/>
                  <w:vAlign w:val="center"/>
                </w:tcPr>
                <w:p w14:paraId="27523A4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不锈钢、陶瓷膜等</w:t>
                  </w:r>
                </w:p>
              </w:tc>
              <w:tc>
                <w:tcPr>
                  <w:tcW w:w="850" w:type="dxa"/>
                  <w:shd w:val="clear" w:color="000000" w:fill="FFFFFF"/>
                  <w:vAlign w:val="center"/>
                </w:tcPr>
                <w:p w14:paraId="7498C80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3592098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670F1D8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4C1B9A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3" w:hRule="atLeast"/>
                <w:jc w:val="center"/>
              </w:trPr>
              <w:tc>
                <w:tcPr>
                  <w:tcW w:w="638" w:type="dxa"/>
                  <w:vMerge w:val="continue"/>
                  <w:vAlign w:val="center"/>
                </w:tcPr>
                <w:p w14:paraId="58657A7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yellow"/>
                    </w:rPr>
                  </w:pPr>
                </w:p>
              </w:tc>
              <w:tc>
                <w:tcPr>
                  <w:tcW w:w="943" w:type="dxa"/>
                  <w:vMerge w:val="continue"/>
                  <w:shd w:val="clear" w:color="000000" w:fill="FFFFFF"/>
                  <w:noWrap/>
                  <w:vAlign w:val="center"/>
                </w:tcPr>
                <w:p w14:paraId="6BBE0DF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105489D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sz w:val="21"/>
                      <w:szCs w:val="21"/>
                    </w:rPr>
                    <w:t>清洗罐</w:t>
                  </w:r>
                </w:p>
              </w:tc>
              <w:tc>
                <w:tcPr>
                  <w:tcW w:w="1701" w:type="dxa"/>
                  <w:shd w:val="clear" w:color="000000" w:fill="FFFFFF"/>
                  <w:noWrap/>
                  <w:vAlign w:val="center"/>
                </w:tcPr>
                <w:p w14:paraId="45B227D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bidi="ar"/>
                    </w:rPr>
                    <w:t>100L</w:t>
                  </w:r>
                </w:p>
              </w:tc>
              <w:tc>
                <w:tcPr>
                  <w:tcW w:w="993" w:type="dxa"/>
                  <w:vMerge w:val="continue"/>
                  <w:shd w:val="clear" w:color="000000" w:fill="FFFFFF"/>
                  <w:vAlign w:val="center"/>
                </w:tcPr>
                <w:p w14:paraId="3B6B9B7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66A013D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513911C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6923704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7752B9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2" w:hRule="atLeast"/>
                <w:jc w:val="center"/>
              </w:trPr>
              <w:tc>
                <w:tcPr>
                  <w:tcW w:w="638" w:type="dxa"/>
                  <w:vMerge w:val="continue"/>
                  <w:vAlign w:val="center"/>
                </w:tcPr>
                <w:p w14:paraId="4E2826A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yellow"/>
                    </w:rPr>
                  </w:pPr>
                </w:p>
              </w:tc>
              <w:tc>
                <w:tcPr>
                  <w:tcW w:w="943" w:type="dxa"/>
                  <w:vMerge w:val="continue"/>
                  <w:shd w:val="clear" w:color="000000" w:fill="FFFFFF"/>
                  <w:noWrap/>
                  <w:vAlign w:val="center"/>
                </w:tcPr>
                <w:p w14:paraId="1E3AE10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4418464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暂存罐</w:t>
                  </w:r>
                </w:p>
              </w:tc>
              <w:tc>
                <w:tcPr>
                  <w:tcW w:w="1701" w:type="dxa"/>
                  <w:shd w:val="clear" w:color="000000" w:fill="FFFFFF"/>
                  <w:noWrap/>
                  <w:vAlign w:val="center"/>
                </w:tcPr>
                <w:p w14:paraId="38951D2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50L</w:t>
                  </w:r>
                </w:p>
              </w:tc>
              <w:tc>
                <w:tcPr>
                  <w:tcW w:w="993" w:type="dxa"/>
                  <w:vMerge w:val="continue"/>
                  <w:shd w:val="clear" w:color="000000" w:fill="FFFFFF"/>
                  <w:vAlign w:val="center"/>
                </w:tcPr>
                <w:p w14:paraId="78CA528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6ACF0E6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785E8B0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4E696DD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77E27F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6" w:hRule="atLeast"/>
                <w:jc w:val="center"/>
              </w:trPr>
              <w:tc>
                <w:tcPr>
                  <w:tcW w:w="638" w:type="dxa"/>
                  <w:vMerge w:val="continue"/>
                  <w:vAlign w:val="center"/>
                </w:tcPr>
                <w:p w14:paraId="72331F3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yellow"/>
                    </w:rPr>
                  </w:pPr>
                </w:p>
              </w:tc>
              <w:tc>
                <w:tcPr>
                  <w:tcW w:w="943" w:type="dxa"/>
                  <w:vMerge w:val="continue"/>
                  <w:shd w:val="clear" w:color="000000" w:fill="FFFFFF"/>
                  <w:noWrap/>
                  <w:vAlign w:val="center"/>
                </w:tcPr>
                <w:p w14:paraId="1C25662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3C40C64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陶瓷膜</w:t>
                  </w:r>
                </w:p>
              </w:tc>
              <w:tc>
                <w:tcPr>
                  <w:tcW w:w="1701" w:type="dxa"/>
                  <w:vMerge w:val="restart"/>
                  <w:shd w:val="clear" w:color="000000" w:fill="FFFFFF"/>
                  <w:noWrap/>
                  <w:vAlign w:val="center"/>
                </w:tcPr>
                <w:p w14:paraId="4A2B309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定制</w:t>
                  </w:r>
                </w:p>
              </w:tc>
              <w:tc>
                <w:tcPr>
                  <w:tcW w:w="993" w:type="dxa"/>
                  <w:vMerge w:val="continue"/>
                  <w:shd w:val="clear" w:color="000000" w:fill="FFFFFF"/>
                  <w:vAlign w:val="center"/>
                </w:tcPr>
                <w:p w14:paraId="7CDE574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0AFEC78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16C0412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0.6</w:t>
                  </w:r>
                </w:p>
              </w:tc>
              <w:tc>
                <w:tcPr>
                  <w:tcW w:w="993" w:type="dxa"/>
                  <w:vMerge w:val="restart"/>
                  <w:shd w:val="clear" w:color="000000" w:fill="FFFFFF"/>
                  <w:vAlign w:val="center"/>
                </w:tcPr>
                <w:p w14:paraId="737FA86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23F146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5" w:hRule="atLeast"/>
                <w:jc w:val="center"/>
              </w:trPr>
              <w:tc>
                <w:tcPr>
                  <w:tcW w:w="638" w:type="dxa"/>
                  <w:vMerge w:val="continue"/>
                  <w:vAlign w:val="center"/>
                </w:tcPr>
                <w:p w14:paraId="2CDF945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yellow"/>
                    </w:rPr>
                  </w:pPr>
                </w:p>
              </w:tc>
              <w:tc>
                <w:tcPr>
                  <w:tcW w:w="943" w:type="dxa"/>
                  <w:vMerge w:val="continue"/>
                  <w:shd w:val="clear" w:color="000000" w:fill="FFFFFF"/>
                  <w:noWrap/>
                  <w:vAlign w:val="center"/>
                </w:tcPr>
                <w:p w14:paraId="09DC72A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49AEE33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超滤膜</w:t>
                  </w:r>
                </w:p>
              </w:tc>
              <w:tc>
                <w:tcPr>
                  <w:tcW w:w="1701" w:type="dxa"/>
                  <w:vMerge w:val="continue"/>
                  <w:shd w:val="clear" w:color="000000" w:fill="FFFFFF"/>
                  <w:noWrap/>
                  <w:vAlign w:val="center"/>
                </w:tcPr>
                <w:p w14:paraId="56D499E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993" w:type="dxa"/>
                  <w:vMerge w:val="continue"/>
                  <w:shd w:val="clear" w:color="000000" w:fill="FFFFFF"/>
                  <w:vAlign w:val="center"/>
                </w:tcPr>
                <w:p w14:paraId="7A2D093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03EB26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5F309F9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2.5</w:t>
                  </w:r>
                </w:p>
              </w:tc>
              <w:tc>
                <w:tcPr>
                  <w:tcW w:w="993" w:type="dxa"/>
                  <w:vMerge w:val="continue"/>
                  <w:shd w:val="clear" w:color="000000" w:fill="FFFFFF"/>
                  <w:vAlign w:val="center"/>
                </w:tcPr>
                <w:p w14:paraId="08CE1C5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r>
            <w:tr w14:paraId="13F20E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85" w:hRule="atLeast"/>
                <w:jc w:val="center"/>
              </w:trPr>
              <w:tc>
                <w:tcPr>
                  <w:tcW w:w="638" w:type="dxa"/>
                  <w:vMerge w:val="continue"/>
                  <w:vAlign w:val="center"/>
                </w:tcPr>
                <w:p w14:paraId="2EF952B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yellow"/>
                    </w:rPr>
                  </w:pPr>
                </w:p>
              </w:tc>
              <w:tc>
                <w:tcPr>
                  <w:tcW w:w="943" w:type="dxa"/>
                  <w:vMerge w:val="continue"/>
                  <w:shd w:val="clear" w:color="000000" w:fill="FFFFFF"/>
                  <w:noWrap/>
                  <w:vAlign w:val="center"/>
                </w:tcPr>
                <w:p w14:paraId="5B4A155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4829BA4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纳滤膜</w:t>
                  </w:r>
                </w:p>
              </w:tc>
              <w:tc>
                <w:tcPr>
                  <w:tcW w:w="1701" w:type="dxa"/>
                  <w:vMerge w:val="continue"/>
                  <w:shd w:val="clear" w:color="000000" w:fill="FFFFFF"/>
                  <w:noWrap/>
                  <w:vAlign w:val="center"/>
                </w:tcPr>
                <w:p w14:paraId="31F4BF1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993" w:type="dxa"/>
                  <w:vMerge w:val="continue"/>
                  <w:shd w:val="clear" w:color="000000" w:fill="FFFFFF"/>
                  <w:vAlign w:val="center"/>
                </w:tcPr>
                <w:p w14:paraId="65FFBB4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850" w:type="dxa"/>
                  <w:shd w:val="clear" w:color="000000" w:fill="FFFFFF"/>
                  <w:vAlign w:val="center"/>
                </w:tcPr>
                <w:p w14:paraId="599DEEC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4780D8D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4</w:t>
                  </w:r>
                </w:p>
              </w:tc>
              <w:tc>
                <w:tcPr>
                  <w:tcW w:w="993" w:type="dxa"/>
                  <w:vMerge w:val="continue"/>
                  <w:shd w:val="clear" w:color="000000" w:fill="FFFFFF"/>
                  <w:vAlign w:val="center"/>
                </w:tcPr>
                <w:p w14:paraId="1261462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r>
            <w:tr w14:paraId="4A055E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4979D3D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shd w:val="clear" w:color="000000" w:fill="FFFFFF"/>
                  <w:noWrap/>
                  <w:vAlign w:val="center"/>
                </w:tcPr>
                <w:p w14:paraId="48B0387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冷冻干燥机</w:t>
                  </w:r>
                </w:p>
              </w:tc>
              <w:tc>
                <w:tcPr>
                  <w:tcW w:w="1701" w:type="dxa"/>
                  <w:shd w:val="clear" w:color="000000" w:fill="FFFFFF"/>
                  <w:noWrap/>
                  <w:vAlign w:val="center"/>
                </w:tcPr>
                <w:p w14:paraId="208E698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993" w:type="dxa"/>
                  <w:shd w:val="clear" w:color="000000" w:fill="FFFFFF"/>
                  <w:vAlign w:val="center"/>
                </w:tcPr>
                <w:p w14:paraId="10F3591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1E08E93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588382C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000B325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5D60CB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33CDD02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0CD4823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包装机</w:t>
                  </w:r>
                </w:p>
              </w:tc>
              <w:tc>
                <w:tcPr>
                  <w:tcW w:w="1701" w:type="dxa"/>
                  <w:noWrap/>
                  <w:vAlign w:val="center"/>
                </w:tcPr>
                <w:p w14:paraId="3A82BA4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993" w:type="dxa"/>
                  <w:shd w:val="clear" w:color="000000" w:fill="FFFFFF"/>
                  <w:vAlign w:val="center"/>
                </w:tcPr>
                <w:p w14:paraId="1E19DC2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shd w:val="clear" w:color="000000" w:fill="FFFFFF"/>
                  <w:vAlign w:val="center"/>
                </w:tcPr>
                <w:p w14:paraId="42F6921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shd w:val="clear" w:color="000000" w:fill="FFFFFF"/>
                  <w:vAlign w:val="center"/>
                </w:tcPr>
                <w:p w14:paraId="0A8E771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shd w:val="clear" w:color="000000" w:fill="FFFFFF"/>
                  <w:vAlign w:val="center"/>
                </w:tcPr>
                <w:p w14:paraId="01DF264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41DB01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5B79356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5E1A677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三维混合机</w:t>
                  </w:r>
                </w:p>
              </w:tc>
              <w:tc>
                <w:tcPr>
                  <w:tcW w:w="1701" w:type="dxa"/>
                  <w:noWrap/>
                  <w:vAlign w:val="center"/>
                </w:tcPr>
                <w:p w14:paraId="3E931D2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FZH-200</w:t>
                  </w:r>
                </w:p>
              </w:tc>
              <w:tc>
                <w:tcPr>
                  <w:tcW w:w="993" w:type="dxa"/>
                  <w:vAlign w:val="center"/>
                </w:tcPr>
                <w:p w14:paraId="5C50EEF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7ED12E0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vAlign w:val="center"/>
                </w:tcPr>
                <w:p w14:paraId="62CB29A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vAlign w:val="center"/>
                </w:tcPr>
                <w:p w14:paraId="2DF1F1A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564887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0141390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2CA4604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湿法制粒机</w:t>
                  </w:r>
                </w:p>
              </w:tc>
              <w:tc>
                <w:tcPr>
                  <w:tcW w:w="1701" w:type="dxa"/>
                  <w:noWrap/>
                  <w:vAlign w:val="center"/>
                </w:tcPr>
                <w:p w14:paraId="4A1884B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GHL-250</w:t>
                  </w:r>
                </w:p>
              </w:tc>
              <w:tc>
                <w:tcPr>
                  <w:tcW w:w="993" w:type="dxa"/>
                  <w:vAlign w:val="center"/>
                </w:tcPr>
                <w:p w14:paraId="5E7BB1D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06FD4A1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vAlign w:val="center"/>
                </w:tcPr>
                <w:p w14:paraId="1D60244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vAlign w:val="center"/>
                </w:tcPr>
                <w:p w14:paraId="4086C3D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3ED884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0A4B656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47B84C8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沸腾干燥机</w:t>
                  </w:r>
                </w:p>
                <w:p w14:paraId="5FAABD42">
                  <w:pPr>
                    <w:pStyle w:val="74"/>
                    <w:keepNext w:val="0"/>
                    <w:keepLines w:val="0"/>
                    <w:suppressLineNumbers w:val="0"/>
                    <w:tabs>
                      <w:tab w:val="left" w:pos="460"/>
                      <w:tab w:val="right" w:leader="dot" w:pos="8296"/>
                    </w:tabs>
                    <w:spacing w:before="0" w:beforeAutospacing="0" w:after="0" w:afterAutospacing="0"/>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（含布袋捕集器）</w:t>
                  </w:r>
                </w:p>
              </w:tc>
              <w:tc>
                <w:tcPr>
                  <w:tcW w:w="1701" w:type="dxa"/>
                  <w:noWrap/>
                  <w:vAlign w:val="center"/>
                </w:tcPr>
                <w:p w14:paraId="280EA4D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GFG100</w:t>
                  </w:r>
                </w:p>
              </w:tc>
              <w:tc>
                <w:tcPr>
                  <w:tcW w:w="993" w:type="dxa"/>
                  <w:vAlign w:val="center"/>
                </w:tcPr>
                <w:p w14:paraId="4EB0ADD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3F7B2C6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vAlign w:val="center"/>
                </w:tcPr>
                <w:p w14:paraId="70281E6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vAlign w:val="center"/>
                </w:tcPr>
                <w:p w14:paraId="596D6CB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0C211C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3F04667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7E5E624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胶囊充填机</w:t>
                  </w:r>
                </w:p>
              </w:tc>
              <w:tc>
                <w:tcPr>
                  <w:tcW w:w="1701" w:type="dxa"/>
                  <w:noWrap/>
                  <w:vAlign w:val="center"/>
                </w:tcPr>
                <w:p w14:paraId="3CCC60B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NJP1000</w:t>
                  </w:r>
                </w:p>
              </w:tc>
              <w:tc>
                <w:tcPr>
                  <w:tcW w:w="993" w:type="dxa"/>
                  <w:vAlign w:val="center"/>
                </w:tcPr>
                <w:p w14:paraId="602A27E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6246A30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vAlign w:val="center"/>
                </w:tcPr>
                <w:p w14:paraId="3CD8DD1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vAlign w:val="center"/>
                </w:tcPr>
                <w:p w14:paraId="7EDADE5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060261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13A3F20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263AA4B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胶囊抛光机</w:t>
                  </w:r>
                </w:p>
              </w:tc>
              <w:tc>
                <w:tcPr>
                  <w:tcW w:w="1701" w:type="dxa"/>
                  <w:noWrap/>
                  <w:vAlign w:val="center"/>
                </w:tcPr>
                <w:p w14:paraId="17C699F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993" w:type="dxa"/>
                  <w:vAlign w:val="center"/>
                </w:tcPr>
                <w:p w14:paraId="1E23B93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56B7EDE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vAlign w:val="center"/>
                </w:tcPr>
                <w:p w14:paraId="2D71E2D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vAlign w:val="center"/>
                </w:tcPr>
                <w:p w14:paraId="6E7110D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314A6B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5868F41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06A65E8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yellow"/>
                    </w:rPr>
                  </w:pPr>
                  <w:r>
                    <w:rPr>
                      <w:rFonts w:hint="default" w:ascii="Times New Roman" w:hAnsi="Times New Roman" w:eastAsia="仿宋_GB2312" w:cs="Times New Roman"/>
                      <w:color w:val="auto"/>
                      <w:kern w:val="0"/>
                      <w:sz w:val="21"/>
                      <w:szCs w:val="21"/>
                    </w:rPr>
                    <w:t>给袋式数粒装袋机</w:t>
                  </w:r>
                </w:p>
              </w:tc>
              <w:tc>
                <w:tcPr>
                  <w:tcW w:w="1701" w:type="dxa"/>
                  <w:noWrap/>
                  <w:vAlign w:val="center"/>
                </w:tcPr>
                <w:p w14:paraId="448151B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993" w:type="dxa"/>
                  <w:vAlign w:val="center"/>
                </w:tcPr>
                <w:p w14:paraId="7F76A72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1426390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vAlign w:val="center"/>
                </w:tcPr>
                <w:p w14:paraId="32EA5C3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vAlign w:val="center"/>
                </w:tcPr>
                <w:p w14:paraId="4C109D0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293238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3F7F58C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0F103EB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树脂吸附设备</w:t>
                  </w:r>
                </w:p>
              </w:tc>
              <w:tc>
                <w:tcPr>
                  <w:tcW w:w="1701" w:type="dxa"/>
                  <w:noWrap/>
                  <w:vAlign w:val="center"/>
                </w:tcPr>
                <w:p w14:paraId="5F4950E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LXB-AS</w:t>
                  </w:r>
                </w:p>
                <w:p w14:paraId="17F11E4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LXB-400</w:t>
                  </w:r>
                </w:p>
              </w:tc>
              <w:tc>
                <w:tcPr>
                  <w:tcW w:w="993" w:type="dxa"/>
                  <w:vAlign w:val="center"/>
                </w:tcPr>
                <w:p w14:paraId="4A40BC0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螯合树脂</w:t>
                  </w:r>
                </w:p>
              </w:tc>
              <w:tc>
                <w:tcPr>
                  <w:tcW w:w="850" w:type="dxa"/>
                  <w:vAlign w:val="center"/>
                </w:tcPr>
                <w:p w14:paraId="0B5779B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vAlign w:val="center"/>
                </w:tcPr>
                <w:p w14:paraId="619E8AF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vAlign w:val="center"/>
                </w:tcPr>
                <w:p w14:paraId="0F7B861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498397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18E5572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7D42DFC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离子交换层析系统</w:t>
                  </w:r>
                </w:p>
              </w:tc>
              <w:tc>
                <w:tcPr>
                  <w:tcW w:w="1701" w:type="dxa"/>
                  <w:noWrap/>
                  <w:vAlign w:val="center"/>
                </w:tcPr>
                <w:p w14:paraId="44A7273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LXB-10</w:t>
                  </w:r>
                </w:p>
                <w:p w14:paraId="1F3060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LXB-300</w:t>
                  </w:r>
                </w:p>
              </w:tc>
              <w:tc>
                <w:tcPr>
                  <w:tcW w:w="993" w:type="dxa"/>
                  <w:vAlign w:val="center"/>
                </w:tcPr>
                <w:p w14:paraId="2DA15F5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离子交换树脂</w:t>
                  </w:r>
                </w:p>
              </w:tc>
              <w:tc>
                <w:tcPr>
                  <w:tcW w:w="850" w:type="dxa"/>
                  <w:vAlign w:val="center"/>
                </w:tcPr>
                <w:p w14:paraId="43E7269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常温</w:t>
                  </w:r>
                </w:p>
              </w:tc>
              <w:tc>
                <w:tcPr>
                  <w:tcW w:w="992" w:type="dxa"/>
                  <w:vAlign w:val="center"/>
                </w:tcPr>
                <w:p w14:paraId="27A3B04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bCs/>
                      <w:color w:val="auto"/>
                      <w:kern w:val="0"/>
                      <w:sz w:val="21"/>
                      <w:szCs w:val="21"/>
                    </w:rPr>
                    <w:t>常压</w:t>
                  </w:r>
                </w:p>
              </w:tc>
              <w:tc>
                <w:tcPr>
                  <w:tcW w:w="993" w:type="dxa"/>
                  <w:vAlign w:val="center"/>
                </w:tcPr>
                <w:p w14:paraId="3F5DA6F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270F1A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5A45428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15D2D2E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CIP设备</w:t>
                  </w:r>
                </w:p>
              </w:tc>
              <w:tc>
                <w:tcPr>
                  <w:tcW w:w="1701" w:type="dxa"/>
                  <w:noWrap/>
                  <w:vAlign w:val="center"/>
                </w:tcPr>
                <w:p w14:paraId="0ABF2DD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500L</w:t>
                  </w:r>
                </w:p>
              </w:tc>
              <w:tc>
                <w:tcPr>
                  <w:tcW w:w="993" w:type="dxa"/>
                  <w:vAlign w:val="center"/>
                </w:tcPr>
                <w:p w14:paraId="5A70250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10FDD20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24646A2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1651684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4A62D2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641FA39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7E2813D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光照培养箱</w:t>
                  </w:r>
                </w:p>
              </w:tc>
              <w:tc>
                <w:tcPr>
                  <w:tcW w:w="1701" w:type="dxa"/>
                  <w:noWrap/>
                  <w:vAlign w:val="center"/>
                </w:tcPr>
                <w:p w14:paraId="06D3FAB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MGC-450BP-5L</w:t>
                  </w:r>
                </w:p>
                <w:p w14:paraId="39E3145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MGC-250BP-5L</w:t>
                  </w:r>
                </w:p>
              </w:tc>
              <w:tc>
                <w:tcPr>
                  <w:tcW w:w="993" w:type="dxa"/>
                  <w:vAlign w:val="center"/>
                </w:tcPr>
                <w:p w14:paraId="200C9EB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0B34EA7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2BA3D37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6AD026A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r>
            <w:tr w14:paraId="340CB8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restart"/>
                  <w:vAlign w:val="center"/>
                </w:tcPr>
                <w:p w14:paraId="2E15C6C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kern w:val="0"/>
                      <w:sz w:val="21"/>
                      <w:szCs w:val="21"/>
                    </w:rPr>
                    <w:t>厂房二层</w:t>
                  </w:r>
                </w:p>
              </w:tc>
              <w:tc>
                <w:tcPr>
                  <w:tcW w:w="1793" w:type="dxa"/>
                  <w:gridSpan w:val="2"/>
                  <w:noWrap/>
                  <w:vAlign w:val="center"/>
                </w:tcPr>
                <w:p w14:paraId="0C2BECC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灭菌锅</w:t>
                  </w:r>
                </w:p>
              </w:tc>
              <w:tc>
                <w:tcPr>
                  <w:tcW w:w="1701" w:type="dxa"/>
                  <w:noWrap/>
                  <w:vAlign w:val="center"/>
                </w:tcPr>
                <w:p w14:paraId="639CAFA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MLS-830L</w:t>
                  </w:r>
                </w:p>
              </w:tc>
              <w:tc>
                <w:tcPr>
                  <w:tcW w:w="993" w:type="dxa"/>
                  <w:vAlign w:val="center"/>
                </w:tcPr>
                <w:p w14:paraId="745BC02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2F79006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1D69D23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73533D5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r>
            <w:tr w14:paraId="112A76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143FDF7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1A85EB5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烘箱</w:t>
                  </w:r>
                </w:p>
              </w:tc>
              <w:tc>
                <w:tcPr>
                  <w:tcW w:w="1701" w:type="dxa"/>
                  <w:noWrap/>
                  <w:vAlign w:val="center"/>
                </w:tcPr>
                <w:p w14:paraId="2DCB228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993" w:type="dxa"/>
                  <w:vAlign w:val="center"/>
                </w:tcPr>
                <w:p w14:paraId="27572EA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630F1C0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3240E3F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0666564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3FB20A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51E56AA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28A329D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紫外分光光度计</w:t>
                  </w:r>
                </w:p>
              </w:tc>
              <w:tc>
                <w:tcPr>
                  <w:tcW w:w="1701" w:type="dxa"/>
                  <w:noWrap/>
                  <w:vAlign w:val="center"/>
                </w:tcPr>
                <w:p w14:paraId="5D427E7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赛默飞世尔NANODROP ONEC</w:t>
                  </w:r>
                </w:p>
              </w:tc>
              <w:tc>
                <w:tcPr>
                  <w:tcW w:w="993" w:type="dxa"/>
                  <w:vAlign w:val="center"/>
                </w:tcPr>
                <w:p w14:paraId="23E958C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5B39A8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7F5753C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16197A7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381D99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1C3A0C2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214D91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紫外可见分光光度计</w:t>
                  </w:r>
                </w:p>
              </w:tc>
              <w:tc>
                <w:tcPr>
                  <w:tcW w:w="1701" w:type="dxa"/>
                  <w:noWrap/>
                  <w:vAlign w:val="center"/>
                </w:tcPr>
                <w:p w14:paraId="7DCCD8E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UV-27001</w:t>
                  </w:r>
                </w:p>
              </w:tc>
              <w:tc>
                <w:tcPr>
                  <w:tcW w:w="993" w:type="dxa"/>
                  <w:vAlign w:val="center"/>
                </w:tcPr>
                <w:p w14:paraId="260A1AF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4D1CA5A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739A095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16E5A86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5E16CB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41A6904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05C6070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-80保温冷藏箱</w:t>
                  </w:r>
                </w:p>
              </w:tc>
              <w:tc>
                <w:tcPr>
                  <w:tcW w:w="1701" w:type="dxa"/>
                  <w:noWrap/>
                  <w:vAlign w:val="center"/>
                </w:tcPr>
                <w:p w14:paraId="1D2DBC0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海尔/DW-86L-726G</w:t>
                  </w:r>
                </w:p>
              </w:tc>
              <w:tc>
                <w:tcPr>
                  <w:tcW w:w="993" w:type="dxa"/>
                  <w:vAlign w:val="center"/>
                </w:tcPr>
                <w:p w14:paraId="52E289D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444CE31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6480827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741B35A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1E7BF4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3009C2C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6915C03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振荡培养箱</w:t>
                  </w:r>
                </w:p>
              </w:tc>
              <w:tc>
                <w:tcPr>
                  <w:tcW w:w="1701" w:type="dxa"/>
                  <w:noWrap/>
                  <w:vAlign w:val="center"/>
                </w:tcPr>
                <w:p w14:paraId="6406601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ZQZY-78CE</w:t>
                  </w:r>
                </w:p>
              </w:tc>
              <w:tc>
                <w:tcPr>
                  <w:tcW w:w="993" w:type="dxa"/>
                  <w:vAlign w:val="center"/>
                </w:tcPr>
                <w:p w14:paraId="181DBC7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459A6C6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6F15C32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1373181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618C29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36DD135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1FC97FB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压力破碎仪</w:t>
                  </w:r>
                </w:p>
              </w:tc>
              <w:tc>
                <w:tcPr>
                  <w:tcW w:w="1701" w:type="dxa"/>
                  <w:noWrap/>
                  <w:vAlign w:val="center"/>
                </w:tcPr>
                <w:p w14:paraId="765B87C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AH-NANO</w:t>
                  </w:r>
                </w:p>
              </w:tc>
              <w:tc>
                <w:tcPr>
                  <w:tcW w:w="993" w:type="dxa"/>
                  <w:vAlign w:val="center"/>
                </w:tcPr>
                <w:p w14:paraId="38B2B2A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040B12C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45F2794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15DA8AA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3BAF3D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6AEBC34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1577E69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振荡培养箱</w:t>
                  </w:r>
                </w:p>
              </w:tc>
              <w:tc>
                <w:tcPr>
                  <w:tcW w:w="1701" w:type="dxa"/>
                  <w:noWrap/>
                  <w:vAlign w:val="center"/>
                </w:tcPr>
                <w:p w14:paraId="08E3040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ZQZY-AGS8E</w:t>
                  </w:r>
                </w:p>
              </w:tc>
              <w:tc>
                <w:tcPr>
                  <w:tcW w:w="993" w:type="dxa"/>
                  <w:vAlign w:val="center"/>
                </w:tcPr>
                <w:p w14:paraId="791293A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10DD0F2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717E93C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63CE2DC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50AAF2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54B3FB3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3E4D2E3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洁净工作台</w:t>
                  </w:r>
                </w:p>
              </w:tc>
              <w:tc>
                <w:tcPr>
                  <w:tcW w:w="1701" w:type="dxa"/>
                  <w:noWrap/>
                  <w:vAlign w:val="center"/>
                </w:tcPr>
                <w:p w14:paraId="79C08E0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SWCJ1FD、AIRTECH</w:t>
                  </w:r>
                </w:p>
              </w:tc>
              <w:tc>
                <w:tcPr>
                  <w:tcW w:w="993" w:type="dxa"/>
                  <w:vAlign w:val="center"/>
                </w:tcPr>
                <w:p w14:paraId="2748E35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2048A48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3FC7066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523F81D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r>
            <w:tr w14:paraId="3DCA24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46FE343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086BB0B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三槽基因扩增仪</w:t>
                  </w:r>
                </w:p>
              </w:tc>
              <w:tc>
                <w:tcPr>
                  <w:tcW w:w="1701" w:type="dxa"/>
                  <w:noWrap/>
                  <w:vAlign w:val="center"/>
                </w:tcPr>
                <w:p w14:paraId="787F18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Biometra TRIO 48</w:t>
                  </w:r>
                </w:p>
              </w:tc>
              <w:tc>
                <w:tcPr>
                  <w:tcW w:w="993" w:type="dxa"/>
                  <w:vAlign w:val="center"/>
                </w:tcPr>
                <w:p w14:paraId="253D7AC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33D271D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0415D63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68D76EF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527811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38AF88B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7393588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高速基因扩增仪</w:t>
                  </w:r>
                </w:p>
              </w:tc>
              <w:tc>
                <w:tcPr>
                  <w:tcW w:w="1701" w:type="dxa"/>
                  <w:noWrap/>
                  <w:vAlign w:val="center"/>
                </w:tcPr>
                <w:p w14:paraId="0C8203E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Biometra TAdvanced</w:t>
                  </w:r>
                </w:p>
              </w:tc>
              <w:tc>
                <w:tcPr>
                  <w:tcW w:w="993" w:type="dxa"/>
                  <w:vAlign w:val="center"/>
                </w:tcPr>
                <w:p w14:paraId="287822C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63D5E09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4B8E35A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0ADBAF6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33AC53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71675D0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4DF5A32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高效液相色谱仪</w:t>
                  </w:r>
                </w:p>
              </w:tc>
              <w:tc>
                <w:tcPr>
                  <w:tcW w:w="1701" w:type="dxa"/>
                  <w:noWrap/>
                  <w:vAlign w:val="center"/>
                </w:tcPr>
                <w:p w14:paraId="0D58219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安捷伦 1260 II</w:t>
                  </w:r>
                </w:p>
              </w:tc>
              <w:tc>
                <w:tcPr>
                  <w:tcW w:w="993" w:type="dxa"/>
                  <w:vAlign w:val="center"/>
                </w:tcPr>
                <w:p w14:paraId="2B01B45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577CD1D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4422C6A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499EE6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5AF9A3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14285AD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670CC67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超高效液相色谱仪</w:t>
                  </w:r>
                </w:p>
              </w:tc>
              <w:tc>
                <w:tcPr>
                  <w:tcW w:w="1701" w:type="dxa"/>
                  <w:noWrap/>
                  <w:vAlign w:val="center"/>
                </w:tcPr>
                <w:p w14:paraId="0AD7A2B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安捷伦 1290 II</w:t>
                  </w:r>
                </w:p>
              </w:tc>
              <w:tc>
                <w:tcPr>
                  <w:tcW w:w="993" w:type="dxa"/>
                  <w:vAlign w:val="center"/>
                </w:tcPr>
                <w:p w14:paraId="6807359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1ED23D0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5913F2E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68DBCF6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2F9C49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2DB3957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14241DC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振荡培养箱</w:t>
                  </w:r>
                </w:p>
              </w:tc>
              <w:tc>
                <w:tcPr>
                  <w:tcW w:w="1701" w:type="dxa"/>
                  <w:noWrap/>
                  <w:vAlign w:val="center"/>
                </w:tcPr>
                <w:p w14:paraId="7E26A6A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知楚：ZQZY-78CES</w:t>
                  </w:r>
                </w:p>
              </w:tc>
              <w:tc>
                <w:tcPr>
                  <w:tcW w:w="993" w:type="dxa"/>
                  <w:vAlign w:val="center"/>
                </w:tcPr>
                <w:p w14:paraId="4F774CA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61635AE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3DA2F1A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7E5C959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7A16F5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2611C50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69B1FD7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恒温混匀仪</w:t>
                  </w:r>
                </w:p>
              </w:tc>
              <w:tc>
                <w:tcPr>
                  <w:tcW w:w="1701" w:type="dxa"/>
                  <w:noWrap/>
                  <w:vAlign w:val="center"/>
                </w:tcPr>
                <w:p w14:paraId="5916572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DHC-100</w:t>
                  </w:r>
                </w:p>
              </w:tc>
              <w:tc>
                <w:tcPr>
                  <w:tcW w:w="993" w:type="dxa"/>
                  <w:vAlign w:val="center"/>
                </w:tcPr>
                <w:p w14:paraId="4EBA674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60D1663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1FED104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59F76F0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432E81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7D7B619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01B6431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小破碎仪</w:t>
                  </w:r>
                </w:p>
              </w:tc>
              <w:tc>
                <w:tcPr>
                  <w:tcW w:w="1701" w:type="dxa"/>
                  <w:noWrap/>
                  <w:vAlign w:val="center"/>
                </w:tcPr>
                <w:p w14:paraId="5BB6385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FYT-1000</w:t>
                  </w:r>
                </w:p>
              </w:tc>
              <w:tc>
                <w:tcPr>
                  <w:tcW w:w="993" w:type="dxa"/>
                  <w:vAlign w:val="center"/>
                </w:tcPr>
                <w:p w14:paraId="439F473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665E60A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77B6468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764B5C6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12D44F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2A2317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5A8CE7D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超声波清洗机</w:t>
                  </w:r>
                </w:p>
              </w:tc>
              <w:tc>
                <w:tcPr>
                  <w:tcW w:w="1701" w:type="dxa"/>
                  <w:noWrap/>
                  <w:vAlign w:val="center"/>
                </w:tcPr>
                <w:p w14:paraId="418D5DB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PS-25</w:t>
                  </w:r>
                </w:p>
              </w:tc>
              <w:tc>
                <w:tcPr>
                  <w:tcW w:w="993" w:type="dxa"/>
                  <w:vAlign w:val="center"/>
                </w:tcPr>
                <w:p w14:paraId="2548B9D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3742AE8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6DD4ACC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0E7DD79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2E5F2E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4B5A678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34E23A9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离心机</w:t>
                  </w:r>
                </w:p>
              </w:tc>
              <w:tc>
                <w:tcPr>
                  <w:tcW w:w="1701" w:type="dxa"/>
                  <w:noWrap/>
                  <w:vAlign w:val="center"/>
                </w:tcPr>
                <w:p w14:paraId="16E4D0F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Eppendorf 5910R</w:t>
                  </w:r>
                </w:p>
              </w:tc>
              <w:tc>
                <w:tcPr>
                  <w:tcW w:w="993" w:type="dxa"/>
                  <w:vAlign w:val="center"/>
                </w:tcPr>
                <w:p w14:paraId="3BA5645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4BC0A4D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397855E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4A49D21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r>
            <w:tr w14:paraId="64D4DD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016F53C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7567AB1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蛋白电泳仪</w:t>
                  </w:r>
                </w:p>
              </w:tc>
              <w:tc>
                <w:tcPr>
                  <w:tcW w:w="1701" w:type="dxa"/>
                  <w:noWrap/>
                  <w:vAlign w:val="center"/>
                </w:tcPr>
                <w:p w14:paraId="71203CB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带电泳槽Tanon/EPS 300</w:t>
                  </w:r>
                </w:p>
              </w:tc>
              <w:tc>
                <w:tcPr>
                  <w:tcW w:w="993" w:type="dxa"/>
                  <w:vAlign w:val="center"/>
                </w:tcPr>
                <w:p w14:paraId="3D60FC8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1D66CB4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12F517C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5EA7B9F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r>
            <w:tr w14:paraId="06B340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638" w:type="dxa"/>
                  <w:vMerge w:val="continue"/>
                  <w:vAlign w:val="center"/>
                </w:tcPr>
                <w:p w14:paraId="5F5FC0C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p>
              </w:tc>
              <w:tc>
                <w:tcPr>
                  <w:tcW w:w="1793" w:type="dxa"/>
                  <w:gridSpan w:val="2"/>
                  <w:noWrap/>
                  <w:vAlign w:val="center"/>
                </w:tcPr>
                <w:p w14:paraId="1191FB6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生物安全柜</w:t>
                  </w:r>
                </w:p>
              </w:tc>
              <w:tc>
                <w:tcPr>
                  <w:tcW w:w="1701" w:type="dxa"/>
                  <w:noWrap/>
                  <w:vAlign w:val="center"/>
                </w:tcPr>
                <w:p w14:paraId="445A86A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定制</w:t>
                  </w:r>
                </w:p>
              </w:tc>
              <w:tc>
                <w:tcPr>
                  <w:tcW w:w="993" w:type="dxa"/>
                  <w:vAlign w:val="center"/>
                </w:tcPr>
                <w:p w14:paraId="506FB8A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850" w:type="dxa"/>
                  <w:vAlign w:val="center"/>
                </w:tcPr>
                <w:p w14:paraId="1C233ED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常温</w:t>
                  </w:r>
                </w:p>
              </w:tc>
              <w:tc>
                <w:tcPr>
                  <w:tcW w:w="992" w:type="dxa"/>
                  <w:vAlign w:val="center"/>
                </w:tcPr>
                <w:p w14:paraId="170C260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常压</w:t>
                  </w:r>
                </w:p>
              </w:tc>
              <w:tc>
                <w:tcPr>
                  <w:tcW w:w="993" w:type="dxa"/>
                  <w:vAlign w:val="center"/>
                </w:tcPr>
                <w:p w14:paraId="24348DE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r>
          </w:tbl>
          <w:p w14:paraId="6552978D">
            <w:pPr>
              <w:keepNext w:val="0"/>
              <w:keepLines w:val="0"/>
              <w:suppressLineNumbers w:val="0"/>
              <w:spacing w:before="0" w:beforeAutospacing="0" w:after="0" w:afterAutospacing="0" w:line="500" w:lineRule="exact"/>
              <w:ind w:left="0" w:right="0" w:firstLine="482" w:firstLineChars="200"/>
              <w:rPr>
                <w:rFonts w:hint="eastAsia" w:eastAsia="仿宋_GB2312"/>
                <w:color w:val="auto"/>
                <w:sz w:val="24"/>
                <w:lang w:eastAsia="zh-CN"/>
              </w:rPr>
            </w:pPr>
            <w:r>
              <w:rPr>
                <w:rFonts w:hint="eastAsia" w:eastAsia="仿宋_GB2312"/>
                <w:b/>
                <w:bCs/>
                <w:color w:val="auto"/>
                <w:sz w:val="24"/>
                <w:lang w:eastAsia="zh-CN"/>
              </w:rPr>
              <w:t>产能设备匹配性分析：</w:t>
            </w:r>
          </w:p>
          <w:p w14:paraId="21D84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bCs w:val="0"/>
                <w:color w:val="auto"/>
                <w:spacing w:val="0"/>
                <w:kern w:val="2"/>
                <w:sz w:val="24"/>
                <w:szCs w:val="24"/>
                <w:lang w:val="en-US" w:eastAsia="zh-CN" w:bidi="ar-SA"/>
              </w:rPr>
            </w:pPr>
            <w:r>
              <w:rPr>
                <w:rFonts w:hint="eastAsia" w:ascii="Times New Roman" w:hAnsi="Times New Roman" w:eastAsia="仿宋_GB2312" w:cs="Times New Roman"/>
                <w:bCs w:val="0"/>
                <w:color w:val="auto"/>
                <w:spacing w:val="0"/>
                <w:kern w:val="2"/>
                <w:sz w:val="24"/>
                <w:szCs w:val="24"/>
                <w:lang w:val="en-US" w:eastAsia="zh-CN" w:bidi="ar-SA"/>
              </w:rPr>
              <w:t>本项目</w:t>
            </w:r>
            <w:r>
              <w:rPr>
                <w:rFonts w:hint="default" w:ascii="Times New Roman" w:hAnsi="Times New Roman" w:eastAsia="仿宋_GB2312" w:cs="Times New Roman"/>
                <w:bCs w:val="0"/>
                <w:color w:val="auto"/>
                <w:spacing w:val="0"/>
                <w:kern w:val="2"/>
                <w:sz w:val="24"/>
                <w:szCs w:val="24"/>
                <w:lang w:val="en-US" w:eastAsia="zh-CN" w:bidi="ar-SA"/>
              </w:rPr>
              <w:t>食品用原料（γ-氨基丁酸）</w:t>
            </w:r>
            <w:r>
              <w:rPr>
                <w:rFonts w:hint="eastAsia" w:ascii="Times New Roman" w:hAnsi="Times New Roman" w:eastAsia="仿宋_GB2312" w:cs="Times New Roman"/>
                <w:bCs w:val="0"/>
                <w:color w:val="auto"/>
                <w:spacing w:val="0"/>
                <w:kern w:val="2"/>
                <w:sz w:val="24"/>
                <w:szCs w:val="24"/>
                <w:lang w:val="en-US" w:eastAsia="zh-CN" w:bidi="ar-SA"/>
              </w:rPr>
              <w:t>、</w:t>
            </w:r>
            <w:r>
              <w:rPr>
                <w:rFonts w:hint="default" w:ascii="Times New Roman" w:hAnsi="Times New Roman" w:eastAsia="仿宋_GB2312" w:cs="Times New Roman"/>
                <w:bCs w:val="0"/>
                <w:color w:val="auto"/>
                <w:spacing w:val="0"/>
                <w:kern w:val="2"/>
                <w:sz w:val="24"/>
                <w:szCs w:val="24"/>
                <w:lang w:val="en-US" w:eastAsia="zh-CN" w:bidi="ar-SA"/>
              </w:rPr>
              <w:t>保健食品粉（二氢槲皮素）</w:t>
            </w:r>
            <w:r>
              <w:rPr>
                <w:rFonts w:hint="eastAsia" w:ascii="Times New Roman" w:hAnsi="Times New Roman" w:eastAsia="仿宋_GB2312" w:cs="Times New Roman"/>
                <w:bCs w:val="0"/>
                <w:color w:val="auto"/>
                <w:spacing w:val="0"/>
                <w:kern w:val="2"/>
                <w:sz w:val="24"/>
                <w:szCs w:val="24"/>
                <w:lang w:val="en-US" w:eastAsia="zh-CN" w:bidi="ar-SA"/>
              </w:rPr>
              <w:t>生产线中，决定产品生产速率的主要设备为1000L发酵罐（</w:t>
            </w:r>
            <w:r>
              <w:rPr>
                <w:rFonts w:hint="default" w:ascii="Times New Roman" w:hAnsi="Times New Roman" w:eastAsia="仿宋_GB2312" w:cs="Times New Roman"/>
                <w:bCs w:val="0"/>
                <w:color w:val="auto"/>
                <w:spacing w:val="0"/>
                <w:kern w:val="2"/>
                <w:sz w:val="24"/>
                <w:szCs w:val="24"/>
                <w:lang w:val="en-US" w:eastAsia="zh-CN" w:bidi="ar-SA"/>
              </w:rPr>
              <w:t>γ-氨基丁酸</w:t>
            </w:r>
            <w:r>
              <w:rPr>
                <w:rFonts w:hint="eastAsia" w:ascii="Times New Roman" w:hAnsi="Times New Roman" w:eastAsia="仿宋_GB2312" w:cs="Times New Roman"/>
                <w:bCs w:val="0"/>
                <w:color w:val="auto"/>
                <w:spacing w:val="0"/>
                <w:kern w:val="2"/>
                <w:sz w:val="24"/>
                <w:szCs w:val="24"/>
                <w:lang w:val="en-US" w:eastAsia="zh-CN" w:bidi="ar-SA"/>
              </w:rPr>
              <w:t>、</w:t>
            </w:r>
            <w:r>
              <w:rPr>
                <w:rFonts w:hint="default" w:ascii="Times New Roman" w:hAnsi="Times New Roman" w:eastAsia="仿宋_GB2312" w:cs="Times New Roman"/>
                <w:bCs w:val="0"/>
                <w:color w:val="auto"/>
                <w:spacing w:val="0"/>
                <w:kern w:val="2"/>
                <w:sz w:val="24"/>
                <w:szCs w:val="24"/>
                <w:lang w:val="en-US" w:eastAsia="zh-CN" w:bidi="ar-SA"/>
              </w:rPr>
              <w:t>二氢槲皮素</w:t>
            </w:r>
            <w:r>
              <w:rPr>
                <w:rFonts w:hint="eastAsia" w:ascii="Times New Roman" w:hAnsi="Times New Roman" w:eastAsia="仿宋_GB2312" w:cs="Times New Roman"/>
                <w:bCs w:val="0"/>
                <w:color w:val="auto"/>
                <w:spacing w:val="0"/>
                <w:kern w:val="2"/>
                <w:sz w:val="24"/>
                <w:szCs w:val="24"/>
                <w:lang w:val="en-US" w:eastAsia="zh-CN" w:bidi="ar-SA"/>
              </w:rPr>
              <w:t>产品的共用设备）。1000L发酵罐</w:t>
            </w:r>
            <w:r>
              <w:rPr>
                <w:rFonts w:hint="default" w:ascii="Times New Roman" w:hAnsi="Times New Roman" w:eastAsia="仿宋_GB2312" w:cs="Times New Roman"/>
                <w:bCs w:val="0"/>
                <w:color w:val="auto"/>
                <w:spacing w:val="0"/>
                <w:kern w:val="2"/>
                <w:sz w:val="24"/>
                <w:szCs w:val="24"/>
                <w:lang w:val="en-US" w:eastAsia="zh-CN" w:bidi="ar-SA"/>
              </w:rPr>
              <w:t>单批次</w:t>
            </w:r>
            <w:r>
              <w:rPr>
                <w:rFonts w:hint="eastAsia" w:ascii="Times New Roman" w:hAnsi="Times New Roman" w:eastAsia="仿宋_GB2312" w:cs="Times New Roman"/>
                <w:bCs w:val="0"/>
                <w:color w:val="auto"/>
                <w:spacing w:val="0"/>
                <w:kern w:val="2"/>
                <w:sz w:val="24"/>
                <w:szCs w:val="24"/>
                <w:lang w:val="en-US" w:eastAsia="zh-CN" w:bidi="ar-SA"/>
              </w:rPr>
              <w:t>能够</w:t>
            </w:r>
            <w:r>
              <w:rPr>
                <w:rFonts w:hint="default" w:ascii="Times New Roman" w:hAnsi="Times New Roman" w:eastAsia="仿宋_GB2312" w:cs="Times New Roman"/>
                <w:bCs w:val="0"/>
                <w:color w:val="auto"/>
                <w:spacing w:val="0"/>
                <w:kern w:val="2"/>
                <w:sz w:val="24"/>
                <w:szCs w:val="24"/>
                <w:lang w:val="en-US" w:eastAsia="zh-CN" w:bidi="ar-SA"/>
              </w:rPr>
              <w:t>处理</w:t>
            </w:r>
            <w:r>
              <w:rPr>
                <w:rFonts w:hint="eastAsia" w:ascii="Times New Roman" w:hAnsi="Times New Roman" w:eastAsia="仿宋_GB2312" w:cs="Times New Roman"/>
                <w:bCs w:val="0"/>
                <w:color w:val="auto"/>
                <w:spacing w:val="0"/>
                <w:kern w:val="2"/>
                <w:sz w:val="24"/>
                <w:szCs w:val="24"/>
                <w:lang w:val="en-US" w:eastAsia="zh-CN" w:bidi="ar-SA"/>
              </w:rPr>
              <w:t>900</w:t>
            </w:r>
            <w:r>
              <w:rPr>
                <w:rFonts w:hint="default" w:ascii="Times New Roman" w:hAnsi="Times New Roman" w:eastAsia="仿宋_GB2312" w:cs="Times New Roman"/>
                <w:bCs w:val="0"/>
                <w:color w:val="auto"/>
                <w:spacing w:val="0"/>
                <w:kern w:val="2"/>
                <w:sz w:val="24"/>
                <w:szCs w:val="24"/>
                <w:lang w:val="en-US" w:eastAsia="zh-CN" w:bidi="ar-SA"/>
              </w:rPr>
              <w:t>kg</w:t>
            </w:r>
            <w:r>
              <w:rPr>
                <w:rFonts w:hint="eastAsia" w:ascii="Times New Roman" w:hAnsi="Times New Roman" w:eastAsia="仿宋_GB2312" w:cs="Times New Roman"/>
                <w:bCs w:val="0"/>
                <w:color w:val="auto"/>
                <w:spacing w:val="0"/>
                <w:kern w:val="2"/>
                <w:sz w:val="24"/>
                <w:szCs w:val="24"/>
                <w:lang w:val="en-US" w:eastAsia="zh-CN" w:bidi="ar-SA"/>
              </w:rPr>
              <w:t>物料，</w:t>
            </w:r>
            <w:r>
              <w:rPr>
                <w:rFonts w:hint="default" w:ascii="Times New Roman" w:hAnsi="Times New Roman" w:eastAsia="仿宋_GB2312" w:cs="Times New Roman"/>
                <w:bCs w:val="0"/>
                <w:color w:val="auto"/>
                <w:spacing w:val="0"/>
                <w:kern w:val="2"/>
                <w:sz w:val="24"/>
                <w:szCs w:val="24"/>
                <w:lang w:val="en-US" w:eastAsia="zh-CN" w:bidi="ar-SA"/>
              </w:rPr>
              <w:t>每批次平均处理时间</w:t>
            </w:r>
            <w:r>
              <w:rPr>
                <w:rFonts w:hint="eastAsia" w:ascii="Times New Roman" w:hAnsi="Times New Roman" w:eastAsia="仿宋_GB2312" w:cs="Times New Roman"/>
                <w:bCs w:val="0"/>
                <w:color w:val="auto"/>
                <w:spacing w:val="0"/>
                <w:kern w:val="2"/>
                <w:sz w:val="24"/>
                <w:szCs w:val="24"/>
                <w:lang w:val="en-US" w:eastAsia="zh-CN" w:bidi="ar-SA"/>
              </w:rPr>
              <w:t>为8-16h，年最大处理180批次，产能负荷率为76.5%。本项目</w:t>
            </w:r>
            <w:r>
              <w:rPr>
                <w:rFonts w:hint="default" w:ascii="Times New Roman" w:hAnsi="Times New Roman" w:eastAsia="仿宋_GB2312" w:cs="Times New Roman"/>
                <w:bCs w:val="0"/>
                <w:color w:val="auto"/>
                <w:spacing w:val="0"/>
                <w:kern w:val="2"/>
                <w:sz w:val="24"/>
                <w:szCs w:val="24"/>
                <w:lang w:val="en-US" w:eastAsia="zh-CN" w:bidi="ar-SA"/>
              </w:rPr>
              <w:t>保健食品胶囊</w:t>
            </w:r>
            <w:r>
              <w:rPr>
                <w:rFonts w:hint="eastAsia" w:ascii="Times New Roman" w:hAnsi="Times New Roman" w:eastAsia="仿宋_GB2312" w:cs="Times New Roman"/>
                <w:bCs w:val="0"/>
                <w:color w:val="auto"/>
                <w:spacing w:val="0"/>
                <w:kern w:val="2"/>
                <w:sz w:val="24"/>
                <w:szCs w:val="24"/>
                <w:lang w:val="en-US" w:eastAsia="zh-CN" w:bidi="ar-SA"/>
              </w:rPr>
              <w:t>生产线中，决定产品生产速率的主要设备为湿法制粒机。湿法制粒机</w:t>
            </w:r>
            <w:r>
              <w:rPr>
                <w:rFonts w:hint="default" w:ascii="Times New Roman" w:hAnsi="Times New Roman" w:eastAsia="仿宋_GB2312" w:cs="Times New Roman"/>
                <w:bCs w:val="0"/>
                <w:color w:val="auto"/>
                <w:spacing w:val="0"/>
                <w:kern w:val="2"/>
                <w:sz w:val="24"/>
                <w:szCs w:val="24"/>
                <w:lang w:val="en-US" w:eastAsia="zh-CN" w:bidi="ar-SA"/>
              </w:rPr>
              <w:t>单批次</w:t>
            </w:r>
            <w:r>
              <w:rPr>
                <w:rFonts w:hint="eastAsia" w:ascii="Times New Roman" w:hAnsi="Times New Roman" w:eastAsia="仿宋_GB2312" w:cs="Times New Roman"/>
                <w:bCs w:val="0"/>
                <w:color w:val="auto"/>
                <w:spacing w:val="0"/>
                <w:kern w:val="2"/>
                <w:sz w:val="24"/>
                <w:szCs w:val="24"/>
                <w:lang w:val="en-US" w:eastAsia="zh-CN" w:bidi="ar-SA"/>
              </w:rPr>
              <w:t>能够</w:t>
            </w:r>
            <w:r>
              <w:rPr>
                <w:rFonts w:hint="default" w:ascii="Times New Roman" w:hAnsi="Times New Roman" w:eastAsia="仿宋_GB2312" w:cs="Times New Roman"/>
                <w:bCs w:val="0"/>
                <w:color w:val="auto"/>
                <w:spacing w:val="0"/>
                <w:kern w:val="2"/>
                <w:sz w:val="24"/>
                <w:szCs w:val="24"/>
                <w:lang w:val="en-US" w:eastAsia="zh-CN" w:bidi="ar-SA"/>
              </w:rPr>
              <w:t>处理</w:t>
            </w:r>
            <w:r>
              <w:rPr>
                <w:rFonts w:hint="eastAsia" w:ascii="Times New Roman" w:hAnsi="Times New Roman" w:eastAsia="仿宋_GB2312" w:cs="Times New Roman"/>
                <w:bCs w:val="0"/>
                <w:color w:val="auto"/>
                <w:spacing w:val="0"/>
                <w:kern w:val="2"/>
                <w:sz w:val="24"/>
                <w:szCs w:val="24"/>
                <w:lang w:val="en-US" w:eastAsia="zh-CN" w:bidi="ar-SA"/>
              </w:rPr>
              <w:t>100</w:t>
            </w:r>
            <w:r>
              <w:rPr>
                <w:rFonts w:hint="default" w:ascii="Times New Roman" w:hAnsi="Times New Roman" w:eastAsia="仿宋_GB2312" w:cs="Times New Roman"/>
                <w:bCs w:val="0"/>
                <w:color w:val="auto"/>
                <w:spacing w:val="0"/>
                <w:kern w:val="2"/>
                <w:sz w:val="24"/>
                <w:szCs w:val="24"/>
                <w:lang w:val="en-US" w:eastAsia="zh-CN" w:bidi="ar-SA"/>
              </w:rPr>
              <w:t>kg</w:t>
            </w:r>
            <w:r>
              <w:rPr>
                <w:rFonts w:hint="eastAsia" w:ascii="Times New Roman" w:hAnsi="Times New Roman" w:eastAsia="仿宋_GB2312" w:cs="Times New Roman"/>
                <w:bCs w:val="0"/>
                <w:color w:val="auto"/>
                <w:spacing w:val="0"/>
                <w:kern w:val="2"/>
                <w:sz w:val="24"/>
                <w:szCs w:val="24"/>
                <w:lang w:val="en-US" w:eastAsia="zh-CN" w:bidi="ar-SA"/>
              </w:rPr>
              <w:t>物料，</w:t>
            </w:r>
            <w:r>
              <w:rPr>
                <w:rFonts w:hint="default" w:ascii="Times New Roman" w:hAnsi="Times New Roman" w:eastAsia="仿宋_GB2312" w:cs="Times New Roman"/>
                <w:bCs w:val="0"/>
                <w:color w:val="auto"/>
                <w:spacing w:val="0"/>
                <w:kern w:val="2"/>
                <w:sz w:val="24"/>
                <w:szCs w:val="24"/>
                <w:lang w:val="en-US" w:eastAsia="zh-CN" w:bidi="ar-SA"/>
              </w:rPr>
              <w:t>每批次平均处理时间</w:t>
            </w:r>
            <w:r>
              <w:rPr>
                <w:rFonts w:hint="eastAsia" w:ascii="Times New Roman" w:hAnsi="Times New Roman" w:eastAsia="仿宋_GB2312" w:cs="Times New Roman"/>
                <w:bCs w:val="0"/>
                <w:color w:val="auto"/>
                <w:spacing w:val="0"/>
                <w:kern w:val="2"/>
                <w:sz w:val="24"/>
                <w:szCs w:val="24"/>
                <w:lang w:val="en-US" w:eastAsia="zh-CN" w:bidi="ar-SA"/>
              </w:rPr>
              <w:t>为1-2h，年最大处理100批次，产能负荷率为72%，因此，</w:t>
            </w:r>
            <w:r>
              <w:rPr>
                <w:rFonts w:hint="default" w:ascii="Times New Roman" w:hAnsi="Times New Roman" w:eastAsia="仿宋_GB2312" w:cs="Times New Roman"/>
                <w:bCs w:val="0"/>
                <w:color w:val="auto"/>
                <w:spacing w:val="0"/>
                <w:kern w:val="2"/>
                <w:sz w:val="24"/>
                <w:szCs w:val="24"/>
                <w:lang w:val="en-US" w:eastAsia="zh-CN" w:bidi="ar-SA"/>
              </w:rPr>
              <w:t>本项目生产设备生产能力能够满足生产规模需求。</w:t>
            </w:r>
          </w:p>
          <w:p w14:paraId="4E488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bCs w:val="0"/>
                <w:color w:val="0000FF"/>
                <w:spacing w:val="0"/>
                <w:kern w:val="2"/>
                <w:sz w:val="24"/>
                <w:szCs w:val="24"/>
                <w:lang w:val="en-US" w:eastAsia="zh-CN" w:bidi="ar-SA"/>
              </w:rPr>
            </w:pPr>
          </w:p>
          <w:p w14:paraId="2F621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bCs w:val="0"/>
                <w:color w:val="0000FF"/>
                <w:spacing w:val="0"/>
                <w:kern w:val="2"/>
                <w:sz w:val="24"/>
                <w:szCs w:val="24"/>
                <w:lang w:val="en-US" w:eastAsia="zh-CN" w:bidi="ar-SA"/>
              </w:rPr>
            </w:pPr>
          </w:p>
          <w:p w14:paraId="07FBC131">
            <w:pPr>
              <w:pStyle w:val="3"/>
              <w:keepNext w:val="0"/>
              <w:keepLines w:val="0"/>
              <w:suppressLineNumbers w:val="0"/>
              <w:spacing w:before="0" w:beforeAutospacing="0" w:after="0" w:afterAutospacing="0"/>
              <w:ind w:left="0" w:leftChars="0" w:right="0" w:firstLine="0" w:firstLineChars="0"/>
              <w:rPr>
                <w:rFonts w:hint="default"/>
                <w:color w:val="auto"/>
              </w:rPr>
            </w:pPr>
          </w:p>
        </w:tc>
      </w:tr>
    </w:tbl>
    <w:p w14:paraId="43657097">
      <w:pPr>
        <w:rPr>
          <w:rFonts w:eastAsia="仿宋_GB2312"/>
          <w:color w:val="auto"/>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tbl>
      <w:tblPr>
        <w:tblStyle w:val="8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3501"/>
      </w:tblGrid>
      <w:tr w14:paraId="7E896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5" w:hRule="atLeast"/>
          <w:jc w:val="center"/>
        </w:trPr>
        <w:tc>
          <w:tcPr>
            <w:tcW w:w="237" w:type="pct"/>
            <w:vAlign w:val="center"/>
          </w:tcPr>
          <w:p w14:paraId="5260CF7F">
            <w:pPr>
              <w:pStyle w:val="81"/>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仿宋_GB2312"/>
                <w:color w:val="auto"/>
                <w:szCs w:val="24"/>
              </w:rPr>
            </w:pPr>
            <w:r>
              <w:rPr>
                <w:rFonts w:hint="default" w:ascii="Times New Roman" w:hAnsi="Times New Roman" w:eastAsia="仿宋_GB2312"/>
                <w:color w:val="auto"/>
                <w:szCs w:val="24"/>
              </w:rPr>
              <w:t>建设内容</w:t>
            </w:r>
          </w:p>
        </w:tc>
        <w:tc>
          <w:tcPr>
            <w:tcW w:w="4762" w:type="pct"/>
          </w:tcPr>
          <w:p w14:paraId="7CF09BD2">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五、原辅料及其理化性质</w:t>
            </w:r>
          </w:p>
          <w:p w14:paraId="54E42534">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本项目原辅材料使用情况见下表。</w:t>
            </w:r>
          </w:p>
          <w:p w14:paraId="509FC729">
            <w:pPr>
              <w:keepNext w:val="0"/>
              <w:keepLines w:val="0"/>
              <w:suppressLineNumbers w:val="0"/>
              <w:spacing w:before="0" w:beforeAutospacing="0" w:after="0" w:afterAutospacing="0" w:line="500" w:lineRule="exact"/>
              <w:ind w:left="0" w:right="0"/>
              <w:jc w:val="center"/>
              <w:rPr>
                <w:rFonts w:hint="default" w:eastAsia="仿宋_GB2312"/>
                <w:b/>
                <w:color w:val="auto"/>
                <w:kern w:val="0"/>
                <w:sz w:val="22"/>
                <w:szCs w:val="22"/>
              </w:rPr>
            </w:pPr>
            <w:r>
              <w:rPr>
                <w:rFonts w:hint="default" w:eastAsia="仿宋_GB2312"/>
                <w:b/>
                <w:color w:val="auto"/>
                <w:kern w:val="0"/>
                <w:sz w:val="22"/>
                <w:szCs w:val="22"/>
              </w:rPr>
              <w:t>表2-</w:t>
            </w:r>
            <w:r>
              <w:rPr>
                <w:rFonts w:hint="eastAsia" w:eastAsia="仿宋_GB2312"/>
                <w:b/>
                <w:color w:val="auto"/>
                <w:kern w:val="0"/>
                <w:sz w:val="22"/>
                <w:szCs w:val="22"/>
                <w:lang w:val="en-US" w:eastAsia="zh-CN"/>
              </w:rPr>
              <w:t>8</w:t>
            </w:r>
            <w:r>
              <w:rPr>
                <w:rFonts w:hint="default" w:eastAsia="仿宋_GB2312"/>
                <w:b/>
                <w:color w:val="auto"/>
                <w:kern w:val="0"/>
                <w:sz w:val="22"/>
                <w:szCs w:val="22"/>
              </w:rPr>
              <w:t xml:space="preserve">  主要原辅材料消耗量汇总表</w:t>
            </w:r>
          </w:p>
          <w:tbl>
            <w:tblPr>
              <w:tblStyle w:val="8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746"/>
              <w:gridCol w:w="1832"/>
              <w:gridCol w:w="891"/>
              <w:gridCol w:w="1394"/>
              <w:gridCol w:w="1278"/>
              <w:gridCol w:w="1808"/>
              <w:gridCol w:w="1188"/>
              <w:gridCol w:w="1363"/>
            </w:tblGrid>
            <w:tr w14:paraId="68CEF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0" w:type="pct"/>
                  <w:vAlign w:val="center"/>
                </w:tcPr>
                <w:p w14:paraId="1460B31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highlight w:val="yellow"/>
                    </w:rPr>
                  </w:pPr>
                  <w:r>
                    <w:rPr>
                      <w:rFonts w:hint="default" w:ascii="Times New Roman" w:hAnsi="Times New Roman" w:eastAsia="仿宋_GB2312" w:cs="Times New Roman"/>
                      <w:b/>
                      <w:color w:val="auto"/>
                      <w:sz w:val="21"/>
                    </w:rPr>
                    <w:t>类别</w:t>
                  </w:r>
                </w:p>
              </w:tc>
              <w:tc>
                <w:tcPr>
                  <w:tcW w:w="1036" w:type="pct"/>
                  <w:vAlign w:val="center"/>
                </w:tcPr>
                <w:p w14:paraId="14CD37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名称</w:t>
                  </w:r>
                </w:p>
              </w:tc>
              <w:tc>
                <w:tcPr>
                  <w:tcW w:w="691" w:type="pct"/>
                  <w:vAlign w:val="center"/>
                </w:tcPr>
                <w:p w14:paraId="793C23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规格</w:t>
                  </w:r>
                </w:p>
              </w:tc>
              <w:tc>
                <w:tcPr>
                  <w:tcW w:w="336" w:type="pct"/>
                  <w:vAlign w:val="center"/>
                </w:tcPr>
                <w:p w14:paraId="56F009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形态</w:t>
                  </w:r>
                </w:p>
              </w:tc>
              <w:tc>
                <w:tcPr>
                  <w:tcW w:w="526" w:type="pct"/>
                  <w:vAlign w:val="center"/>
                </w:tcPr>
                <w:p w14:paraId="4A9BA86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年用量</w:t>
                  </w:r>
                </w:p>
                <w:p w14:paraId="4BB11E3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（t/a）</w:t>
                  </w:r>
                </w:p>
              </w:tc>
              <w:tc>
                <w:tcPr>
                  <w:tcW w:w="482" w:type="pct"/>
                  <w:vAlign w:val="center"/>
                </w:tcPr>
                <w:p w14:paraId="061ED23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最大存储量（t）</w:t>
                  </w:r>
                </w:p>
              </w:tc>
              <w:tc>
                <w:tcPr>
                  <w:tcW w:w="682" w:type="pct"/>
                  <w:vAlign w:val="center"/>
                </w:tcPr>
                <w:p w14:paraId="23A467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包装规格</w:t>
                  </w:r>
                </w:p>
              </w:tc>
              <w:tc>
                <w:tcPr>
                  <w:tcW w:w="448" w:type="pct"/>
                  <w:vAlign w:val="center"/>
                </w:tcPr>
                <w:p w14:paraId="68A0DE7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来源及运输</w:t>
                  </w:r>
                </w:p>
              </w:tc>
              <w:tc>
                <w:tcPr>
                  <w:tcW w:w="514" w:type="pct"/>
                  <w:vAlign w:val="center"/>
                </w:tcPr>
                <w:p w14:paraId="3873F1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存储地点</w:t>
                  </w:r>
                </w:p>
              </w:tc>
            </w:tr>
            <w:tr w14:paraId="25526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restart"/>
                  <w:vAlign w:val="center"/>
                </w:tcPr>
                <w:p w14:paraId="02F1ABE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ascii="Times New Roman" w:hAnsi="Times New Roman" w:eastAsia="仿宋_GB2312" w:cs="Times New Roman"/>
                      <w:color w:val="auto"/>
                      <w:sz w:val="21"/>
                      <w:highlight w:val="none"/>
                    </w:rPr>
                    <w:t>生产</w:t>
                  </w:r>
                </w:p>
              </w:tc>
              <w:tc>
                <w:tcPr>
                  <w:tcW w:w="1036" w:type="pct"/>
                  <w:vAlign w:val="center"/>
                </w:tcPr>
                <w:p w14:paraId="7785F97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工程菌株</w:t>
                  </w:r>
                </w:p>
                <w:p w14:paraId="1D32B6E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（LUMY-DHQ）</w:t>
                  </w:r>
                </w:p>
              </w:tc>
              <w:tc>
                <w:tcPr>
                  <w:tcW w:w="691" w:type="pct"/>
                  <w:vAlign w:val="center"/>
                </w:tcPr>
                <w:p w14:paraId="06B943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c>
                <w:tcPr>
                  <w:tcW w:w="336" w:type="pct"/>
                  <w:vAlign w:val="center"/>
                </w:tcPr>
                <w:p w14:paraId="5B128E0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液态</w:t>
                  </w:r>
                </w:p>
              </w:tc>
              <w:tc>
                <w:tcPr>
                  <w:tcW w:w="526" w:type="pct"/>
                  <w:vAlign w:val="center"/>
                </w:tcPr>
                <w:p w14:paraId="6CE527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0000FF"/>
                      <w:sz w:val="21"/>
                      <w:highlight w:val="none"/>
                    </w:rPr>
                  </w:pPr>
                  <w:r>
                    <w:rPr>
                      <w:rFonts w:hint="default" w:ascii="Times New Roman" w:hAnsi="Times New Roman" w:eastAsia="仿宋_GB2312" w:cs="Times New Roman"/>
                      <w:color w:val="0000FF"/>
                      <w:sz w:val="21"/>
                      <w:highlight w:val="none"/>
                    </w:rPr>
                    <w:t>0.04</w:t>
                  </w:r>
                </w:p>
              </w:tc>
              <w:tc>
                <w:tcPr>
                  <w:tcW w:w="482" w:type="pct"/>
                  <w:vAlign w:val="center"/>
                </w:tcPr>
                <w:p w14:paraId="2F3745DD">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0000FF"/>
                      <w:sz w:val="21"/>
                      <w:highlight w:val="none"/>
                      <w:lang w:eastAsia="zh-CN"/>
                    </w:rPr>
                  </w:pPr>
                  <w:r>
                    <w:rPr>
                      <w:rFonts w:hint="default" w:ascii="Times New Roman" w:hAnsi="Times New Roman" w:eastAsia="仿宋_GB2312" w:cs="Times New Roman"/>
                      <w:color w:val="0000FF"/>
                      <w:sz w:val="21"/>
                      <w:highlight w:val="none"/>
                    </w:rPr>
                    <w:t>0.0</w:t>
                  </w:r>
                  <w:r>
                    <w:rPr>
                      <w:rFonts w:hint="eastAsia" w:eastAsia="仿宋_GB2312" w:cs="Times New Roman"/>
                      <w:color w:val="0000FF"/>
                      <w:sz w:val="21"/>
                      <w:highlight w:val="none"/>
                      <w:lang w:val="en-US" w:eastAsia="zh-CN"/>
                    </w:rPr>
                    <w:t>01</w:t>
                  </w:r>
                </w:p>
              </w:tc>
              <w:tc>
                <w:tcPr>
                  <w:tcW w:w="682" w:type="pct"/>
                  <w:vAlign w:val="center"/>
                </w:tcPr>
                <w:p w14:paraId="6208146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c>
                <w:tcPr>
                  <w:tcW w:w="448" w:type="pct"/>
                  <w:vMerge w:val="restart"/>
                  <w:vAlign w:val="center"/>
                </w:tcPr>
                <w:p w14:paraId="020DCD4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国内，汽运</w:t>
                  </w:r>
                </w:p>
              </w:tc>
              <w:tc>
                <w:tcPr>
                  <w:tcW w:w="514" w:type="pct"/>
                  <w:vMerge w:val="restart"/>
                  <w:vAlign w:val="center"/>
                </w:tcPr>
                <w:p w14:paraId="357318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菌种间</w:t>
                  </w:r>
                </w:p>
              </w:tc>
            </w:tr>
            <w:tr w14:paraId="68370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3E3CF512">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 w:val="21"/>
                      <w:highlight w:val="none"/>
                    </w:rPr>
                  </w:pPr>
                </w:p>
              </w:tc>
              <w:tc>
                <w:tcPr>
                  <w:tcW w:w="1036" w:type="pct"/>
                  <w:vAlign w:val="center"/>
                </w:tcPr>
                <w:p w14:paraId="129CA3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鼠李糖乳杆菌SHBCC D25162</w:t>
                  </w:r>
                </w:p>
              </w:tc>
              <w:tc>
                <w:tcPr>
                  <w:tcW w:w="691" w:type="pct"/>
                  <w:vAlign w:val="center"/>
                </w:tcPr>
                <w:p w14:paraId="76F2C893">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w:t>
                  </w:r>
                </w:p>
              </w:tc>
              <w:tc>
                <w:tcPr>
                  <w:tcW w:w="336" w:type="pct"/>
                  <w:vAlign w:val="center"/>
                </w:tcPr>
                <w:p w14:paraId="23739AF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液态</w:t>
                  </w:r>
                </w:p>
              </w:tc>
              <w:tc>
                <w:tcPr>
                  <w:tcW w:w="526" w:type="pct"/>
                  <w:vAlign w:val="center"/>
                </w:tcPr>
                <w:p w14:paraId="339BC8E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等线" w:cs="Calibri"/>
                      <w:color w:val="auto"/>
                      <w:kern w:val="0"/>
                      <w:sz w:val="21"/>
                      <w:szCs w:val="21"/>
                      <w:lang w:val="en-US" w:eastAsia="zh-CN" w:bidi="ar-SA"/>
                    </w:rPr>
                    <w:t>0.05</w:t>
                  </w:r>
                </w:p>
              </w:tc>
              <w:tc>
                <w:tcPr>
                  <w:tcW w:w="482" w:type="pct"/>
                  <w:vAlign w:val="center"/>
                </w:tcPr>
                <w:p w14:paraId="1F66837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等线" w:cs="Calibri"/>
                      <w:color w:val="auto"/>
                      <w:kern w:val="0"/>
                      <w:sz w:val="21"/>
                      <w:szCs w:val="21"/>
                      <w:lang w:val="en-US" w:eastAsia="zh-CN" w:bidi="ar-SA"/>
                    </w:rPr>
                    <w:t>0.05</w:t>
                  </w:r>
                </w:p>
              </w:tc>
              <w:tc>
                <w:tcPr>
                  <w:tcW w:w="682" w:type="pct"/>
                  <w:vAlign w:val="center"/>
                </w:tcPr>
                <w:p w14:paraId="26380BF0">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w:t>
                  </w:r>
                </w:p>
              </w:tc>
              <w:tc>
                <w:tcPr>
                  <w:tcW w:w="448" w:type="pct"/>
                  <w:vMerge w:val="continue"/>
                  <w:vAlign w:val="center"/>
                </w:tcPr>
                <w:p w14:paraId="0E9383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4D8907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3789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40F930E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5EF3226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highlight w:val="none"/>
                    </w:rPr>
                    <w:t>L-苯丙氨酸</w:t>
                  </w:r>
                </w:p>
              </w:tc>
              <w:tc>
                <w:tcPr>
                  <w:tcW w:w="691" w:type="pct"/>
                  <w:vAlign w:val="center"/>
                </w:tcPr>
                <w:p w14:paraId="1358085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7EF9F7D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晶体</w:t>
                  </w:r>
                </w:p>
              </w:tc>
              <w:tc>
                <w:tcPr>
                  <w:tcW w:w="526" w:type="pct"/>
                  <w:vAlign w:val="center"/>
                </w:tcPr>
                <w:p w14:paraId="1BBDA95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0.2576</w:t>
                  </w:r>
                </w:p>
              </w:tc>
              <w:tc>
                <w:tcPr>
                  <w:tcW w:w="482" w:type="pct"/>
                  <w:vAlign w:val="center"/>
                </w:tcPr>
                <w:p w14:paraId="3B5FDC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0.025</w:t>
                  </w:r>
                </w:p>
              </w:tc>
              <w:tc>
                <w:tcPr>
                  <w:tcW w:w="682" w:type="pct"/>
                  <w:vAlign w:val="center"/>
                </w:tcPr>
                <w:p w14:paraId="6084EA7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 kg</w:t>
                  </w:r>
                </w:p>
              </w:tc>
              <w:tc>
                <w:tcPr>
                  <w:tcW w:w="448" w:type="pct"/>
                  <w:vMerge w:val="continue"/>
                  <w:vAlign w:val="center"/>
                </w:tcPr>
                <w:p w14:paraId="59DDE2E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restart"/>
                  <w:vAlign w:val="center"/>
                </w:tcPr>
                <w:p w14:paraId="5126490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ascii="Times New Roman" w:hAnsi="Times New Roman" w:eastAsia="仿宋_GB2312" w:cs="Times New Roman"/>
                      <w:color w:val="auto"/>
                      <w:sz w:val="21"/>
                    </w:rPr>
                    <w:t>常温库</w:t>
                  </w:r>
                </w:p>
              </w:tc>
            </w:tr>
            <w:tr w14:paraId="3734F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0CD671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016E504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柚皮素</w:t>
                  </w:r>
                </w:p>
              </w:tc>
              <w:tc>
                <w:tcPr>
                  <w:tcW w:w="691" w:type="pct"/>
                  <w:vAlign w:val="center"/>
                </w:tcPr>
                <w:p w14:paraId="357288C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5F24E21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57EA208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0.636</w:t>
                  </w:r>
                </w:p>
              </w:tc>
              <w:tc>
                <w:tcPr>
                  <w:tcW w:w="482" w:type="pct"/>
                  <w:vAlign w:val="center"/>
                </w:tcPr>
                <w:p w14:paraId="3797AB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0.1</w:t>
                  </w:r>
                </w:p>
              </w:tc>
              <w:tc>
                <w:tcPr>
                  <w:tcW w:w="682" w:type="pct"/>
                  <w:vAlign w:val="center"/>
                </w:tcPr>
                <w:p w14:paraId="0F30B4C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 kg</w:t>
                  </w:r>
                </w:p>
              </w:tc>
              <w:tc>
                <w:tcPr>
                  <w:tcW w:w="448" w:type="pct"/>
                  <w:vMerge w:val="continue"/>
                  <w:vAlign w:val="center"/>
                </w:tcPr>
                <w:p w14:paraId="7B9D51B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6FDB946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5DBC7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78725A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673A4B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none"/>
                      <w:lang w:val="en-US" w:eastAsia="zh-CN"/>
                    </w:rPr>
                  </w:pPr>
                  <w:r>
                    <w:rPr>
                      <w:rFonts w:hint="default" w:ascii="Times New Roman" w:hAnsi="Times New Roman" w:eastAsia="仿宋_GB2312" w:cs="Times New Roman"/>
                      <w:color w:val="auto"/>
                      <w:sz w:val="21"/>
                      <w:highlight w:val="none"/>
                    </w:rPr>
                    <w:t>蛋白胨</w:t>
                  </w:r>
                </w:p>
              </w:tc>
              <w:tc>
                <w:tcPr>
                  <w:tcW w:w="691" w:type="pct"/>
                  <w:vAlign w:val="center"/>
                </w:tcPr>
                <w:p w14:paraId="1DFA15F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4A4C61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15C701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0.3376</w:t>
                  </w:r>
                </w:p>
              </w:tc>
              <w:tc>
                <w:tcPr>
                  <w:tcW w:w="482" w:type="pct"/>
                  <w:vAlign w:val="center"/>
                </w:tcPr>
                <w:p w14:paraId="5895121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0.125</w:t>
                  </w:r>
                </w:p>
              </w:tc>
              <w:tc>
                <w:tcPr>
                  <w:tcW w:w="682" w:type="pct"/>
                  <w:vAlign w:val="center"/>
                </w:tcPr>
                <w:p w14:paraId="396893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 kg</w:t>
                  </w:r>
                </w:p>
              </w:tc>
              <w:tc>
                <w:tcPr>
                  <w:tcW w:w="448" w:type="pct"/>
                  <w:vMerge w:val="continue"/>
                  <w:vAlign w:val="center"/>
                </w:tcPr>
                <w:p w14:paraId="69A7CC7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0687FC3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52EB7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19B39A9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286A91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none"/>
                      <w:lang w:val="en-US" w:eastAsia="zh-CN"/>
                    </w:rPr>
                  </w:pPr>
                  <w:r>
                    <w:rPr>
                      <w:rFonts w:hint="default" w:ascii="Times New Roman" w:hAnsi="Times New Roman" w:eastAsia="仿宋_GB2312" w:cs="Times New Roman"/>
                      <w:color w:val="auto"/>
                      <w:sz w:val="21"/>
                      <w:highlight w:val="none"/>
                    </w:rPr>
                    <w:t>酵母粉（主要成分：氨基酸、维生素、微量元素如Fe</w:t>
                  </w:r>
                  <w:r>
                    <w:rPr>
                      <w:rFonts w:hint="default" w:ascii="Times New Roman" w:hAnsi="Times New Roman" w:eastAsia="仿宋_GB2312" w:cs="Times New Roman"/>
                      <w:color w:val="auto"/>
                      <w:sz w:val="21"/>
                      <w:highlight w:val="none"/>
                      <w:vertAlign w:val="superscript"/>
                    </w:rPr>
                    <w:t>2+</w:t>
                  </w:r>
                  <w:r>
                    <w:rPr>
                      <w:rFonts w:hint="default" w:ascii="Times New Roman" w:hAnsi="Times New Roman" w:eastAsia="仿宋_GB2312" w:cs="Times New Roman"/>
                      <w:color w:val="auto"/>
                      <w:sz w:val="21"/>
                      <w:highlight w:val="none"/>
                    </w:rPr>
                    <w:t>等）</w:t>
                  </w:r>
                </w:p>
              </w:tc>
              <w:tc>
                <w:tcPr>
                  <w:tcW w:w="691" w:type="pct"/>
                  <w:vAlign w:val="center"/>
                </w:tcPr>
                <w:p w14:paraId="045A997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1FB71F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5A9DFB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rPr>
                    <w:t>0.</w:t>
                  </w:r>
                  <w:r>
                    <w:rPr>
                      <w:rFonts w:hint="eastAsia" w:eastAsia="仿宋_GB2312" w:cs="Times New Roman"/>
                      <w:color w:val="auto"/>
                      <w:sz w:val="21"/>
                      <w:lang w:val="en-US" w:eastAsia="zh-CN"/>
                    </w:rPr>
                    <w:t>3355</w:t>
                  </w:r>
                </w:p>
              </w:tc>
              <w:tc>
                <w:tcPr>
                  <w:tcW w:w="482" w:type="pct"/>
                  <w:vAlign w:val="center"/>
                </w:tcPr>
                <w:p w14:paraId="67A1D67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0.125</w:t>
                  </w:r>
                </w:p>
              </w:tc>
              <w:tc>
                <w:tcPr>
                  <w:tcW w:w="682" w:type="pct"/>
                  <w:vAlign w:val="center"/>
                </w:tcPr>
                <w:p w14:paraId="42749E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 kg</w:t>
                  </w:r>
                </w:p>
              </w:tc>
              <w:tc>
                <w:tcPr>
                  <w:tcW w:w="448" w:type="pct"/>
                  <w:vMerge w:val="continue"/>
                  <w:vAlign w:val="center"/>
                </w:tcPr>
                <w:p w14:paraId="4EA7718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5D7E2E7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6D63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37CB08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44BD367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lang w:val="en-US" w:eastAsia="zh-CN"/>
                    </w:rPr>
                  </w:pPr>
                  <w:r>
                    <w:rPr>
                      <w:rFonts w:hint="default" w:ascii="Times New Roman" w:hAnsi="Times New Roman" w:eastAsia="仿宋_GB2312" w:cs="Times New Roman"/>
                      <w:color w:val="auto"/>
                      <w:sz w:val="21"/>
                      <w:highlight w:val="none"/>
                    </w:rPr>
                    <w:t>磷酸二氢钾</w:t>
                  </w:r>
                </w:p>
              </w:tc>
              <w:tc>
                <w:tcPr>
                  <w:tcW w:w="691" w:type="pct"/>
                  <w:vAlign w:val="center"/>
                </w:tcPr>
                <w:p w14:paraId="4B9300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75C29D4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晶体</w:t>
                  </w:r>
                </w:p>
              </w:tc>
              <w:tc>
                <w:tcPr>
                  <w:tcW w:w="526" w:type="pct"/>
                  <w:vAlign w:val="center"/>
                </w:tcPr>
                <w:p w14:paraId="76878DE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0.1932</w:t>
                  </w:r>
                </w:p>
              </w:tc>
              <w:tc>
                <w:tcPr>
                  <w:tcW w:w="482" w:type="pct"/>
                  <w:vAlign w:val="center"/>
                </w:tcPr>
                <w:p w14:paraId="04E3F11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0.05</w:t>
                  </w:r>
                </w:p>
              </w:tc>
              <w:tc>
                <w:tcPr>
                  <w:tcW w:w="682" w:type="pct"/>
                  <w:vAlign w:val="center"/>
                </w:tcPr>
                <w:p w14:paraId="37DB2D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 kg</w:t>
                  </w:r>
                </w:p>
              </w:tc>
              <w:tc>
                <w:tcPr>
                  <w:tcW w:w="448" w:type="pct"/>
                  <w:vMerge w:val="continue"/>
                  <w:vAlign w:val="center"/>
                </w:tcPr>
                <w:p w14:paraId="2ADEC8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60B4999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8ACD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6D861A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1571A7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highlight w:val="none"/>
                    </w:rPr>
                    <w:t>磷酸氢二钾</w:t>
                  </w:r>
                </w:p>
              </w:tc>
              <w:tc>
                <w:tcPr>
                  <w:tcW w:w="691" w:type="pct"/>
                  <w:vAlign w:val="center"/>
                </w:tcPr>
                <w:p w14:paraId="4111E8E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6A55C49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晶体</w:t>
                  </w:r>
                </w:p>
              </w:tc>
              <w:tc>
                <w:tcPr>
                  <w:tcW w:w="526" w:type="pct"/>
                  <w:vAlign w:val="center"/>
                </w:tcPr>
                <w:p w14:paraId="7F725C7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0.4118</w:t>
                  </w:r>
                </w:p>
              </w:tc>
              <w:tc>
                <w:tcPr>
                  <w:tcW w:w="482" w:type="pct"/>
                  <w:vAlign w:val="center"/>
                </w:tcPr>
                <w:p w14:paraId="4D56E06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0.05</w:t>
                  </w:r>
                </w:p>
              </w:tc>
              <w:tc>
                <w:tcPr>
                  <w:tcW w:w="682" w:type="pct"/>
                  <w:vAlign w:val="center"/>
                </w:tcPr>
                <w:p w14:paraId="2FA88D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 kg</w:t>
                  </w:r>
                </w:p>
              </w:tc>
              <w:tc>
                <w:tcPr>
                  <w:tcW w:w="448" w:type="pct"/>
                  <w:vMerge w:val="continue"/>
                  <w:vAlign w:val="center"/>
                </w:tcPr>
                <w:p w14:paraId="784570B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22DE42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F3C5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36D233D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024519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highlight w:val="none"/>
                    </w:rPr>
                    <w:t>硫酸镁</w:t>
                  </w:r>
                </w:p>
              </w:tc>
              <w:tc>
                <w:tcPr>
                  <w:tcW w:w="691" w:type="pct"/>
                  <w:vAlign w:val="center"/>
                </w:tcPr>
                <w:p w14:paraId="0EA7A7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6D6F0EB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晶体</w:t>
                  </w:r>
                </w:p>
              </w:tc>
              <w:tc>
                <w:tcPr>
                  <w:tcW w:w="526" w:type="pct"/>
                  <w:vAlign w:val="center"/>
                </w:tcPr>
                <w:p w14:paraId="3F4BB3E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rPr>
                    <w:t>0.1</w:t>
                  </w:r>
                  <w:r>
                    <w:rPr>
                      <w:rFonts w:hint="eastAsia" w:eastAsia="仿宋_GB2312" w:cs="Times New Roman"/>
                      <w:color w:val="auto"/>
                      <w:sz w:val="21"/>
                      <w:lang w:val="en-US" w:eastAsia="zh-CN"/>
                    </w:rPr>
                    <w:t>374</w:t>
                  </w:r>
                </w:p>
              </w:tc>
              <w:tc>
                <w:tcPr>
                  <w:tcW w:w="482" w:type="pct"/>
                  <w:vAlign w:val="center"/>
                </w:tcPr>
                <w:p w14:paraId="3E13F7B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0.025</w:t>
                  </w:r>
                </w:p>
              </w:tc>
              <w:tc>
                <w:tcPr>
                  <w:tcW w:w="682" w:type="pct"/>
                  <w:vAlign w:val="center"/>
                </w:tcPr>
                <w:p w14:paraId="4808B8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 kg</w:t>
                  </w:r>
                </w:p>
              </w:tc>
              <w:tc>
                <w:tcPr>
                  <w:tcW w:w="448" w:type="pct"/>
                  <w:vMerge w:val="continue"/>
                  <w:vAlign w:val="center"/>
                </w:tcPr>
                <w:p w14:paraId="7710B96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246E821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603D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0DA7EE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287309B7">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 w:val="21"/>
                      <w:highlight w:val="none"/>
                      <w:lang w:val="en-US" w:eastAsia="zh-CN"/>
                    </w:rPr>
                  </w:pPr>
                  <w:r>
                    <w:rPr>
                      <w:rFonts w:hint="eastAsia" w:eastAsia="仿宋_GB2312" w:cs="Times New Roman"/>
                      <w:color w:val="auto"/>
                      <w:sz w:val="21"/>
                      <w:highlight w:val="none"/>
                      <w:lang w:val="en-US" w:eastAsia="zh-CN"/>
                    </w:rPr>
                    <w:t>60%</w:t>
                  </w:r>
                  <w:r>
                    <w:rPr>
                      <w:rFonts w:hint="default" w:ascii="Times New Roman" w:hAnsi="Times New Roman" w:eastAsia="仿宋_GB2312" w:cs="Times New Roman"/>
                      <w:color w:val="auto"/>
                      <w:sz w:val="21"/>
                      <w:highlight w:val="none"/>
                    </w:rPr>
                    <w:t>葡萄糖</w:t>
                  </w:r>
                  <w:r>
                    <w:rPr>
                      <w:rFonts w:hint="eastAsia" w:eastAsia="仿宋_GB2312" w:cs="Times New Roman"/>
                      <w:color w:val="auto"/>
                      <w:sz w:val="21"/>
                      <w:highlight w:val="none"/>
                      <w:lang w:eastAsia="zh-CN"/>
                    </w:rPr>
                    <w:t>溶液</w:t>
                  </w:r>
                </w:p>
              </w:tc>
              <w:tc>
                <w:tcPr>
                  <w:tcW w:w="691" w:type="pct"/>
                  <w:vAlign w:val="center"/>
                </w:tcPr>
                <w:p w14:paraId="0B32C88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none"/>
                    </w:rPr>
                  </w:pPr>
                  <w:r>
                    <w:rPr>
                      <w:rFonts w:hint="eastAsia" w:eastAsia="仿宋_GB2312" w:cs="Times New Roman"/>
                      <w:color w:val="auto"/>
                      <w:sz w:val="21"/>
                      <w:highlight w:val="none"/>
                      <w:lang w:val="en-US" w:eastAsia="zh-CN"/>
                    </w:rPr>
                    <w:t>60</w:t>
                  </w:r>
                  <w:r>
                    <w:rPr>
                      <w:rFonts w:hint="default" w:ascii="Times New Roman" w:hAnsi="Times New Roman" w:eastAsia="仿宋_GB2312" w:cs="Times New Roman"/>
                      <w:color w:val="auto"/>
                      <w:sz w:val="21"/>
                      <w:highlight w:val="none"/>
                    </w:rPr>
                    <w:t>%</w:t>
                  </w:r>
                </w:p>
              </w:tc>
              <w:tc>
                <w:tcPr>
                  <w:tcW w:w="336" w:type="pct"/>
                  <w:vAlign w:val="center"/>
                </w:tcPr>
                <w:p w14:paraId="28EBF9A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液态</w:t>
                  </w:r>
                </w:p>
              </w:tc>
              <w:tc>
                <w:tcPr>
                  <w:tcW w:w="526" w:type="pct"/>
                  <w:vAlign w:val="center"/>
                </w:tcPr>
                <w:p w14:paraId="08EA047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lang w:val="en-US" w:eastAsia="zh-CN"/>
                    </w:rPr>
                  </w:pPr>
                  <w:r>
                    <w:rPr>
                      <w:rFonts w:hint="eastAsia" w:eastAsia="仿宋_GB2312" w:cs="Times New Roman"/>
                      <w:b w:val="0"/>
                      <w:bCs w:val="0"/>
                      <w:color w:val="auto"/>
                      <w:sz w:val="21"/>
                      <w:highlight w:val="none"/>
                      <w:lang w:val="en-US" w:eastAsia="zh-CN"/>
                    </w:rPr>
                    <w:t>4.2456</w:t>
                  </w:r>
                </w:p>
              </w:tc>
              <w:tc>
                <w:tcPr>
                  <w:tcW w:w="482" w:type="pct"/>
                  <w:vAlign w:val="center"/>
                </w:tcPr>
                <w:p w14:paraId="43385D6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b w:val="0"/>
                      <w:bCs w:val="0"/>
                      <w:color w:val="auto"/>
                      <w:sz w:val="21"/>
                      <w:highlight w:val="none"/>
                    </w:rPr>
                    <w:t>0.4</w:t>
                  </w:r>
                </w:p>
              </w:tc>
              <w:tc>
                <w:tcPr>
                  <w:tcW w:w="682" w:type="pct"/>
                  <w:vAlign w:val="center"/>
                </w:tcPr>
                <w:p w14:paraId="05E6060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highlight w:val="none"/>
                    </w:rPr>
                    <w:t>桶装，25 kg</w:t>
                  </w:r>
                </w:p>
              </w:tc>
              <w:tc>
                <w:tcPr>
                  <w:tcW w:w="448" w:type="pct"/>
                  <w:vMerge w:val="continue"/>
                  <w:vAlign w:val="center"/>
                </w:tcPr>
                <w:p w14:paraId="2641105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5E7A733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1BAF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6BF3AE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5F84E89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highlight w:val="none"/>
                    </w:rPr>
                    <w:t>氢氧化钠</w:t>
                  </w:r>
                </w:p>
              </w:tc>
              <w:tc>
                <w:tcPr>
                  <w:tcW w:w="691" w:type="pct"/>
                  <w:vAlign w:val="center"/>
                </w:tcPr>
                <w:p w14:paraId="32613A8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683081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5F41BF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1.54128</w:t>
                  </w:r>
                </w:p>
              </w:tc>
              <w:tc>
                <w:tcPr>
                  <w:tcW w:w="482" w:type="pct"/>
                  <w:vAlign w:val="center"/>
                </w:tcPr>
                <w:p w14:paraId="695FEFE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0.02</w:t>
                  </w:r>
                </w:p>
              </w:tc>
              <w:tc>
                <w:tcPr>
                  <w:tcW w:w="682" w:type="pct"/>
                  <w:vAlign w:val="center"/>
                </w:tcPr>
                <w:p w14:paraId="05B1F5B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桶装，10 kg</w:t>
                  </w:r>
                </w:p>
              </w:tc>
              <w:tc>
                <w:tcPr>
                  <w:tcW w:w="448" w:type="pct"/>
                  <w:vMerge w:val="continue"/>
                  <w:vAlign w:val="center"/>
                </w:tcPr>
                <w:p w14:paraId="6C0C39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3C0BA34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703E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51AAF55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068C245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highlight w:val="none"/>
                    </w:rPr>
                    <w:t>消泡剂</w:t>
                  </w:r>
                </w:p>
              </w:tc>
              <w:tc>
                <w:tcPr>
                  <w:tcW w:w="691" w:type="pct"/>
                  <w:vAlign w:val="center"/>
                </w:tcPr>
                <w:p w14:paraId="102277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26D00C0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57F8BD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rPr>
                    <w:t>0.01</w:t>
                  </w:r>
                  <w:r>
                    <w:rPr>
                      <w:rFonts w:hint="eastAsia" w:eastAsia="仿宋_GB2312" w:cs="Times New Roman"/>
                      <w:color w:val="auto"/>
                      <w:sz w:val="21"/>
                      <w:lang w:val="en-US" w:eastAsia="zh-CN"/>
                    </w:rPr>
                    <w:t>35</w:t>
                  </w:r>
                </w:p>
              </w:tc>
              <w:tc>
                <w:tcPr>
                  <w:tcW w:w="482" w:type="pct"/>
                  <w:vAlign w:val="center"/>
                </w:tcPr>
                <w:p w14:paraId="51FD3FD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0.015</w:t>
                  </w:r>
                </w:p>
              </w:tc>
              <w:tc>
                <w:tcPr>
                  <w:tcW w:w="682" w:type="pct"/>
                  <w:vAlign w:val="center"/>
                </w:tcPr>
                <w:p w14:paraId="7C3228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桶装，5 kg</w:t>
                  </w:r>
                </w:p>
              </w:tc>
              <w:tc>
                <w:tcPr>
                  <w:tcW w:w="448" w:type="pct"/>
                  <w:vMerge w:val="continue"/>
                  <w:vAlign w:val="center"/>
                </w:tcPr>
                <w:p w14:paraId="3A80D2C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385912E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745A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7D99031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6C7E2F5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default" w:ascii="Times New Roman" w:hAnsi="Times New Roman" w:eastAsia="仿宋_GB2312" w:cs="Calibri"/>
                      <w:color w:val="auto"/>
                      <w:kern w:val="0"/>
                      <w:sz w:val="21"/>
                      <w:szCs w:val="21"/>
                      <w:highlight w:val="none"/>
                      <w:lang w:val="en-US" w:eastAsia="zh-CN" w:bidi="ar-SA"/>
                    </w:rPr>
                  </w:pPr>
                  <w:r>
                    <w:rPr>
                      <w:rFonts w:hint="eastAsia" w:ascii="Times New Roman" w:hAnsi="Times New Roman" w:cs="Calibri"/>
                      <w:color w:val="auto"/>
                      <w:szCs w:val="21"/>
                      <w:highlight w:val="none"/>
                      <w:lang w:val="en-US" w:eastAsia="zh-CN"/>
                    </w:rPr>
                    <w:t>牛肉膏</w:t>
                  </w:r>
                </w:p>
              </w:tc>
              <w:tc>
                <w:tcPr>
                  <w:tcW w:w="691" w:type="pct"/>
                  <w:vAlign w:val="center"/>
                </w:tcPr>
                <w:p w14:paraId="63E52B7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568DD75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ascii="Times New Roman" w:hAnsi="Times New Roman" w:eastAsia="仿宋_GB2312" w:cs="Times New Roman"/>
                      <w:color w:val="auto"/>
                      <w:sz w:val="21"/>
                      <w:lang w:val="en-US" w:eastAsia="zh-CN"/>
                    </w:rPr>
                    <w:t>膏状</w:t>
                  </w:r>
                </w:p>
              </w:tc>
              <w:tc>
                <w:tcPr>
                  <w:tcW w:w="526" w:type="pct"/>
                  <w:vAlign w:val="center"/>
                </w:tcPr>
                <w:p w14:paraId="5DE5BD5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ascii="Times New Roman" w:hAnsi="Times New Roman" w:eastAsia="仿宋_GB2312" w:cs="Times New Roman"/>
                      <w:color w:val="auto"/>
                      <w:sz w:val="21"/>
                      <w:lang w:val="en-US" w:eastAsia="zh-CN"/>
                    </w:rPr>
                    <w:t>0.</w:t>
                  </w:r>
                  <w:r>
                    <w:rPr>
                      <w:rFonts w:hint="eastAsia" w:eastAsia="仿宋_GB2312" w:cs="Times New Roman"/>
                      <w:color w:val="auto"/>
                      <w:sz w:val="21"/>
                      <w:lang w:val="en-US" w:eastAsia="zh-CN"/>
                    </w:rPr>
                    <w:t>23</w:t>
                  </w:r>
                </w:p>
              </w:tc>
              <w:tc>
                <w:tcPr>
                  <w:tcW w:w="482" w:type="pct"/>
                  <w:vAlign w:val="center"/>
                </w:tcPr>
                <w:p w14:paraId="4F2DA3E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0.015</w:t>
                  </w:r>
                </w:p>
              </w:tc>
              <w:tc>
                <w:tcPr>
                  <w:tcW w:w="682" w:type="pct"/>
                  <w:vAlign w:val="center"/>
                </w:tcPr>
                <w:p w14:paraId="1BC0A08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ascii="Times New Roman" w:hAnsi="Times New Roman" w:eastAsia="仿宋_GB2312" w:cs="Times New Roman"/>
                      <w:color w:val="auto"/>
                      <w:sz w:val="21"/>
                    </w:rPr>
                    <w:t>桶装，25 kg</w:t>
                  </w:r>
                </w:p>
              </w:tc>
              <w:tc>
                <w:tcPr>
                  <w:tcW w:w="448" w:type="pct"/>
                  <w:vMerge w:val="continue"/>
                  <w:vAlign w:val="center"/>
                </w:tcPr>
                <w:p w14:paraId="4A8254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6176468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DD7A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60C15AE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010DBAA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default" w:ascii="Times New Roman" w:hAnsi="Times New Roman" w:eastAsia="仿宋_GB2312" w:cs="Calibri"/>
                      <w:color w:val="auto"/>
                      <w:kern w:val="0"/>
                      <w:sz w:val="21"/>
                      <w:szCs w:val="21"/>
                      <w:lang w:val="zh-CN" w:eastAsia="zh-CN" w:bidi="ar-SA"/>
                    </w:rPr>
                  </w:pPr>
                  <w:r>
                    <w:rPr>
                      <w:rFonts w:hint="eastAsia" w:ascii="Times New Roman" w:hAnsi="Times New Roman" w:cs="Calibri"/>
                      <w:color w:val="auto"/>
                      <w:szCs w:val="21"/>
                      <w:lang w:val="en-US" w:eastAsia="zh-CN"/>
                    </w:rPr>
                    <w:t>乙酸钠</w:t>
                  </w:r>
                </w:p>
              </w:tc>
              <w:tc>
                <w:tcPr>
                  <w:tcW w:w="691" w:type="pct"/>
                  <w:vAlign w:val="center"/>
                </w:tcPr>
                <w:p w14:paraId="1816E3A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5E5BD79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晶体</w:t>
                  </w:r>
                </w:p>
              </w:tc>
              <w:tc>
                <w:tcPr>
                  <w:tcW w:w="526" w:type="pct"/>
                  <w:vAlign w:val="center"/>
                </w:tcPr>
                <w:p w14:paraId="02C598C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ascii="Times New Roman" w:hAnsi="Times New Roman" w:eastAsia="仿宋_GB2312" w:cs="Times New Roman"/>
                      <w:color w:val="auto"/>
                      <w:sz w:val="21"/>
                      <w:lang w:val="en-US" w:eastAsia="zh-CN"/>
                    </w:rPr>
                    <w:t>0.0504</w:t>
                  </w:r>
                </w:p>
              </w:tc>
              <w:tc>
                <w:tcPr>
                  <w:tcW w:w="482" w:type="pct"/>
                  <w:vAlign w:val="center"/>
                </w:tcPr>
                <w:p w14:paraId="36B2780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0.015</w:t>
                  </w:r>
                </w:p>
              </w:tc>
              <w:tc>
                <w:tcPr>
                  <w:tcW w:w="682" w:type="pct"/>
                  <w:vAlign w:val="center"/>
                </w:tcPr>
                <w:p w14:paraId="08608F6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ascii="Times New Roman" w:hAnsi="Times New Roman" w:eastAsia="仿宋_GB2312" w:cs="Times New Roman"/>
                      <w:color w:val="auto"/>
                      <w:sz w:val="21"/>
                    </w:rPr>
                    <w:t>桶装，25 kg</w:t>
                  </w:r>
                </w:p>
              </w:tc>
              <w:tc>
                <w:tcPr>
                  <w:tcW w:w="448" w:type="pct"/>
                  <w:vMerge w:val="continue"/>
                  <w:vAlign w:val="center"/>
                </w:tcPr>
                <w:p w14:paraId="7DCACCF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68FBB9C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3F47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27B6E24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08A947EB">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default" w:ascii="Times New Roman" w:hAnsi="Times New Roman" w:eastAsia="仿宋_GB2312" w:cs="Calibri"/>
                      <w:color w:val="auto"/>
                      <w:kern w:val="0"/>
                      <w:sz w:val="21"/>
                      <w:szCs w:val="21"/>
                      <w:lang w:val="en-US" w:eastAsia="zh-CN" w:bidi="ar-SA"/>
                    </w:rPr>
                  </w:pPr>
                  <w:r>
                    <w:rPr>
                      <w:rFonts w:hint="eastAsia" w:ascii="Times New Roman" w:hAnsi="Times New Roman" w:cs="Calibri"/>
                      <w:color w:val="auto"/>
                      <w:szCs w:val="21"/>
                      <w:lang w:val="en-US" w:eastAsia="zh-CN"/>
                    </w:rPr>
                    <w:t>柠檬酸二铵</w:t>
                  </w:r>
                </w:p>
              </w:tc>
              <w:tc>
                <w:tcPr>
                  <w:tcW w:w="691" w:type="pct"/>
                  <w:vAlign w:val="center"/>
                </w:tcPr>
                <w:p w14:paraId="2101DF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477918B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晶体</w:t>
                  </w:r>
                </w:p>
              </w:tc>
              <w:tc>
                <w:tcPr>
                  <w:tcW w:w="526" w:type="pct"/>
                  <w:vAlign w:val="center"/>
                </w:tcPr>
                <w:p w14:paraId="243F470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ascii="Times New Roman" w:hAnsi="Times New Roman" w:eastAsia="仿宋_GB2312" w:cs="Times New Roman"/>
                      <w:color w:val="auto"/>
                      <w:sz w:val="21"/>
                      <w:lang w:val="en-US" w:eastAsia="zh-CN"/>
                    </w:rPr>
                    <w:t>0.152</w:t>
                  </w:r>
                </w:p>
              </w:tc>
              <w:tc>
                <w:tcPr>
                  <w:tcW w:w="482" w:type="pct"/>
                  <w:vAlign w:val="center"/>
                </w:tcPr>
                <w:p w14:paraId="5B380ED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0.015</w:t>
                  </w:r>
                </w:p>
              </w:tc>
              <w:tc>
                <w:tcPr>
                  <w:tcW w:w="682" w:type="pct"/>
                  <w:vAlign w:val="center"/>
                </w:tcPr>
                <w:p w14:paraId="15A08F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ascii="Times New Roman" w:hAnsi="Times New Roman" w:eastAsia="仿宋_GB2312" w:cs="Times New Roman"/>
                      <w:color w:val="auto"/>
                      <w:sz w:val="21"/>
                    </w:rPr>
                    <w:t>桶装，25 kg</w:t>
                  </w:r>
                </w:p>
              </w:tc>
              <w:tc>
                <w:tcPr>
                  <w:tcW w:w="448" w:type="pct"/>
                  <w:vMerge w:val="continue"/>
                  <w:vAlign w:val="center"/>
                </w:tcPr>
                <w:p w14:paraId="4D838D5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3A20067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43C3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4AA711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7E654AB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微晶纤维素</w:t>
                  </w:r>
                </w:p>
              </w:tc>
              <w:tc>
                <w:tcPr>
                  <w:tcW w:w="691" w:type="pct"/>
                  <w:vAlign w:val="center"/>
                </w:tcPr>
                <w:p w14:paraId="4B92231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732BFB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7043786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0.21</w:t>
                  </w:r>
                </w:p>
              </w:tc>
              <w:tc>
                <w:tcPr>
                  <w:tcW w:w="482" w:type="pct"/>
                  <w:vAlign w:val="center"/>
                </w:tcPr>
                <w:p w14:paraId="5CAA27F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0.05</w:t>
                  </w:r>
                </w:p>
              </w:tc>
              <w:tc>
                <w:tcPr>
                  <w:tcW w:w="682" w:type="pct"/>
                  <w:vAlign w:val="center"/>
                </w:tcPr>
                <w:p w14:paraId="21C31C3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 xml:space="preserve">桶装，25kg </w:t>
                  </w:r>
                </w:p>
              </w:tc>
              <w:tc>
                <w:tcPr>
                  <w:tcW w:w="448" w:type="pct"/>
                  <w:vMerge w:val="continue"/>
                  <w:vAlign w:val="center"/>
                </w:tcPr>
                <w:p w14:paraId="5F180B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restart"/>
                  <w:vAlign w:val="center"/>
                </w:tcPr>
                <w:p w14:paraId="4A7A32D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阴凉库</w:t>
                  </w:r>
                </w:p>
              </w:tc>
            </w:tr>
            <w:tr w14:paraId="15B0F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2CAD7EB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2B71A0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低聚原花青素</w:t>
                  </w:r>
                </w:p>
              </w:tc>
              <w:tc>
                <w:tcPr>
                  <w:tcW w:w="691" w:type="pct"/>
                  <w:vAlign w:val="center"/>
                </w:tcPr>
                <w:p w14:paraId="443B5D6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95%</w:t>
                  </w:r>
                </w:p>
              </w:tc>
              <w:tc>
                <w:tcPr>
                  <w:tcW w:w="336" w:type="pct"/>
                  <w:vAlign w:val="center"/>
                </w:tcPr>
                <w:p w14:paraId="4706DC0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21E287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1.3</w:t>
                  </w:r>
                </w:p>
              </w:tc>
              <w:tc>
                <w:tcPr>
                  <w:tcW w:w="482" w:type="pct"/>
                  <w:vAlign w:val="center"/>
                </w:tcPr>
                <w:p w14:paraId="09335C3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0.1</w:t>
                  </w:r>
                </w:p>
              </w:tc>
              <w:tc>
                <w:tcPr>
                  <w:tcW w:w="682" w:type="pct"/>
                  <w:vAlign w:val="center"/>
                </w:tcPr>
                <w:p w14:paraId="72D7FF4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 xml:space="preserve">桶装，25kg </w:t>
                  </w:r>
                </w:p>
              </w:tc>
              <w:tc>
                <w:tcPr>
                  <w:tcW w:w="448" w:type="pct"/>
                  <w:vMerge w:val="continue"/>
                  <w:vAlign w:val="center"/>
                </w:tcPr>
                <w:p w14:paraId="7D29F45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78D7432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D237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5C00BB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241A3A3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石榴提取物</w:t>
                  </w:r>
                </w:p>
              </w:tc>
              <w:tc>
                <w:tcPr>
                  <w:tcW w:w="691" w:type="pct"/>
                  <w:vAlign w:val="center"/>
                </w:tcPr>
                <w:p w14:paraId="42FA5A2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98%</w:t>
                  </w:r>
                </w:p>
              </w:tc>
              <w:tc>
                <w:tcPr>
                  <w:tcW w:w="336" w:type="pct"/>
                  <w:vAlign w:val="center"/>
                </w:tcPr>
                <w:p w14:paraId="630FFF7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27A5A5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1.3</w:t>
                  </w:r>
                </w:p>
              </w:tc>
              <w:tc>
                <w:tcPr>
                  <w:tcW w:w="482" w:type="pct"/>
                  <w:vAlign w:val="center"/>
                </w:tcPr>
                <w:p w14:paraId="60C9BE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0.1</w:t>
                  </w:r>
                </w:p>
              </w:tc>
              <w:tc>
                <w:tcPr>
                  <w:tcW w:w="682" w:type="pct"/>
                  <w:vAlign w:val="center"/>
                </w:tcPr>
                <w:p w14:paraId="4C25A6A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桶装，25kg</w:t>
                  </w:r>
                </w:p>
              </w:tc>
              <w:tc>
                <w:tcPr>
                  <w:tcW w:w="448" w:type="pct"/>
                  <w:vMerge w:val="continue"/>
                  <w:vAlign w:val="center"/>
                </w:tcPr>
                <w:p w14:paraId="7D0BCCF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003567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F169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0E6323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33658B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水飞蓟提取物</w:t>
                  </w:r>
                </w:p>
              </w:tc>
              <w:tc>
                <w:tcPr>
                  <w:tcW w:w="691" w:type="pct"/>
                  <w:vAlign w:val="center"/>
                </w:tcPr>
                <w:p w14:paraId="7B81BD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0F6052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粉状</w:t>
                  </w:r>
                </w:p>
              </w:tc>
              <w:tc>
                <w:tcPr>
                  <w:tcW w:w="526" w:type="pct"/>
                  <w:vAlign w:val="center"/>
                </w:tcPr>
                <w:p w14:paraId="1A27C9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0.476</w:t>
                  </w:r>
                </w:p>
              </w:tc>
              <w:tc>
                <w:tcPr>
                  <w:tcW w:w="482" w:type="pct"/>
                  <w:vAlign w:val="center"/>
                </w:tcPr>
                <w:p w14:paraId="56D086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0.1</w:t>
                  </w:r>
                </w:p>
              </w:tc>
              <w:tc>
                <w:tcPr>
                  <w:tcW w:w="682" w:type="pct"/>
                  <w:vAlign w:val="center"/>
                </w:tcPr>
                <w:p w14:paraId="15E9A6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桶装，25kg</w:t>
                  </w:r>
                </w:p>
              </w:tc>
              <w:tc>
                <w:tcPr>
                  <w:tcW w:w="448" w:type="pct"/>
                  <w:vMerge w:val="continue"/>
                  <w:vAlign w:val="center"/>
                </w:tcPr>
                <w:p w14:paraId="7C37EE3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77A4120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D41C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3339CE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7ECF8F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植物胶囊壳</w:t>
                  </w:r>
                </w:p>
              </w:tc>
              <w:tc>
                <w:tcPr>
                  <w:tcW w:w="691" w:type="pct"/>
                  <w:vAlign w:val="center"/>
                </w:tcPr>
                <w:p w14:paraId="08911E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食品级</w:t>
                  </w:r>
                </w:p>
              </w:tc>
              <w:tc>
                <w:tcPr>
                  <w:tcW w:w="336" w:type="pct"/>
                  <w:vAlign w:val="center"/>
                </w:tcPr>
                <w:p w14:paraId="52D19A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固状</w:t>
                  </w:r>
                </w:p>
              </w:tc>
              <w:tc>
                <w:tcPr>
                  <w:tcW w:w="526" w:type="pct"/>
                  <w:vAlign w:val="center"/>
                </w:tcPr>
                <w:p w14:paraId="7628B4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1.9125</w:t>
                  </w:r>
                </w:p>
              </w:tc>
              <w:tc>
                <w:tcPr>
                  <w:tcW w:w="482" w:type="pct"/>
                  <w:vAlign w:val="center"/>
                </w:tcPr>
                <w:p w14:paraId="5CB3C36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0.2</w:t>
                  </w:r>
                </w:p>
              </w:tc>
              <w:tc>
                <w:tcPr>
                  <w:tcW w:w="682" w:type="pct"/>
                  <w:vAlign w:val="center"/>
                </w:tcPr>
                <w:p w14:paraId="6A2F1F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箱装，25kg</w:t>
                  </w:r>
                </w:p>
              </w:tc>
              <w:tc>
                <w:tcPr>
                  <w:tcW w:w="448" w:type="pct"/>
                  <w:vMerge w:val="continue"/>
                  <w:vAlign w:val="center"/>
                </w:tcPr>
                <w:p w14:paraId="3A7565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70A5A4E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C367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0400D3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036" w:type="pct"/>
                  <w:vAlign w:val="center"/>
                </w:tcPr>
                <w:p w14:paraId="720882A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盐酸</w:t>
                  </w:r>
                </w:p>
              </w:tc>
              <w:tc>
                <w:tcPr>
                  <w:tcW w:w="691" w:type="pct"/>
                  <w:vAlign w:val="center"/>
                </w:tcPr>
                <w:p w14:paraId="1DDD135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36%</w:t>
                  </w:r>
                </w:p>
              </w:tc>
              <w:tc>
                <w:tcPr>
                  <w:tcW w:w="336" w:type="pct"/>
                  <w:vAlign w:val="center"/>
                </w:tcPr>
                <w:p w14:paraId="42C229C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液态</w:t>
                  </w:r>
                </w:p>
              </w:tc>
              <w:tc>
                <w:tcPr>
                  <w:tcW w:w="526" w:type="pct"/>
                  <w:vAlign w:val="center"/>
                </w:tcPr>
                <w:p w14:paraId="7FB55D8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4.44</w:t>
                  </w:r>
                </w:p>
              </w:tc>
              <w:tc>
                <w:tcPr>
                  <w:tcW w:w="482" w:type="pct"/>
                  <w:vAlign w:val="center"/>
                </w:tcPr>
                <w:p w14:paraId="5C6E830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0.1</w:t>
                  </w:r>
                </w:p>
              </w:tc>
              <w:tc>
                <w:tcPr>
                  <w:tcW w:w="682" w:type="pct"/>
                  <w:vAlign w:val="center"/>
                </w:tcPr>
                <w:p w14:paraId="617C51E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桶装，25kg</w:t>
                  </w:r>
                </w:p>
              </w:tc>
              <w:tc>
                <w:tcPr>
                  <w:tcW w:w="448" w:type="pct"/>
                  <w:vMerge w:val="continue"/>
                  <w:vAlign w:val="center"/>
                </w:tcPr>
                <w:p w14:paraId="5EFAC67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Align w:val="center"/>
                </w:tcPr>
                <w:p w14:paraId="4ED6FA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二楼危化品储藏间</w:t>
                  </w:r>
                </w:p>
              </w:tc>
            </w:tr>
            <w:tr w14:paraId="52800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restart"/>
                  <w:vAlign w:val="center"/>
                </w:tcPr>
                <w:p w14:paraId="4A36735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废水处理</w:t>
                  </w:r>
                </w:p>
              </w:tc>
              <w:tc>
                <w:tcPr>
                  <w:tcW w:w="1036" w:type="pct"/>
                  <w:vAlign w:val="center"/>
                </w:tcPr>
                <w:p w14:paraId="47C8C44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PAC</w:t>
                  </w:r>
                </w:p>
                <w:p w14:paraId="7124E04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（聚合氯化铝）</w:t>
                  </w:r>
                </w:p>
              </w:tc>
              <w:tc>
                <w:tcPr>
                  <w:tcW w:w="691" w:type="pct"/>
                  <w:vAlign w:val="center"/>
                </w:tcPr>
                <w:p w14:paraId="7427F3F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Al</w:t>
                  </w:r>
                  <w:r>
                    <w:rPr>
                      <w:rFonts w:hint="default" w:ascii="Times New Roman" w:hAnsi="Times New Roman" w:eastAsia="仿宋_GB2312" w:cs="Times New Roman"/>
                      <w:color w:val="auto"/>
                      <w:sz w:val="21"/>
                      <w:vertAlign w:val="subscript"/>
                    </w:rPr>
                    <w:t>2</w:t>
                  </w:r>
                  <w:r>
                    <w:rPr>
                      <w:rFonts w:hint="default" w:ascii="Times New Roman" w:hAnsi="Times New Roman" w:eastAsia="仿宋_GB2312" w:cs="Times New Roman"/>
                      <w:color w:val="auto"/>
                      <w:sz w:val="21"/>
                    </w:rPr>
                    <w:t>O</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含量20%-30%</w:t>
                  </w:r>
                </w:p>
              </w:tc>
              <w:tc>
                <w:tcPr>
                  <w:tcW w:w="336" w:type="pct"/>
                  <w:vAlign w:val="center"/>
                </w:tcPr>
                <w:p w14:paraId="179865E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固体</w:t>
                  </w:r>
                </w:p>
              </w:tc>
              <w:tc>
                <w:tcPr>
                  <w:tcW w:w="526" w:type="pct"/>
                  <w:vAlign w:val="center"/>
                </w:tcPr>
                <w:p w14:paraId="002769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1.5</w:t>
                  </w:r>
                </w:p>
              </w:tc>
              <w:tc>
                <w:tcPr>
                  <w:tcW w:w="482" w:type="pct"/>
                  <w:vAlign w:val="center"/>
                </w:tcPr>
                <w:p w14:paraId="12FD64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0.5</w:t>
                  </w:r>
                </w:p>
              </w:tc>
              <w:tc>
                <w:tcPr>
                  <w:tcW w:w="682" w:type="pct"/>
                  <w:vAlign w:val="center"/>
                </w:tcPr>
                <w:p w14:paraId="1D76DDA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袋装，25kg</w:t>
                  </w:r>
                </w:p>
              </w:tc>
              <w:tc>
                <w:tcPr>
                  <w:tcW w:w="448" w:type="pct"/>
                  <w:vMerge w:val="restart"/>
                  <w:vAlign w:val="center"/>
                </w:tcPr>
                <w:p w14:paraId="2989CA8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国内，汽运</w:t>
                  </w:r>
                </w:p>
              </w:tc>
              <w:tc>
                <w:tcPr>
                  <w:tcW w:w="514" w:type="pct"/>
                  <w:vMerge w:val="restart"/>
                  <w:vAlign w:val="center"/>
                </w:tcPr>
                <w:p w14:paraId="20B2C17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常温库</w:t>
                  </w:r>
                </w:p>
              </w:tc>
            </w:tr>
            <w:tr w14:paraId="2A44E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vAlign w:val="center"/>
                </w:tcPr>
                <w:p w14:paraId="562F771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1036" w:type="pct"/>
                  <w:vAlign w:val="center"/>
                </w:tcPr>
                <w:p w14:paraId="63BCF0B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PAM</w:t>
                  </w:r>
                </w:p>
                <w:p w14:paraId="450C93F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（聚丙烯酰胺）</w:t>
                  </w:r>
                </w:p>
              </w:tc>
              <w:tc>
                <w:tcPr>
                  <w:tcW w:w="691" w:type="pct"/>
                  <w:vAlign w:val="center"/>
                </w:tcPr>
                <w:p w14:paraId="0638CA2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336" w:type="pct"/>
                  <w:vAlign w:val="center"/>
                </w:tcPr>
                <w:p w14:paraId="739AAA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固体</w:t>
                  </w:r>
                </w:p>
              </w:tc>
              <w:tc>
                <w:tcPr>
                  <w:tcW w:w="526" w:type="pct"/>
                  <w:vAlign w:val="center"/>
                </w:tcPr>
                <w:p w14:paraId="3DC3CA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1.5</w:t>
                  </w:r>
                </w:p>
              </w:tc>
              <w:tc>
                <w:tcPr>
                  <w:tcW w:w="482" w:type="pct"/>
                  <w:vAlign w:val="center"/>
                </w:tcPr>
                <w:p w14:paraId="135E4384">
                  <w:pPr>
                    <w:keepNext w:val="0"/>
                    <w:keepLines w:val="0"/>
                    <w:suppressLineNumbers w:val="0"/>
                    <w:spacing w:before="0" w:beforeAutospacing="0" w:after="0" w:afterAutospacing="0" w:line="320" w:lineRule="exact"/>
                    <w:ind w:left="0" w:right="0"/>
                    <w:jc w:val="center"/>
                    <w:rPr>
                      <w:rStyle w:val="142"/>
                      <w:rFonts w:hint="default" w:ascii="Times New Roman" w:hAnsi="Times New Roman" w:eastAsia="仿宋_GB2312" w:cs="Times New Roman"/>
                      <w:color w:val="auto"/>
                      <w:kern w:val="0"/>
                      <w:lang w:val="zh-CN"/>
                    </w:rPr>
                  </w:pPr>
                  <w:r>
                    <w:rPr>
                      <w:rFonts w:hint="default" w:ascii="Times New Roman" w:hAnsi="Times New Roman" w:eastAsia="仿宋_GB2312" w:cs="Times New Roman"/>
                      <w:color w:val="auto"/>
                      <w:sz w:val="21"/>
                    </w:rPr>
                    <w:t>0.5</w:t>
                  </w:r>
                </w:p>
              </w:tc>
              <w:tc>
                <w:tcPr>
                  <w:tcW w:w="682" w:type="pct"/>
                  <w:vAlign w:val="center"/>
                </w:tcPr>
                <w:p w14:paraId="6097ED4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袋装，25kg</w:t>
                  </w:r>
                </w:p>
              </w:tc>
              <w:tc>
                <w:tcPr>
                  <w:tcW w:w="448" w:type="pct"/>
                  <w:vMerge w:val="continue"/>
                  <w:vAlign w:val="center"/>
                </w:tcPr>
                <w:p w14:paraId="0A5A934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14" w:type="pct"/>
                  <w:vMerge w:val="continue"/>
                  <w:vAlign w:val="center"/>
                </w:tcPr>
                <w:p w14:paraId="0685B3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bl>
          <w:p w14:paraId="005D1A35">
            <w:pPr>
              <w:keepNext w:val="0"/>
              <w:keepLines w:val="0"/>
              <w:widowControl/>
              <w:suppressLineNumbers w:val="0"/>
              <w:snapToGrid w:val="0"/>
              <w:spacing w:before="0" w:beforeAutospacing="0" w:after="0" w:afterAutospacing="0" w:line="500" w:lineRule="exact"/>
              <w:ind w:left="0" w:right="0" w:firstLine="480" w:firstLineChars="200"/>
              <w:jc w:val="left"/>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bCs/>
                <w:color w:val="auto"/>
                <w:kern w:val="0"/>
                <w:sz w:val="24"/>
              </w:rPr>
              <w:t>本项目主要原辅材料理化性质见下表。</w:t>
            </w:r>
          </w:p>
          <w:p w14:paraId="7C07EA4B">
            <w:pPr>
              <w:keepNext w:val="0"/>
              <w:keepLines w:val="0"/>
              <w:suppressLineNumbers w:val="0"/>
              <w:spacing w:before="0" w:beforeAutospacing="0" w:after="0" w:afterAutospacing="0" w:line="500" w:lineRule="exact"/>
              <w:ind w:left="0" w:right="0"/>
              <w:jc w:val="center"/>
              <w:rPr>
                <w:rFonts w:hint="default" w:ascii="Times New Roman" w:hAnsi="Times New Roman" w:eastAsia="仿宋_GB2312" w:cs="Times New Roman"/>
                <w:b/>
                <w:color w:val="auto"/>
                <w:kern w:val="0"/>
                <w:sz w:val="22"/>
                <w:szCs w:val="22"/>
              </w:rPr>
            </w:pPr>
            <w:r>
              <w:rPr>
                <w:rFonts w:hint="default" w:ascii="Times New Roman" w:hAnsi="Times New Roman" w:eastAsia="仿宋_GB2312" w:cs="Times New Roman"/>
                <w:b/>
                <w:color w:val="auto"/>
                <w:kern w:val="0"/>
                <w:sz w:val="22"/>
                <w:szCs w:val="22"/>
              </w:rPr>
              <w:t>表2-</w:t>
            </w:r>
            <w:r>
              <w:rPr>
                <w:rFonts w:hint="eastAsia" w:eastAsia="仿宋_GB2312" w:cs="Times New Roman"/>
                <w:b/>
                <w:color w:val="auto"/>
                <w:kern w:val="0"/>
                <w:sz w:val="22"/>
                <w:szCs w:val="22"/>
                <w:lang w:val="en-US" w:eastAsia="zh-CN"/>
              </w:rPr>
              <w:t>9</w:t>
            </w:r>
            <w:r>
              <w:rPr>
                <w:rFonts w:hint="default" w:ascii="Times New Roman" w:hAnsi="Times New Roman" w:eastAsia="仿宋_GB2312" w:cs="Times New Roman"/>
                <w:b/>
                <w:color w:val="auto"/>
                <w:kern w:val="0"/>
                <w:sz w:val="22"/>
                <w:szCs w:val="22"/>
              </w:rPr>
              <w:t xml:space="preserve">  本项目主要原辅材料理化性质汇总</w:t>
            </w:r>
          </w:p>
          <w:tbl>
            <w:tblPr>
              <w:tblStyle w:val="88"/>
              <w:tblW w:w="4998"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678"/>
              <w:gridCol w:w="1196"/>
              <w:gridCol w:w="766"/>
              <w:gridCol w:w="3360"/>
              <w:gridCol w:w="2315"/>
              <w:gridCol w:w="909"/>
              <w:gridCol w:w="3026"/>
            </w:tblGrid>
            <w:tr w14:paraId="553241D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40" w:hRule="atLeast"/>
              </w:trPr>
              <w:tc>
                <w:tcPr>
                  <w:tcW w:w="633" w:type="pct"/>
                  <w:vAlign w:val="center"/>
                </w:tcPr>
                <w:p w14:paraId="6E43EA7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名称</w:t>
                  </w:r>
                </w:p>
              </w:tc>
              <w:tc>
                <w:tcPr>
                  <w:tcW w:w="451" w:type="pct"/>
                  <w:vAlign w:val="center"/>
                </w:tcPr>
                <w:p w14:paraId="579B859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CAS号</w:t>
                  </w:r>
                </w:p>
              </w:tc>
              <w:tc>
                <w:tcPr>
                  <w:tcW w:w="289" w:type="pct"/>
                  <w:vAlign w:val="center"/>
                </w:tcPr>
                <w:p w14:paraId="76321D2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危规号</w:t>
                  </w:r>
                </w:p>
              </w:tc>
              <w:tc>
                <w:tcPr>
                  <w:tcW w:w="1267" w:type="pct"/>
                  <w:vAlign w:val="center"/>
                </w:tcPr>
                <w:p w14:paraId="1415DE0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理化特性</w:t>
                  </w:r>
                </w:p>
              </w:tc>
              <w:tc>
                <w:tcPr>
                  <w:tcW w:w="873" w:type="pct"/>
                  <w:vAlign w:val="center"/>
                </w:tcPr>
                <w:p w14:paraId="5213FFD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毒性毒理</w:t>
                  </w:r>
                </w:p>
              </w:tc>
              <w:tc>
                <w:tcPr>
                  <w:tcW w:w="343" w:type="pct"/>
                  <w:vAlign w:val="center"/>
                </w:tcPr>
                <w:p w14:paraId="6BB5A54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致癌性</w:t>
                  </w:r>
                </w:p>
              </w:tc>
              <w:tc>
                <w:tcPr>
                  <w:tcW w:w="1141" w:type="pct"/>
                  <w:vAlign w:val="center"/>
                </w:tcPr>
                <w:p w14:paraId="7FC1FFA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bCs/>
                      <w:color w:val="auto"/>
                      <w:sz w:val="21"/>
                      <w:szCs w:val="21"/>
                    </w:rPr>
                    <w:t>危险性、燃烧性、爆炸性</w:t>
                  </w:r>
                </w:p>
              </w:tc>
            </w:tr>
            <w:tr w14:paraId="1213630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438BCE2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酵母粉</w:t>
                  </w:r>
                </w:p>
                <w:p w14:paraId="3337CA9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color w:val="auto"/>
                      <w:sz w:val="21"/>
                      <w:szCs w:val="21"/>
                    </w:rPr>
                    <w:t>C</w:t>
                  </w:r>
                  <w:r>
                    <w:rPr>
                      <w:rFonts w:hint="default" w:ascii="Times New Roman" w:hAnsi="Times New Roman" w:eastAsia="仿宋_GB2312" w:cs="Times New Roman"/>
                      <w:color w:val="auto"/>
                      <w:sz w:val="21"/>
                      <w:szCs w:val="21"/>
                      <w:vertAlign w:val="subscript"/>
                    </w:rPr>
                    <w:t>6</w:t>
                  </w:r>
                  <w:r>
                    <w:rPr>
                      <w:rFonts w:hint="default" w:ascii="Times New Roman" w:hAnsi="Times New Roman" w:eastAsia="仿宋_GB2312" w:cs="Times New Roman"/>
                      <w:color w:val="auto"/>
                      <w:sz w:val="21"/>
                      <w:szCs w:val="21"/>
                    </w:rPr>
                    <w:t>H</w:t>
                  </w:r>
                  <w:r>
                    <w:rPr>
                      <w:rFonts w:hint="default" w:ascii="Times New Roman" w:hAnsi="Times New Roman" w:eastAsia="仿宋_GB2312" w:cs="Times New Roman"/>
                      <w:color w:val="auto"/>
                      <w:sz w:val="21"/>
                      <w:szCs w:val="21"/>
                      <w:vertAlign w:val="subscript"/>
                    </w:rPr>
                    <w:t>5</w:t>
                  </w:r>
                  <w:r>
                    <w:rPr>
                      <w:rFonts w:hint="default" w:ascii="Times New Roman" w:hAnsi="Times New Roman" w:eastAsia="仿宋_GB2312" w:cs="Times New Roman"/>
                      <w:color w:val="auto"/>
                      <w:sz w:val="21"/>
                      <w:szCs w:val="21"/>
                    </w:rPr>
                    <w:t>N</w:t>
                  </w:r>
                  <w:r>
                    <w:rPr>
                      <w:rFonts w:hint="default" w:ascii="Times New Roman" w:hAnsi="Times New Roman" w:eastAsia="仿宋_GB2312" w:cs="Times New Roman"/>
                      <w:color w:val="auto"/>
                      <w:sz w:val="21"/>
                      <w:szCs w:val="21"/>
                      <w:vertAlign w:val="subscript"/>
                    </w:rPr>
                    <w:t>5</w:t>
                  </w:r>
                  <w:r>
                    <w:rPr>
                      <w:rFonts w:hint="default" w:ascii="Times New Roman" w:hAnsi="Times New Roman" w:eastAsia="仿宋_GB2312" w:cs="Times New Roman"/>
                      <w:color w:val="auto"/>
                      <w:sz w:val="21"/>
                      <w:szCs w:val="21"/>
                    </w:rPr>
                    <w:t>O</w:t>
                  </w:r>
                  <w:r>
                    <w:rPr>
                      <w:rFonts w:hint="default" w:ascii="Times New Roman" w:hAnsi="Times New Roman" w:eastAsia="仿宋_GB2312" w:cs="Times New Roman"/>
                      <w:color w:val="auto"/>
                      <w:sz w:val="21"/>
                      <w:szCs w:val="21"/>
                      <w:vertAlign w:val="subscript"/>
                    </w:rPr>
                    <w:t>2</w:t>
                  </w:r>
                </w:p>
              </w:tc>
              <w:tc>
                <w:tcPr>
                  <w:tcW w:w="451" w:type="pct"/>
                  <w:vAlign w:val="center"/>
                </w:tcPr>
                <w:p w14:paraId="50D5B15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color w:val="auto"/>
                      <w:sz w:val="21"/>
                      <w:szCs w:val="21"/>
                    </w:rPr>
                    <w:t>119-44-8</w:t>
                  </w:r>
                </w:p>
              </w:tc>
              <w:tc>
                <w:tcPr>
                  <w:tcW w:w="289" w:type="pct"/>
                  <w:vAlign w:val="center"/>
                </w:tcPr>
                <w:p w14:paraId="681CB2A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053C99F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外观与性状：浅黄至棕色固体；</w:t>
                  </w:r>
                </w:p>
                <w:p w14:paraId="1352E52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分子量：179.14；</w:t>
                  </w:r>
                </w:p>
                <w:p w14:paraId="4246610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熔点：410℃</w:t>
                  </w:r>
                </w:p>
                <w:p w14:paraId="18FB2E4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沸点：311.64℃；</w:t>
                  </w:r>
                </w:p>
                <w:p w14:paraId="09C751D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color w:val="auto"/>
                      <w:sz w:val="21"/>
                      <w:szCs w:val="21"/>
                    </w:rPr>
                    <w:t>溶解性：溶于水。</w:t>
                  </w:r>
                </w:p>
              </w:tc>
              <w:tc>
                <w:tcPr>
                  <w:tcW w:w="873" w:type="pct"/>
                  <w:vAlign w:val="center"/>
                </w:tcPr>
                <w:p w14:paraId="11FB74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color w:val="auto"/>
                      <w:sz w:val="21"/>
                      <w:szCs w:val="21"/>
                    </w:rPr>
                    <w:t>/</w:t>
                  </w:r>
                </w:p>
              </w:tc>
              <w:tc>
                <w:tcPr>
                  <w:tcW w:w="343" w:type="pct"/>
                  <w:vAlign w:val="center"/>
                </w:tcPr>
                <w:p w14:paraId="5CE9F5F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7AF71DB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color w:val="auto"/>
                      <w:sz w:val="21"/>
                      <w:szCs w:val="21"/>
                    </w:rPr>
                    <w:t>危险特性：可燃，不易爆。</w:t>
                  </w:r>
                </w:p>
              </w:tc>
            </w:tr>
            <w:tr w14:paraId="39082FE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69BA4C0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蛋白胨</w:t>
                  </w:r>
                </w:p>
                <w:p w14:paraId="282789D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C</w:t>
                  </w:r>
                  <w:r>
                    <w:rPr>
                      <w:rFonts w:hint="default" w:ascii="Times New Roman" w:hAnsi="Times New Roman" w:eastAsia="仿宋_GB2312" w:cs="Times New Roman"/>
                      <w:color w:val="auto"/>
                      <w:sz w:val="21"/>
                      <w:szCs w:val="21"/>
                      <w:vertAlign w:val="subscript"/>
                    </w:rPr>
                    <w:t>13</w:t>
                  </w:r>
                  <w:r>
                    <w:rPr>
                      <w:rFonts w:hint="default" w:ascii="Times New Roman" w:hAnsi="Times New Roman" w:eastAsia="仿宋_GB2312" w:cs="Times New Roman"/>
                      <w:color w:val="auto"/>
                      <w:sz w:val="21"/>
                      <w:szCs w:val="21"/>
                    </w:rPr>
                    <w:t>H</w:t>
                  </w:r>
                  <w:r>
                    <w:rPr>
                      <w:rFonts w:hint="default" w:ascii="Times New Roman" w:hAnsi="Times New Roman" w:eastAsia="仿宋_GB2312" w:cs="Times New Roman"/>
                      <w:color w:val="auto"/>
                      <w:sz w:val="21"/>
                      <w:szCs w:val="21"/>
                      <w:vertAlign w:val="subscript"/>
                    </w:rPr>
                    <w:t>24</w:t>
                  </w:r>
                  <w:r>
                    <w:rPr>
                      <w:rFonts w:hint="default" w:ascii="Times New Roman" w:hAnsi="Times New Roman" w:eastAsia="仿宋_GB2312" w:cs="Times New Roman"/>
                      <w:color w:val="auto"/>
                      <w:sz w:val="21"/>
                      <w:szCs w:val="21"/>
                    </w:rPr>
                    <w:t>O</w:t>
                  </w:r>
                  <w:r>
                    <w:rPr>
                      <w:rFonts w:hint="default" w:ascii="Times New Roman" w:hAnsi="Times New Roman" w:eastAsia="仿宋_GB2312" w:cs="Times New Roman"/>
                      <w:color w:val="auto"/>
                      <w:sz w:val="21"/>
                      <w:szCs w:val="21"/>
                      <w:vertAlign w:val="subscript"/>
                    </w:rPr>
                    <w:t>4</w:t>
                  </w:r>
                </w:p>
              </w:tc>
              <w:tc>
                <w:tcPr>
                  <w:tcW w:w="451" w:type="pct"/>
                  <w:vAlign w:val="center"/>
                </w:tcPr>
                <w:p w14:paraId="0D5C2BD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shd w:val="clear" w:color="auto" w:fill="FFFFFF"/>
                    </w:rPr>
                    <w:t>73049-73-7</w:t>
                  </w:r>
                </w:p>
              </w:tc>
              <w:tc>
                <w:tcPr>
                  <w:tcW w:w="289" w:type="pct"/>
                  <w:vAlign w:val="center"/>
                </w:tcPr>
                <w:p w14:paraId="24561D8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7A02C88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外观与</w:t>
                  </w:r>
                  <w:r>
                    <w:rPr>
                      <w:rFonts w:hint="default" w:ascii="Times New Roman" w:hAnsi="Times New Roman" w:eastAsia="仿宋_GB2312" w:cs="Times New Roman"/>
                      <w:color w:val="auto"/>
                      <w:sz w:val="21"/>
                      <w:szCs w:val="21"/>
                    </w:rPr>
                    <w:t>性状：</w:t>
                  </w:r>
                  <w:r>
                    <w:rPr>
                      <w:rFonts w:hint="default" w:ascii="Times New Roman" w:hAnsi="Times New Roman" w:eastAsia="仿宋_GB2312" w:cs="Times New Roman"/>
                      <w:color w:val="auto"/>
                      <w:kern w:val="0"/>
                      <w:sz w:val="21"/>
                      <w:szCs w:val="21"/>
                    </w:rPr>
                    <w:t>淡黄至棕黄色粉剂；</w:t>
                  </w:r>
                </w:p>
                <w:p w14:paraId="1BF9D47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分子量：244.33；</w:t>
                  </w:r>
                </w:p>
                <w:p w14:paraId="2223855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溶解性：溶于水及盐溶液中，不溶于乙醇、乙醚。</w:t>
                  </w:r>
                </w:p>
              </w:tc>
              <w:tc>
                <w:tcPr>
                  <w:tcW w:w="873" w:type="pct"/>
                  <w:vAlign w:val="center"/>
                </w:tcPr>
                <w:p w14:paraId="74445F4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343" w:type="pct"/>
                  <w:vAlign w:val="center"/>
                </w:tcPr>
                <w:p w14:paraId="35FD6D4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038F390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危险特性：可燃，不易爆。</w:t>
                  </w:r>
                </w:p>
              </w:tc>
            </w:tr>
            <w:tr w14:paraId="49FF929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60DCA435">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氯化钠</w:t>
                  </w:r>
                </w:p>
                <w:p w14:paraId="50AE235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NaCl</w:t>
                  </w:r>
                </w:p>
              </w:tc>
              <w:tc>
                <w:tcPr>
                  <w:tcW w:w="451" w:type="pct"/>
                  <w:vAlign w:val="center"/>
                </w:tcPr>
                <w:p w14:paraId="5F76359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shd w:val="clear" w:color="auto" w:fill="FFFFFF"/>
                    </w:rPr>
                  </w:pPr>
                  <w:r>
                    <w:rPr>
                      <w:rFonts w:hint="default" w:ascii="Times New Roman" w:hAnsi="Times New Roman" w:eastAsia="仿宋_GB2312" w:cs="Times New Roman"/>
                      <w:color w:val="auto"/>
                      <w:sz w:val="21"/>
                      <w:szCs w:val="21"/>
                    </w:rPr>
                    <w:t>7647-14-5</w:t>
                  </w:r>
                </w:p>
              </w:tc>
              <w:tc>
                <w:tcPr>
                  <w:tcW w:w="289" w:type="pct"/>
                  <w:vAlign w:val="center"/>
                </w:tcPr>
                <w:p w14:paraId="005092D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13259EC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外观与性状：白色晶体粉末或结晶体；</w:t>
                  </w:r>
                </w:p>
                <w:p w14:paraId="4BE1ABA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分子量：58.44；</w:t>
                  </w:r>
                </w:p>
                <w:p w14:paraId="2EEDA92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溶解度：高度溶于水；</w:t>
                  </w:r>
                </w:p>
                <w:p w14:paraId="6B232B5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相对密度：2.17g/cm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（20℃）；</w:t>
                  </w:r>
                </w:p>
                <w:p w14:paraId="0DB0B62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sz w:val="21"/>
                      <w:szCs w:val="21"/>
                    </w:rPr>
                    <w:t>熔点：801℃；</w:t>
                  </w:r>
                </w:p>
              </w:tc>
              <w:tc>
                <w:tcPr>
                  <w:tcW w:w="873" w:type="pct"/>
                  <w:vAlign w:val="center"/>
                </w:tcPr>
                <w:p w14:paraId="7E8C8E4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4667B43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14A2280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危险特性：不燃，无特殊燃烧爆炸性。火场产生有毒含氯化物、氧化钠烟雾。</w:t>
                  </w:r>
                </w:p>
              </w:tc>
            </w:tr>
            <w:tr w14:paraId="56BB414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22D9B26C">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氢氧化钠</w:t>
                  </w:r>
                </w:p>
                <w:p w14:paraId="2354CBCA">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NaOH</w:t>
                  </w:r>
                </w:p>
              </w:tc>
              <w:tc>
                <w:tcPr>
                  <w:tcW w:w="451" w:type="pct"/>
                  <w:vAlign w:val="center"/>
                </w:tcPr>
                <w:p w14:paraId="3DF4DB2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1310-73-2</w:t>
                  </w:r>
                </w:p>
              </w:tc>
              <w:tc>
                <w:tcPr>
                  <w:tcW w:w="289" w:type="pct"/>
                  <w:vAlign w:val="center"/>
                </w:tcPr>
                <w:p w14:paraId="5CAE334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82001</w:t>
                  </w:r>
                </w:p>
              </w:tc>
              <w:tc>
                <w:tcPr>
                  <w:tcW w:w="1267" w:type="pct"/>
                  <w:vAlign w:val="center"/>
                </w:tcPr>
                <w:p w14:paraId="7931577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性状：白色不透明固体，易潮解；</w:t>
                  </w:r>
                </w:p>
                <w:p w14:paraId="7CCA385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分子量：40.01；</w:t>
                  </w:r>
                </w:p>
                <w:p w14:paraId="5086BF4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蒸汽压：0.13kPa/739℃；</w:t>
                  </w:r>
                </w:p>
                <w:p w14:paraId="641083A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熔点：318.4℃；</w:t>
                  </w:r>
                </w:p>
                <w:p w14:paraId="0D11FCC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沸点：1390℃；</w:t>
                  </w:r>
                </w:p>
                <w:p w14:paraId="76FB0A7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溶解性：易溶于水、乙醇、甘油，不溶于丙酮；</w:t>
                  </w:r>
                </w:p>
                <w:p w14:paraId="65C2DD8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相对密度：（水=1）2.12。</w:t>
                  </w:r>
                </w:p>
              </w:tc>
              <w:tc>
                <w:tcPr>
                  <w:tcW w:w="873" w:type="pct"/>
                  <w:vAlign w:val="center"/>
                </w:tcPr>
                <w:p w14:paraId="7C9204E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031A9CB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772B83E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危险标记：20（碱性腐蚀品）；</w:t>
                  </w:r>
                </w:p>
                <w:p w14:paraId="3E8A570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危险特性：本品不会燃烧，遇水和水蒸气大量放热，形成腐蚀性溶液。与酸发生中和反应并放热。具有强腐蚀性。</w:t>
                  </w:r>
                </w:p>
              </w:tc>
            </w:tr>
            <w:tr w14:paraId="1F8F44E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3412CE7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微晶纤维素</w:t>
                  </w:r>
                </w:p>
                <w:p w14:paraId="61EC5DF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(C</w:t>
                  </w:r>
                  <w:r>
                    <w:rPr>
                      <w:rFonts w:hint="default" w:ascii="Times New Roman" w:hAnsi="Times New Roman" w:eastAsia="仿宋_GB2312" w:cs="Times New Roman"/>
                      <w:color w:val="auto"/>
                      <w:kern w:val="0"/>
                      <w:sz w:val="21"/>
                      <w:szCs w:val="21"/>
                      <w:vertAlign w:val="subscript"/>
                    </w:rPr>
                    <w:t>6</w:t>
                  </w:r>
                  <w:r>
                    <w:rPr>
                      <w:rFonts w:hint="default" w:ascii="Times New Roman" w:hAnsi="Times New Roman" w:eastAsia="仿宋_GB2312" w:cs="Times New Roman"/>
                      <w:color w:val="auto"/>
                      <w:kern w:val="0"/>
                      <w:sz w:val="21"/>
                      <w:szCs w:val="21"/>
                    </w:rPr>
                    <w:t>H</w:t>
                  </w:r>
                  <w:r>
                    <w:rPr>
                      <w:rFonts w:hint="default" w:ascii="Times New Roman" w:hAnsi="Times New Roman" w:eastAsia="仿宋_GB2312" w:cs="Times New Roman"/>
                      <w:color w:val="auto"/>
                      <w:kern w:val="0"/>
                      <w:sz w:val="21"/>
                      <w:szCs w:val="21"/>
                      <w:vertAlign w:val="subscript"/>
                    </w:rPr>
                    <w:t>10</w:t>
                  </w:r>
                  <w:r>
                    <w:rPr>
                      <w:rFonts w:hint="default" w:ascii="Times New Roman" w:hAnsi="Times New Roman" w:eastAsia="仿宋_GB2312" w:cs="Times New Roman"/>
                      <w:color w:val="auto"/>
                      <w:kern w:val="0"/>
                      <w:sz w:val="21"/>
                      <w:szCs w:val="21"/>
                    </w:rPr>
                    <w:t>O</w:t>
                  </w:r>
                  <w:r>
                    <w:rPr>
                      <w:rFonts w:hint="default" w:ascii="Times New Roman" w:hAnsi="Times New Roman" w:eastAsia="仿宋_GB2312" w:cs="Times New Roman"/>
                      <w:color w:val="auto"/>
                      <w:kern w:val="0"/>
                      <w:sz w:val="21"/>
                      <w:szCs w:val="21"/>
                      <w:vertAlign w:val="subscript"/>
                    </w:rPr>
                    <w:t>5</w:t>
                  </w:r>
                  <w:r>
                    <w:rPr>
                      <w:rFonts w:hint="default" w:ascii="Times New Roman" w:hAnsi="Times New Roman" w:eastAsia="仿宋_GB2312" w:cs="Times New Roman"/>
                      <w:color w:val="auto"/>
                      <w:kern w:val="0"/>
                      <w:sz w:val="21"/>
                      <w:szCs w:val="21"/>
                    </w:rPr>
                    <w:t>)n</w:t>
                  </w:r>
                </w:p>
              </w:tc>
              <w:tc>
                <w:tcPr>
                  <w:tcW w:w="451" w:type="pct"/>
                  <w:vAlign w:val="center"/>
                </w:tcPr>
                <w:p w14:paraId="7E0EADA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9004-34-6</w:t>
                  </w:r>
                </w:p>
              </w:tc>
              <w:tc>
                <w:tcPr>
                  <w:tcW w:w="289" w:type="pct"/>
                  <w:vAlign w:val="center"/>
                </w:tcPr>
                <w:p w14:paraId="20ED165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45202F5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外观与性状：白色或类白色粉末；无臭、无味。</w:t>
                  </w:r>
                </w:p>
                <w:p w14:paraId="0A083BC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闪点：164℃；</w:t>
                  </w:r>
                </w:p>
                <w:p w14:paraId="53960C2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密度：1.5g/cm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（20℃）；</w:t>
                  </w:r>
                </w:p>
                <w:p w14:paraId="2B7C473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溶解性：本品在乙醇、水、丙酮或甲苯中不溶。</w:t>
                  </w:r>
                </w:p>
              </w:tc>
              <w:tc>
                <w:tcPr>
                  <w:tcW w:w="873" w:type="pct"/>
                  <w:vAlign w:val="center"/>
                </w:tcPr>
                <w:p w14:paraId="4D95A71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5AD8AF5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16633A7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危险特性：易燃，粉尘与空气可形成爆炸性混合物，热分解产生辛辣刺激烟雾。</w:t>
                  </w:r>
                </w:p>
              </w:tc>
            </w:tr>
            <w:tr w14:paraId="3401CFD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1A65755E">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低聚原花青素</w:t>
                  </w:r>
                </w:p>
                <w:p w14:paraId="2BE341AD">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C</w:t>
                  </w:r>
                  <w:r>
                    <w:rPr>
                      <w:rFonts w:hint="default" w:ascii="Times New Roman" w:hAnsi="Times New Roman" w:eastAsia="仿宋_GB2312" w:cs="Times New Roman"/>
                      <w:color w:val="auto"/>
                      <w:sz w:val="21"/>
                      <w:szCs w:val="21"/>
                      <w:vertAlign w:val="subscript"/>
                      <w:lang w:val="en-US"/>
                    </w:rPr>
                    <w:t>30</w:t>
                  </w:r>
                  <w:r>
                    <w:rPr>
                      <w:rFonts w:hint="default" w:ascii="Times New Roman" w:hAnsi="Times New Roman" w:eastAsia="仿宋_GB2312" w:cs="Times New Roman"/>
                      <w:color w:val="auto"/>
                      <w:sz w:val="21"/>
                      <w:szCs w:val="21"/>
                      <w:lang w:val="en-US"/>
                    </w:rPr>
                    <w:t>H</w:t>
                  </w:r>
                  <w:r>
                    <w:rPr>
                      <w:rFonts w:hint="default" w:ascii="Times New Roman" w:hAnsi="Times New Roman" w:eastAsia="仿宋_GB2312" w:cs="Times New Roman"/>
                      <w:color w:val="auto"/>
                      <w:sz w:val="21"/>
                      <w:szCs w:val="21"/>
                      <w:vertAlign w:val="subscript"/>
                      <w:lang w:val="en-US"/>
                    </w:rPr>
                    <w:t>26</w:t>
                  </w:r>
                  <w:r>
                    <w:rPr>
                      <w:rFonts w:hint="default" w:ascii="Times New Roman" w:hAnsi="Times New Roman" w:eastAsia="仿宋_GB2312" w:cs="Times New Roman"/>
                      <w:color w:val="auto"/>
                      <w:sz w:val="21"/>
                      <w:szCs w:val="21"/>
                      <w:lang w:val="en-US"/>
                    </w:rPr>
                    <w:t>O</w:t>
                  </w:r>
                  <w:r>
                    <w:rPr>
                      <w:rFonts w:hint="default" w:ascii="Times New Roman" w:hAnsi="Times New Roman" w:eastAsia="仿宋_GB2312" w:cs="Times New Roman"/>
                      <w:color w:val="auto"/>
                      <w:sz w:val="21"/>
                      <w:szCs w:val="21"/>
                      <w:vertAlign w:val="subscript"/>
                      <w:lang w:val="en-US"/>
                    </w:rPr>
                    <w:t>13</w:t>
                  </w:r>
                </w:p>
              </w:tc>
              <w:tc>
                <w:tcPr>
                  <w:tcW w:w="451" w:type="pct"/>
                  <w:vAlign w:val="center"/>
                </w:tcPr>
                <w:p w14:paraId="4C5B5C6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4852-22-6</w:t>
                  </w:r>
                </w:p>
              </w:tc>
              <w:tc>
                <w:tcPr>
                  <w:tcW w:w="289" w:type="pct"/>
                  <w:vAlign w:val="center"/>
                </w:tcPr>
                <w:p w14:paraId="3447D9C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3D78D2F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外观与性状：无色至棕红色粉末；</w:t>
                  </w:r>
                </w:p>
                <w:p w14:paraId="4C277C1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溶解性：低聚原花青素易溶于水、醇、酮、冰醋酸、乙酸乙酷等极性溶剂，不溶于石油醚、氯仿、苯等弱极性溶剂中。</w:t>
                  </w:r>
                </w:p>
              </w:tc>
              <w:tc>
                <w:tcPr>
                  <w:tcW w:w="873" w:type="pct"/>
                  <w:vAlign w:val="center"/>
                </w:tcPr>
                <w:p w14:paraId="6DEF873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3D7B63B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60028E3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r>
            <w:tr w14:paraId="4A59A0C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21ABD3BC">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rPr>
                    <w:t>石榴提取物</w:t>
                  </w:r>
                </w:p>
              </w:tc>
              <w:tc>
                <w:tcPr>
                  <w:tcW w:w="451" w:type="pct"/>
                  <w:vAlign w:val="center"/>
                </w:tcPr>
                <w:p w14:paraId="2519195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ab/>
                  </w:r>
                  <w:r>
                    <w:rPr>
                      <w:rFonts w:hint="default" w:ascii="Times New Roman" w:hAnsi="Times New Roman" w:eastAsia="仿宋_GB2312" w:cs="Times New Roman"/>
                      <w:color w:val="auto"/>
                      <w:sz w:val="21"/>
                      <w:szCs w:val="21"/>
                    </w:rPr>
                    <w:t>84961-57-9</w:t>
                  </w:r>
                </w:p>
              </w:tc>
              <w:tc>
                <w:tcPr>
                  <w:tcW w:w="289" w:type="pct"/>
                  <w:vAlign w:val="center"/>
                </w:tcPr>
                <w:p w14:paraId="7818AFD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779FC90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石榴提取物以石榴的果皮、籽、汁为原料提取的活性物质，含有多酚、黄酮、生物碱、有机酸和类雌激素样成分等。具有抗氧化、清除自由基、预防心脑血管疾病、改善妇女更年期综合症等多种药理功能。</w:t>
                  </w:r>
                </w:p>
              </w:tc>
              <w:tc>
                <w:tcPr>
                  <w:tcW w:w="873" w:type="pct"/>
                  <w:vAlign w:val="center"/>
                </w:tcPr>
                <w:p w14:paraId="44E4E73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59009C5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62C235A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r>
            <w:tr w14:paraId="2697756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0675E119">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rPr>
                    <w:t>植物胶囊壳</w:t>
                  </w:r>
                </w:p>
              </w:tc>
              <w:tc>
                <w:tcPr>
                  <w:tcW w:w="451" w:type="pct"/>
                  <w:vAlign w:val="center"/>
                </w:tcPr>
                <w:p w14:paraId="47FA58C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289" w:type="pct"/>
                  <w:vAlign w:val="center"/>
                </w:tcPr>
                <w:p w14:paraId="2375CE1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0ECB6701">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主要成分为羟丙甲纤维素，无交联反应风险，无相互作用，稳定性高。</w:t>
                  </w:r>
                </w:p>
              </w:tc>
              <w:tc>
                <w:tcPr>
                  <w:tcW w:w="873" w:type="pct"/>
                  <w:vAlign w:val="center"/>
                </w:tcPr>
                <w:p w14:paraId="2A9600A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3DAF229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1612A73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危险特性：可燃</w:t>
                  </w:r>
                </w:p>
              </w:tc>
            </w:tr>
            <w:tr w14:paraId="1DF4F5D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5C0B7C4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水飞蓟提取物</w:t>
                  </w:r>
                </w:p>
                <w:p w14:paraId="73F395A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sz w:val="21"/>
                      <w:szCs w:val="21"/>
                    </w:rPr>
                    <w:t>C</w:t>
                  </w:r>
                  <w:r>
                    <w:rPr>
                      <w:rFonts w:hint="default" w:ascii="Times New Roman" w:hAnsi="Times New Roman" w:eastAsia="仿宋_GB2312" w:cs="Times New Roman"/>
                      <w:color w:val="auto"/>
                      <w:sz w:val="21"/>
                      <w:szCs w:val="21"/>
                      <w:vertAlign w:val="subscript"/>
                    </w:rPr>
                    <w:t>25</w:t>
                  </w:r>
                  <w:r>
                    <w:rPr>
                      <w:rFonts w:hint="default" w:ascii="Times New Roman" w:hAnsi="Times New Roman" w:eastAsia="仿宋_GB2312" w:cs="Times New Roman"/>
                      <w:color w:val="auto"/>
                      <w:sz w:val="21"/>
                      <w:szCs w:val="21"/>
                    </w:rPr>
                    <w:t>H</w:t>
                  </w:r>
                  <w:r>
                    <w:rPr>
                      <w:rFonts w:hint="default" w:ascii="Times New Roman" w:hAnsi="Times New Roman" w:eastAsia="仿宋_GB2312" w:cs="Times New Roman"/>
                      <w:color w:val="auto"/>
                      <w:sz w:val="21"/>
                      <w:szCs w:val="21"/>
                      <w:vertAlign w:val="subscript"/>
                    </w:rPr>
                    <w:t>22</w:t>
                  </w:r>
                  <w:r>
                    <w:rPr>
                      <w:rFonts w:hint="default" w:ascii="Times New Roman" w:hAnsi="Times New Roman" w:eastAsia="仿宋_GB2312" w:cs="Times New Roman"/>
                      <w:color w:val="auto"/>
                      <w:sz w:val="21"/>
                      <w:szCs w:val="21"/>
                    </w:rPr>
                    <w:t>O</w:t>
                  </w:r>
                  <w:r>
                    <w:rPr>
                      <w:rFonts w:hint="default" w:ascii="Times New Roman" w:hAnsi="Times New Roman" w:eastAsia="仿宋_GB2312" w:cs="Times New Roman"/>
                      <w:color w:val="auto"/>
                      <w:sz w:val="21"/>
                      <w:szCs w:val="21"/>
                      <w:vertAlign w:val="subscript"/>
                    </w:rPr>
                    <w:t>10</w:t>
                  </w:r>
                </w:p>
              </w:tc>
              <w:tc>
                <w:tcPr>
                  <w:tcW w:w="451" w:type="pct"/>
                  <w:vAlign w:val="center"/>
                </w:tcPr>
                <w:p w14:paraId="1AFC0E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84604-20-6</w:t>
                  </w:r>
                </w:p>
              </w:tc>
              <w:tc>
                <w:tcPr>
                  <w:tcW w:w="289" w:type="pct"/>
                  <w:vAlign w:val="center"/>
                </w:tcPr>
                <w:p w14:paraId="6324DEF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3E98491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水飞蓟提取物为浅黄色粉末或结晶，有特殊的气味，易溶于丙酮、乙酸乙酯、乙醇及甲醇、难溶于氯仿，几乎不溶于水，主要含有一种称为水飞蓟素(C25H22O10)的类黄酮联合体。</w:t>
                  </w:r>
                </w:p>
              </w:tc>
              <w:tc>
                <w:tcPr>
                  <w:tcW w:w="873" w:type="pct"/>
                  <w:vAlign w:val="center"/>
                </w:tcPr>
                <w:p w14:paraId="7C0B147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4007206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04F96F2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r>
            <w:tr w14:paraId="2005434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53B79805">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 w:val="21"/>
                      <w:szCs w:val="21"/>
                      <w:lang w:eastAsia="zh-CN"/>
                    </w:rPr>
                  </w:pPr>
                  <w:r>
                    <w:rPr>
                      <w:rFonts w:hint="eastAsia" w:eastAsia="仿宋_GB2312" w:cs="Times New Roman"/>
                      <w:color w:val="auto"/>
                      <w:sz w:val="21"/>
                      <w:szCs w:val="21"/>
                      <w:lang w:val="en-US" w:eastAsia="zh-CN"/>
                    </w:rPr>
                    <w:t>60%</w:t>
                  </w:r>
                  <w:r>
                    <w:rPr>
                      <w:rFonts w:hint="default" w:ascii="Times New Roman" w:hAnsi="Times New Roman" w:eastAsia="仿宋_GB2312" w:cs="Times New Roman"/>
                      <w:color w:val="auto"/>
                      <w:sz w:val="21"/>
                      <w:szCs w:val="21"/>
                    </w:rPr>
                    <w:t>葡萄糖</w:t>
                  </w:r>
                  <w:r>
                    <w:rPr>
                      <w:rFonts w:hint="eastAsia" w:eastAsia="仿宋_GB2312" w:cs="Times New Roman"/>
                      <w:color w:val="auto"/>
                      <w:sz w:val="21"/>
                      <w:szCs w:val="21"/>
                      <w:lang w:eastAsia="zh-CN"/>
                    </w:rPr>
                    <w:t>溶液</w:t>
                  </w:r>
                </w:p>
                <w:p w14:paraId="17E685D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C</w:t>
                  </w:r>
                  <w:r>
                    <w:rPr>
                      <w:rFonts w:hint="default" w:ascii="Times New Roman" w:hAnsi="Times New Roman" w:eastAsia="仿宋_GB2312" w:cs="Times New Roman"/>
                      <w:color w:val="auto"/>
                      <w:sz w:val="21"/>
                      <w:szCs w:val="21"/>
                      <w:vertAlign w:val="subscript"/>
                    </w:rPr>
                    <w:t>6</w:t>
                  </w:r>
                  <w:r>
                    <w:rPr>
                      <w:rFonts w:hint="default" w:ascii="Times New Roman" w:hAnsi="Times New Roman" w:eastAsia="仿宋_GB2312" w:cs="Times New Roman"/>
                      <w:color w:val="auto"/>
                      <w:sz w:val="21"/>
                      <w:szCs w:val="21"/>
                    </w:rPr>
                    <w:t>H</w:t>
                  </w:r>
                  <w:r>
                    <w:rPr>
                      <w:rFonts w:hint="default" w:ascii="Times New Roman" w:hAnsi="Times New Roman" w:eastAsia="仿宋_GB2312" w:cs="Times New Roman"/>
                      <w:color w:val="auto"/>
                      <w:sz w:val="21"/>
                      <w:szCs w:val="21"/>
                      <w:vertAlign w:val="subscript"/>
                    </w:rPr>
                    <w:t>12</w:t>
                  </w:r>
                  <w:r>
                    <w:rPr>
                      <w:rFonts w:hint="default" w:ascii="Times New Roman" w:hAnsi="Times New Roman" w:eastAsia="仿宋_GB2312" w:cs="Times New Roman"/>
                      <w:color w:val="auto"/>
                      <w:sz w:val="21"/>
                      <w:szCs w:val="21"/>
                    </w:rPr>
                    <w:t>O</w:t>
                  </w:r>
                  <w:r>
                    <w:rPr>
                      <w:rFonts w:hint="default" w:ascii="Times New Roman" w:hAnsi="Times New Roman" w:eastAsia="仿宋_GB2312" w:cs="Times New Roman"/>
                      <w:color w:val="auto"/>
                      <w:sz w:val="21"/>
                      <w:szCs w:val="21"/>
                      <w:vertAlign w:val="subscript"/>
                    </w:rPr>
                    <w:t>6</w:t>
                  </w:r>
                </w:p>
              </w:tc>
              <w:tc>
                <w:tcPr>
                  <w:tcW w:w="451" w:type="pct"/>
                  <w:vAlign w:val="center"/>
                </w:tcPr>
                <w:p w14:paraId="07BDE73F">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 w:val="21"/>
                      <w:szCs w:val="21"/>
                      <w:lang w:eastAsia="zh-CN"/>
                    </w:rPr>
                  </w:pPr>
                  <w:r>
                    <w:rPr>
                      <w:rFonts w:hint="eastAsia" w:eastAsia="仿宋_GB2312" w:cs="Times New Roman"/>
                      <w:color w:val="auto"/>
                      <w:sz w:val="21"/>
                      <w:szCs w:val="21"/>
                      <w:lang w:val="en-US" w:eastAsia="zh-CN"/>
                    </w:rPr>
                    <w:t>/</w:t>
                  </w:r>
                </w:p>
              </w:tc>
              <w:tc>
                <w:tcPr>
                  <w:tcW w:w="289" w:type="pct"/>
                  <w:vAlign w:val="center"/>
                </w:tcPr>
                <w:p w14:paraId="7BC2688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1646333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外观与性状：无色</w:t>
                  </w:r>
                  <w:r>
                    <w:rPr>
                      <w:rFonts w:hint="eastAsia" w:eastAsia="仿宋_GB2312" w:cs="Times New Roman"/>
                      <w:color w:val="auto"/>
                      <w:sz w:val="21"/>
                      <w:szCs w:val="21"/>
                      <w:lang w:eastAsia="zh-CN"/>
                    </w:rPr>
                    <w:t>溶液</w:t>
                  </w:r>
                  <w:r>
                    <w:rPr>
                      <w:rFonts w:hint="default" w:ascii="Times New Roman" w:hAnsi="Times New Roman" w:eastAsia="仿宋_GB2312" w:cs="Times New Roman"/>
                      <w:color w:val="auto"/>
                      <w:sz w:val="21"/>
                      <w:szCs w:val="21"/>
                    </w:rPr>
                    <w:t>；</w:t>
                  </w:r>
                </w:p>
                <w:p w14:paraId="73D9CE9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eastAsia" w:eastAsia="仿宋_GB2312" w:cs="Times New Roman"/>
                      <w:color w:val="auto"/>
                      <w:sz w:val="21"/>
                      <w:szCs w:val="21"/>
                      <w:lang w:eastAsia="zh-CN"/>
                    </w:rPr>
                    <w:t>沸</w:t>
                  </w:r>
                  <w:r>
                    <w:rPr>
                      <w:rFonts w:hint="default" w:ascii="Times New Roman" w:hAnsi="Times New Roman" w:eastAsia="仿宋_GB2312" w:cs="Times New Roman"/>
                      <w:color w:val="auto"/>
                      <w:sz w:val="21"/>
                      <w:szCs w:val="21"/>
                    </w:rPr>
                    <w:t>点：</w:t>
                  </w:r>
                  <w:r>
                    <w:rPr>
                      <w:rFonts w:hint="eastAsia" w:eastAsia="仿宋_GB2312" w:cs="Times New Roman"/>
                      <w:color w:val="auto"/>
                      <w:sz w:val="21"/>
                      <w:szCs w:val="21"/>
                      <w:lang w:eastAsia="zh-CN"/>
                    </w:rPr>
                    <w:t>约</w:t>
                  </w:r>
                  <w:r>
                    <w:rPr>
                      <w:rFonts w:hint="eastAsia" w:eastAsia="仿宋_GB2312" w:cs="Times New Roman"/>
                      <w:color w:val="auto"/>
                      <w:sz w:val="21"/>
                      <w:szCs w:val="21"/>
                      <w:lang w:val="en-US" w:eastAsia="zh-CN"/>
                    </w:rPr>
                    <w:t>100</w:t>
                  </w:r>
                  <w:r>
                    <w:rPr>
                      <w:rFonts w:hint="default" w:ascii="Times New Roman" w:hAnsi="Times New Roman" w:eastAsia="仿宋_GB2312" w:cs="Times New Roman"/>
                      <w:color w:val="auto"/>
                      <w:sz w:val="21"/>
                      <w:szCs w:val="21"/>
                    </w:rPr>
                    <w:t>℃；</w:t>
                  </w:r>
                </w:p>
                <w:p w14:paraId="23595D4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溶解性：易溶于水。</w:t>
                  </w:r>
                </w:p>
              </w:tc>
              <w:tc>
                <w:tcPr>
                  <w:tcW w:w="873" w:type="pct"/>
                  <w:vAlign w:val="center"/>
                </w:tcPr>
                <w:p w14:paraId="73661EB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sz w:val="21"/>
                      <w:szCs w:val="21"/>
                    </w:rPr>
                    <w:t>/</w:t>
                  </w:r>
                </w:p>
              </w:tc>
              <w:tc>
                <w:tcPr>
                  <w:tcW w:w="343" w:type="pct"/>
                  <w:vAlign w:val="center"/>
                </w:tcPr>
                <w:p w14:paraId="22C78E0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43A792A8">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 w:val="21"/>
                      <w:szCs w:val="21"/>
                      <w:lang w:eastAsia="zh-CN"/>
                    </w:rPr>
                  </w:pPr>
                  <w:r>
                    <w:rPr>
                      <w:rFonts w:hint="eastAsia" w:eastAsia="仿宋_GB2312" w:cs="Times New Roman"/>
                      <w:color w:val="auto"/>
                      <w:sz w:val="21"/>
                      <w:szCs w:val="21"/>
                      <w:lang w:val="en-US" w:eastAsia="zh-CN"/>
                    </w:rPr>
                    <w:t>/</w:t>
                  </w:r>
                </w:p>
              </w:tc>
            </w:tr>
            <w:tr w14:paraId="6FD50A6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5053AE1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磷酸二氢钾</w:t>
                  </w:r>
                </w:p>
                <w:p w14:paraId="2649006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sz w:val="21"/>
                      <w:szCs w:val="21"/>
                    </w:rPr>
                    <w:t>KH</w:t>
                  </w:r>
                  <w:r>
                    <w:rPr>
                      <w:rFonts w:hint="default" w:ascii="Times New Roman" w:hAnsi="Times New Roman" w:eastAsia="仿宋_GB2312" w:cs="Times New Roman"/>
                      <w:color w:val="auto"/>
                      <w:sz w:val="21"/>
                      <w:szCs w:val="21"/>
                      <w:vertAlign w:val="subscript"/>
                    </w:rPr>
                    <w:t>2</w:t>
                  </w:r>
                  <w:r>
                    <w:rPr>
                      <w:rFonts w:hint="default" w:ascii="Times New Roman" w:hAnsi="Times New Roman" w:eastAsia="仿宋_GB2312" w:cs="Times New Roman"/>
                      <w:color w:val="auto"/>
                      <w:sz w:val="21"/>
                      <w:szCs w:val="21"/>
                    </w:rPr>
                    <w:t>PO</w:t>
                  </w:r>
                  <w:r>
                    <w:rPr>
                      <w:rFonts w:hint="default" w:ascii="Times New Roman" w:hAnsi="Times New Roman" w:eastAsia="仿宋_GB2312" w:cs="Times New Roman"/>
                      <w:color w:val="auto"/>
                      <w:sz w:val="21"/>
                      <w:szCs w:val="21"/>
                      <w:vertAlign w:val="subscript"/>
                    </w:rPr>
                    <w:t>4</w:t>
                  </w:r>
                </w:p>
              </w:tc>
              <w:tc>
                <w:tcPr>
                  <w:tcW w:w="451" w:type="pct"/>
                  <w:vAlign w:val="center"/>
                </w:tcPr>
                <w:p w14:paraId="789654B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shd w:val="clear" w:color="auto" w:fill="FFFFFF"/>
                    </w:rPr>
                  </w:pPr>
                  <w:r>
                    <w:rPr>
                      <w:rFonts w:hint="default" w:ascii="Times New Roman" w:hAnsi="Times New Roman" w:eastAsia="仿宋_GB2312" w:cs="Times New Roman"/>
                      <w:color w:val="auto"/>
                      <w:sz w:val="21"/>
                      <w:szCs w:val="21"/>
                      <w:shd w:val="clear" w:color="auto" w:fill="FFFFFF"/>
                    </w:rPr>
                    <w:t>7778-77-0</w:t>
                  </w:r>
                </w:p>
              </w:tc>
              <w:tc>
                <w:tcPr>
                  <w:tcW w:w="289" w:type="pct"/>
                  <w:vAlign w:val="center"/>
                </w:tcPr>
                <w:p w14:paraId="57A5E0F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149BCE4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外观与形状：白色结晶；</w:t>
                  </w:r>
                </w:p>
                <w:p w14:paraId="4C9D86C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熔点：252.6℃；</w:t>
                  </w:r>
                </w:p>
                <w:p w14:paraId="13457AC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相对密度（水=1）：2.34；</w:t>
                  </w:r>
                </w:p>
                <w:p w14:paraId="636B1F4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溶解度：溶于水，不溶于乙醇。</w:t>
                  </w:r>
                </w:p>
              </w:tc>
              <w:tc>
                <w:tcPr>
                  <w:tcW w:w="873" w:type="pct"/>
                  <w:vAlign w:val="center"/>
                </w:tcPr>
                <w:p w14:paraId="3D97495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急性毒性：</w:t>
                  </w:r>
                </w:p>
                <w:p w14:paraId="37BB028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LD</w:t>
                  </w:r>
                  <w:r>
                    <w:rPr>
                      <w:rFonts w:hint="default" w:ascii="Times New Roman" w:hAnsi="Times New Roman" w:eastAsia="仿宋_GB2312" w:cs="Times New Roman"/>
                      <w:color w:val="auto"/>
                      <w:sz w:val="21"/>
                      <w:szCs w:val="21"/>
                      <w:vertAlign w:val="subscript"/>
                    </w:rPr>
                    <w:t>50</w:t>
                  </w:r>
                  <w:r>
                    <w:rPr>
                      <w:rFonts w:hint="default" w:ascii="Times New Roman" w:hAnsi="Times New Roman" w:eastAsia="仿宋_GB2312" w:cs="Times New Roman"/>
                      <w:color w:val="auto"/>
                      <w:sz w:val="21"/>
                      <w:szCs w:val="21"/>
                    </w:rPr>
                    <w:t>：4640mg/kg（兔经皮）。</w:t>
                  </w:r>
                </w:p>
              </w:tc>
              <w:tc>
                <w:tcPr>
                  <w:tcW w:w="343" w:type="pct"/>
                  <w:vAlign w:val="center"/>
                </w:tcPr>
                <w:p w14:paraId="49BED3D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21A9A94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危险特性：不燃，不易爆，具有潮解性。</w:t>
                  </w:r>
                </w:p>
              </w:tc>
            </w:tr>
            <w:tr w14:paraId="17720AA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74029B10">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磷酸氢二钾</w:t>
                  </w:r>
                </w:p>
                <w:p w14:paraId="350A3BB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K</w:t>
                  </w:r>
                  <w:r>
                    <w:rPr>
                      <w:rFonts w:hint="default" w:ascii="Times New Roman" w:hAnsi="Times New Roman" w:eastAsia="仿宋_GB2312" w:cs="Times New Roman"/>
                      <w:color w:val="auto"/>
                      <w:sz w:val="21"/>
                      <w:szCs w:val="21"/>
                      <w:vertAlign w:val="subscript"/>
                    </w:rPr>
                    <w:t>2</w:t>
                  </w:r>
                  <w:r>
                    <w:rPr>
                      <w:rFonts w:hint="default" w:ascii="Times New Roman" w:hAnsi="Times New Roman" w:eastAsia="仿宋_GB2312" w:cs="Times New Roman"/>
                      <w:color w:val="auto"/>
                      <w:sz w:val="21"/>
                      <w:szCs w:val="21"/>
                    </w:rPr>
                    <w:t>HPO</w:t>
                  </w:r>
                  <w:r>
                    <w:rPr>
                      <w:rFonts w:hint="default" w:ascii="Times New Roman" w:hAnsi="Times New Roman" w:eastAsia="仿宋_GB2312" w:cs="Times New Roman"/>
                      <w:color w:val="auto"/>
                      <w:sz w:val="21"/>
                      <w:szCs w:val="21"/>
                      <w:vertAlign w:val="subscript"/>
                    </w:rPr>
                    <w:t>4</w:t>
                  </w:r>
                </w:p>
              </w:tc>
              <w:tc>
                <w:tcPr>
                  <w:tcW w:w="451" w:type="pct"/>
                  <w:vAlign w:val="center"/>
                </w:tcPr>
                <w:p w14:paraId="43E97E7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shd w:val="clear" w:color="auto" w:fill="FFFFFF"/>
                    </w:rPr>
                  </w:pPr>
                  <w:r>
                    <w:rPr>
                      <w:rFonts w:hint="default" w:ascii="Times New Roman" w:hAnsi="Times New Roman" w:eastAsia="仿宋_GB2312" w:cs="Times New Roman"/>
                      <w:color w:val="auto"/>
                      <w:sz w:val="21"/>
                      <w:szCs w:val="21"/>
                    </w:rPr>
                    <w:t>7758-11-4</w:t>
                  </w:r>
                </w:p>
              </w:tc>
              <w:tc>
                <w:tcPr>
                  <w:tcW w:w="289" w:type="pct"/>
                  <w:vAlign w:val="center"/>
                </w:tcPr>
                <w:p w14:paraId="76A9C3F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p>
              </w:tc>
              <w:tc>
                <w:tcPr>
                  <w:tcW w:w="1267" w:type="pct"/>
                  <w:vAlign w:val="center"/>
                </w:tcPr>
                <w:p w14:paraId="4F5A015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外观与性状：白色晶体；</w:t>
                  </w:r>
                </w:p>
                <w:p w14:paraId="37F32A4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密度：2.44g/cm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w:t>
                  </w:r>
                </w:p>
                <w:p w14:paraId="2510CB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熔点：340℃；</w:t>
                  </w:r>
                </w:p>
                <w:p w14:paraId="2137218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分子量：174.18；</w:t>
                  </w:r>
                </w:p>
                <w:p w14:paraId="03DFCA9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z w:val="21"/>
                      <w:szCs w:val="21"/>
                      <w:shd w:val="clear" w:color="auto" w:fill="FFFFFF"/>
                    </w:rPr>
                    <w:t>溶解性：易溶于水，水溶液呈微碱性。微溶于醇。</w:t>
                  </w:r>
                </w:p>
              </w:tc>
              <w:tc>
                <w:tcPr>
                  <w:tcW w:w="873" w:type="pct"/>
                  <w:vAlign w:val="center"/>
                </w:tcPr>
                <w:p w14:paraId="5F0CD15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急性毒性：</w:t>
                  </w:r>
                </w:p>
                <w:p w14:paraId="6B55CEB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LD</w:t>
                  </w:r>
                  <w:r>
                    <w:rPr>
                      <w:rFonts w:hint="default" w:ascii="Times New Roman" w:hAnsi="Times New Roman" w:eastAsia="仿宋_GB2312" w:cs="Times New Roman"/>
                      <w:bCs/>
                      <w:color w:val="auto"/>
                      <w:sz w:val="21"/>
                      <w:szCs w:val="21"/>
                      <w:vertAlign w:val="subscript"/>
                    </w:rPr>
                    <w:t>50</w:t>
                  </w:r>
                  <w:r>
                    <w:rPr>
                      <w:rFonts w:hint="default" w:ascii="Times New Roman" w:hAnsi="Times New Roman" w:eastAsia="仿宋_GB2312" w:cs="Times New Roman"/>
                      <w:bCs/>
                      <w:color w:val="auto"/>
                      <w:sz w:val="21"/>
                      <w:szCs w:val="21"/>
                    </w:rPr>
                    <w:t>：4000mg/Kg（大鼠经口）；</w:t>
                  </w:r>
                </w:p>
                <w:p w14:paraId="5BF3617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LD</w:t>
                  </w:r>
                  <w:r>
                    <w:rPr>
                      <w:rFonts w:hint="default" w:ascii="Times New Roman" w:hAnsi="Times New Roman" w:eastAsia="仿宋_GB2312" w:cs="Times New Roman"/>
                      <w:bCs/>
                      <w:color w:val="auto"/>
                      <w:sz w:val="21"/>
                      <w:szCs w:val="21"/>
                      <w:vertAlign w:val="subscript"/>
                    </w:rPr>
                    <w:t>50</w:t>
                  </w:r>
                  <w:r>
                    <w:rPr>
                      <w:rFonts w:hint="default" w:ascii="Times New Roman" w:hAnsi="Times New Roman" w:eastAsia="仿宋_GB2312" w:cs="Times New Roman"/>
                      <w:bCs/>
                      <w:color w:val="auto"/>
                      <w:sz w:val="21"/>
                      <w:szCs w:val="21"/>
                    </w:rPr>
                    <w:t>：4720mg/Kg（兔经皮）；</w:t>
                  </w:r>
                </w:p>
                <w:p w14:paraId="62F0532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bCs/>
                      <w:color w:val="auto"/>
                      <w:sz w:val="21"/>
                      <w:szCs w:val="21"/>
                    </w:rPr>
                    <w:t>LC</w:t>
                  </w:r>
                  <w:r>
                    <w:rPr>
                      <w:rFonts w:hint="default" w:ascii="Times New Roman" w:hAnsi="Times New Roman" w:eastAsia="仿宋_GB2312" w:cs="Times New Roman"/>
                      <w:bCs/>
                      <w:color w:val="auto"/>
                      <w:sz w:val="21"/>
                      <w:szCs w:val="21"/>
                      <w:vertAlign w:val="subscript"/>
                    </w:rPr>
                    <w:t>50</w:t>
                  </w:r>
                  <w:r>
                    <w:rPr>
                      <w:rFonts w:hint="default" w:ascii="Times New Roman" w:hAnsi="Times New Roman" w:eastAsia="仿宋_GB2312" w:cs="Times New Roman"/>
                      <w:bCs/>
                      <w:color w:val="auto"/>
                      <w:sz w:val="21"/>
                      <w:szCs w:val="21"/>
                    </w:rPr>
                    <w:t>：9400mg/m</w:t>
                  </w:r>
                  <w:r>
                    <w:rPr>
                      <w:rFonts w:hint="default" w:ascii="Times New Roman" w:hAnsi="Times New Roman" w:eastAsia="仿宋_GB2312" w:cs="Times New Roman"/>
                      <w:bCs/>
                      <w:color w:val="auto"/>
                      <w:sz w:val="21"/>
                      <w:szCs w:val="21"/>
                      <w:vertAlign w:val="superscript"/>
                    </w:rPr>
                    <w:t>3</w:t>
                  </w:r>
                  <w:r>
                    <w:rPr>
                      <w:rFonts w:hint="default" w:ascii="Times New Roman" w:hAnsi="Times New Roman" w:eastAsia="仿宋_GB2312" w:cs="Times New Roman"/>
                      <w:bCs/>
                      <w:color w:val="auto"/>
                      <w:sz w:val="21"/>
                      <w:szCs w:val="21"/>
                    </w:rPr>
                    <w:t>，2小时（小鼠吸入）。</w:t>
                  </w:r>
                </w:p>
              </w:tc>
              <w:tc>
                <w:tcPr>
                  <w:tcW w:w="343" w:type="pct"/>
                  <w:vAlign w:val="center"/>
                </w:tcPr>
                <w:p w14:paraId="2CC3AB0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4A9AE1C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危险特性：受热或接触火焰可能会产生膨胀或爆炸性分解；火灾时可能产生有害的可燃气体或蒸气。</w:t>
                  </w:r>
                </w:p>
              </w:tc>
            </w:tr>
            <w:tr w14:paraId="2ABAB0F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6E780693">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牛肉膏</w:t>
                  </w:r>
                </w:p>
              </w:tc>
              <w:tc>
                <w:tcPr>
                  <w:tcW w:w="451" w:type="pct"/>
                  <w:vAlign w:val="center"/>
                </w:tcPr>
                <w:p w14:paraId="38F072DF">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shd w:val="clear" w:color="auto" w:fill="FFFFFF"/>
                      <w:lang w:val="en-US" w:eastAsia="zh-CN" w:bidi="ar-SA"/>
                    </w:rPr>
                  </w:pPr>
                  <w:r>
                    <w:rPr>
                      <w:rFonts w:hint="eastAsia" w:eastAsia="仿宋_GB2312" w:cs="Times New Roman"/>
                      <w:color w:val="auto"/>
                      <w:sz w:val="21"/>
                      <w:szCs w:val="21"/>
                      <w:shd w:val="clear" w:color="auto" w:fill="FFFFFF"/>
                      <w:lang w:val="en-US" w:eastAsia="zh-CN"/>
                    </w:rPr>
                    <w:t>/</w:t>
                  </w:r>
                </w:p>
              </w:tc>
              <w:tc>
                <w:tcPr>
                  <w:tcW w:w="289" w:type="pct"/>
                  <w:vAlign w:val="center"/>
                </w:tcPr>
                <w:p w14:paraId="6678AD89">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eastAsia="仿宋_GB2312" w:cs="Times New Roman"/>
                      <w:color w:val="auto"/>
                      <w:sz w:val="21"/>
                      <w:szCs w:val="21"/>
                      <w:lang w:val="en-US" w:eastAsia="zh-CN"/>
                    </w:rPr>
                    <w:t>/</w:t>
                  </w:r>
                </w:p>
              </w:tc>
              <w:tc>
                <w:tcPr>
                  <w:tcW w:w="1267" w:type="pct"/>
                  <w:vAlign w:val="center"/>
                </w:tcPr>
                <w:p w14:paraId="3D9F3442">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pacing w:val="-4"/>
                      <w:kern w:val="0"/>
                      <w:sz w:val="21"/>
                      <w:szCs w:val="21"/>
                      <w:lang w:val="en-US" w:eastAsia="zh-CN" w:bidi="ar-SA"/>
                    </w:rPr>
                  </w:pPr>
                  <w:r>
                    <w:rPr>
                      <w:rFonts w:hint="default" w:ascii="Times New Roman" w:hAnsi="Times New Roman" w:eastAsia="仿宋_GB2312" w:cs="Times New Roman"/>
                      <w:color w:val="auto"/>
                      <w:sz w:val="21"/>
                      <w:szCs w:val="21"/>
                    </w:rPr>
                    <w:t>外观与性状：一种棕褐色至棕色的膏状或粉状物质</w:t>
                  </w:r>
                  <w:r>
                    <w:rPr>
                      <w:rFonts w:hint="eastAsia" w:eastAsia="仿宋_GB2312" w:cs="Times New Roman"/>
                      <w:color w:val="auto"/>
                      <w:sz w:val="21"/>
                      <w:szCs w:val="21"/>
                      <w:lang w:eastAsia="zh-CN"/>
                    </w:rPr>
                    <w:t>，具有浓郁的牛肉香气和风味，主要成分是氨基酸、糖、香辛料、水解植物蛋白、酵母抽提物，以及食用香精。</w:t>
                  </w:r>
                </w:p>
              </w:tc>
              <w:tc>
                <w:tcPr>
                  <w:tcW w:w="873" w:type="pct"/>
                  <w:vAlign w:val="center"/>
                </w:tcPr>
                <w:p w14:paraId="0F7C9BD8">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rPr>
                    <w:t>/</w:t>
                  </w:r>
                </w:p>
              </w:tc>
              <w:tc>
                <w:tcPr>
                  <w:tcW w:w="343" w:type="pct"/>
                  <w:vAlign w:val="center"/>
                </w:tcPr>
                <w:p w14:paraId="75F65448">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eastAsia="仿宋_GB2312" w:cs="Times New Roman"/>
                      <w:color w:val="auto"/>
                      <w:sz w:val="21"/>
                      <w:szCs w:val="21"/>
                      <w:lang w:val="en-US" w:eastAsia="zh-CN"/>
                    </w:rPr>
                    <w:t>/</w:t>
                  </w:r>
                </w:p>
              </w:tc>
              <w:tc>
                <w:tcPr>
                  <w:tcW w:w="1141" w:type="pct"/>
                  <w:vAlign w:val="center"/>
                </w:tcPr>
                <w:p w14:paraId="6348C779">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eastAsia="仿宋_GB2312" w:cs="Times New Roman"/>
                      <w:color w:val="auto"/>
                      <w:sz w:val="21"/>
                      <w:szCs w:val="21"/>
                      <w:lang w:val="en-US" w:eastAsia="zh-CN"/>
                    </w:rPr>
                    <w:t>/</w:t>
                  </w:r>
                </w:p>
              </w:tc>
            </w:tr>
            <w:tr w14:paraId="5B0EFD5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3D2A9D23">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柠檬酸二铵</w:t>
                  </w:r>
                </w:p>
              </w:tc>
              <w:tc>
                <w:tcPr>
                  <w:tcW w:w="451" w:type="pct"/>
                  <w:vAlign w:val="center"/>
                </w:tcPr>
                <w:p w14:paraId="4C8FD232">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shd w:val="clear" w:color="auto" w:fill="FFFFFF"/>
                      <w:lang w:val="en-US" w:eastAsia="zh-CN" w:bidi="ar-SA"/>
                    </w:rPr>
                  </w:pPr>
                  <w:r>
                    <w:rPr>
                      <w:rFonts w:hint="default" w:ascii="Times New Roman" w:hAnsi="Times New Roman" w:eastAsia="仿宋_GB2312" w:cs="Times New Roman"/>
                      <w:color w:val="auto"/>
                      <w:sz w:val="21"/>
                      <w:szCs w:val="21"/>
                      <w:shd w:val="clear" w:color="auto" w:fill="FFFFFF"/>
                    </w:rPr>
                    <w:t>3012-65-5</w:t>
                  </w:r>
                </w:p>
              </w:tc>
              <w:tc>
                <w:tcPr>
                  <w:tcW w:w="289" w:type="pct"/>
                  <w:vAlign w:val="center"/>
                </w:tcPr>
                <w:p w14:paraId="7FE816CA">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eastAsia="仿宋_GB2312" w:cs="Times New Roman"/>
                      <w:color w:val="auto"/>
                      <w:sz w:val="21"/>
                      <w:szCs w:val="21"/>
                      <w:lang w:val="en-US" w:eastAsia="zh-CN"/>
                    </w:rPr>
                    <w:t>/</w:t>
                  </w:r>
                </w:p>
              </w:tc>
              <w:tc>
                <w:tcPr>
                  <w:tcW w:w="1267" w:type="pct"/>
                  <w:vAlign w:val="center"/>
                </w:tcPr>
                <w:p w14:paraId="040EBF0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外观与性状：</w:t>
                  </w:r>
                  <w:r>
                    <w:rPr>
                      <w:rFonts w:hint="eastAsia" w:eastAsia="仿宋_GB2312" w:cs="Times New Roman"/>
                      <w:color w:val="auto"/>
                      <w:spacing w:val="-4"/>
                      <w:kern w:val="0"/>
                      <w:sz w:val="21"/>
                      <w:szCs w:val="21"/>
                      <w:lang w:val="en-US" w:eastAsia="zh-CN"/>
                    </w:rPr>
                    <w:t>白色结晶颗粒</w:t>
                  </w:r>
                  <w:r>
                    <w:rPr>
                      <w:rFonts w:hint="default" w:ascii="Times New Roman" w:hAnsi="Times New Roman" w:eastAsia="仿宋_GB2312" w:cs="Times New Roman"/>
                      <w:color w:val="auto"/>
                      <w:spacing w:val="-4"/>
                      <w:kern w:val="0"/>
                      <w:sz w:val="21"/>
                      <w:szCs w:val="21"/>
                    </w:rPr>
                    <w:t>；</w:t>
                  </w:r>
                </w:p>
                <w:p w14:paraId="684C596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分子量：</w:t>
                  </w:r>
                  <w:r>
                    <w:rPr>
                      <w:rFonts w:hint="eastAsia" w:eastAsia="仿宋_GB2312" w:cs="Times New Roman"/>
                      <w:color w:val="auto"/>
                      <w:spacing w:val="-4"/>
                      <w:kern w:val="0"/>
                      <w:sz w:val="21"/>
                      <w:szCs w:val="21"/>
                      <w:lang w:val="en-US" w:eastAsia="zh-CN"/>
                    </w:rPr>
                    <w:t>226.19</w:t>
                  </w:r>
                  <w:r>
                    <w:rPr>
                      <w:rFonts w:hint="default" w:ascii="Times New Roman" w:hAnsi="Times New Roman" w:eastAsia="仿宋_GB2312" w:cs="Times New Roman"/>
                      <w:color w:val="auto"/>
                      <w:spacing w:val="-4"/>
                      <w:kern w:val="0"/>
                      <w:sz w:val="21"/>
                      <w:szCs w:val="21"/>
                    </w:rPr>
                    <w:t>；</w:t>
                  </w:r>
                </w:p>
                <w:p w14:paraId="5DADF8A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熔点：</w:t>
                  </w:r>
                  <w:r>
                    <w:rPr>
                      <w:rFonts w:hint="eastAsia" w:eastAsia="仿宋_GB2312" w:cs="Times New Roman"/>
                      <w:color w:val="auto"/>
                      <w:spacing w:val="-4"/>
                      <w:kern w:val="0"/>
                      <w:sz w:val="21"/>
                      <w:szCs w:val="21"/>
                      <w:lang w:val="en-US" w:eastAsia="zh-CN"/>
                    </w:rPr>
                    <w:t>185</w:t>
                  </w:r>
                  <w:r>
                    <w:rPr>
                      <w:rFonts w:hint="default" w:ascii="Times New Roman" w:hAnsi="Times New Roman" w:eastAsia="仿宋_GB2312" w:cs="Times New Roman"/>
                      <w:color w:val="auto"/>
                      <w:spacing w:val="-4"/>
                      <w:kern w:val="0"/>
                      <w:sz w:val="21"/>
                      <w:szCs w:val="21"/>
                    </w:rPr>
                    <w:t>℃；</w:t>
                  </w:r>
                </w:p>
                <w:p w14:paraId="0D615F4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相对密度（水=1）：</w:t>
                  </w:r>
                  <w:r>
                    <w:rPr>
                      <w:rFonts w:hint="eastAsia" w:eastAsia="仿宋_GB2312" w:cs="Times New Roman"/>
                      <w:color w:val="auto"/>
                      <w:spacing w:val="-4"/>
                      <w:kern w:val="0"/>
                      <w:sz w:val="21"/>
                      <w:szCs w:val="21"/>
                      <w:lang w:val="en-US" w:eastAsia="zh-CN"/>
                    </w:rPr>
                    <w:t>1.48</w:t>
                  </w:r>
                  <w:r>
                    <w:rPr>
                      <w:rFonts w:hint="default" w:ascii="Times New Roman" w:hAnsi="Times New Roman" w:eastAsia="仿宋_GB2312" w:cs="Times New Roman"/>
                      <w:color w:val="auto"/>
                      <w:spacing w:val="-4"/>
                      <w:kern w:val="0"/>
                      <w:sz w:val="21"/>
                      <w:szCs w:val="21"/>
                    </w:rPr>
                    <w:t>。</w:t>
                  </w:r>
                </w:p>
                <w:p w14:paraId="56F84DC8">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pacing w:val="-4"/>
                      <w:kern w:val="0"/>
                      <w:sz w:val="21"/>
                      <w:szCs w:val="21"/>
                      <w:lang w:val="en-US" w:eastAsia="zh-CN" w:bidi="ar-SA"/>
                    </w:rPr>
                  </w:pPr>
                  <w:r>
                    <w:rPr>
                      <w:rFonts w:hint="default" w:ascii="Times New Roman" w:hAnsi="Times New Roman" w:eastAsia="仿宋_GB2312" w:cs="Times New Roman"/>
                      <w:color w:val="auto"/>
                      <w:sz w:val="21"/>
                      <w:szCs w:val="21"/>
                      <w:shd w:val="clear" w:color="auto" w:fill="FFFFFF"/>
                    </w:rPr>
                    <w:t>溶解性：</w:t>
                  </w:r>
                  <w:r>
                    <w:rPr>
                      <w:rFonts w:hint="eastAsia" w:eastAsia="仿宋_GB2312" w:cs="Times New Roman"/>
                      <w:color w:val="auto"/>
                      <w:sz w:val="21"/>
                      <w:szCs w:val="21"/>
                      <w:shd w:val="clear" w:color="auto" w:fill="FFFFFF"/>
                      <w:lang w:val="en-US" w:eastAsia="zh-CN"/>
                    </w:rPr>
                    <w:t>溶于水，微溶于乙醇。</w:t>
                  </w:r>
                </w:p>
              </w:tc>
              <w:tc>
                <w:tcPr>
                  <w:tcW w:w="873" w:type="pct"/>
                  <w:vAlign w:val="center"/>
                </w:tcPr>
                <w:p w14:paraId="7334E324">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rPr>
                    <w:t>/</w:t>
                  </w:r>
                </w:p>
              </w:tc>
              <w:tc>
                <w:tcPr>
                  <w:tcW w:w="343" w:type="pct"/>
                  <w:vAlign w:val="center"/>
                </w:tcPr>
                <w:p w14:paraId="3C200EA3">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eastAsia="仿宋_GB2312" w:cs="Times New Roman"/>
                      <w:color w:val="auto"/>
                      <w:sz w:val="21"/>
                      <w:szCs w:val="21"/>
                      <w:lang w:val="en-US" w:eastAsia="zh-CN"/>
                    </w:rPr>
                    <w:t>/</w:t>
                  </w:r>
                </w:p>
              </w:tc>
              <w:tc>
                <w:tcPr>
                  <w:tcW w:w="1141" w:type="pct"/>
                  <w:vAlign w:val="center"/>
                </w:tcPr>
                <w:p w14:paraId="33BB9922">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危险特性：不燃，不易爆，</w:t>
                  </w:r>
                  <w:r>
                    <w:rPr>
                      <w:rFonts w:hint="eastAsia" w:eastAsia="仿宋_GB2312" w:cs="Times New Roman"/>
                      <w:color w:val="auto"/>
                      <w:sz w:val="21"/>
                      <w:szCs w:val="21"/>
                      <w:lang w:val="en-US" w:eastAsia="zh-CN"/>
                    </w:rPr>
                    <w:t>在高温下会发生分解，产生有毒的氨气和氮氧化物</w:t>
                  </w:r>
                  <w:r>
                    <w:rPr>
                      <w:rFonts w:hint="default" w:ascii="Times New Roman" w:hAnsi="Times New Roman" w:eastAsia="仿宋_GB2312" w:cs="Times New Roman"/>
                      <w:color w:val="auto"/>
                      <w:sz w:val="21"/>
                      <w:szCs w:val="21"/>
                    </w:rPr>
                    <w:t>。</w:t>
                  </w:r>
                </w:p>
              </w:tc>
            </w:tr>
            <w:tr w14:paraId="79F14D5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048CCBC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highlight w:val="none"/>
                    </w:rPr>
                  </w:pPr>
                  <w:r>
                    <w:rPr>
                      <w:rFonts w:hint="eastAsia" w:eastAsia="仿宋_GB2312" w:cs="Times New Roman"/>
                      <w:color w:val="auto"/>
                      <w:kern w:val="0"/>
                      <w:sz w:val="21"/>
                      <w:szCs w:val="21"/>
                      <w:highlight w:val="none"/>
                      <w:lang w:val="en-US" w:eastAsia="zh-CN"/>
                    </w:rPr>
                    <w:t>乙酸钠</w:t>
                  </w:r>
                </w:p>
              </w:tc>
              <w:tc>
                <w:tcPr>
                  <w:tcW w:w="451" w:type="pct"/>
                  <w:vAlign w:val="center"/>
                </w:tcPr>
                <w:p w14:paraId="7AC619CB">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shd w:val="clear" w:color="auto" w:fill="FFFFFF"/>
                      <w:lang w:val="en-US" w:eastAsia="zh-CN" w:bidi="ar-SA"/>
                    </w:rPr>
                  </w:pPr>
                  <w:r>
                    <w:rPr>
                      <w:rFonts w:hint="default" w:ascii="Times New Roman" w:hAnsi="Times New Roman" w:eastAsia="仿宋_GB2312" w:cs="Times New Roman"/>
                      <w:color w:val="auto"/>
                      <w:sz w:val="21"/>
                      <w:szCs w:val="21"/>
                      <w:shd w:val="clear" w:color="auto" w:fill="FFFFFF"/>
                    </w:rPr>
                    <w:t>127-09-3</w:t>
                  </w:r>
                </w:p>
              </w:tc>
              <w:tc>
                <w:tcPr>
                  <w:tcW w:w="289" w:type="pct"/>
                  <w:vAlign w:val="center"/>
                </w:tcPr>
                <w:p w14:paraId="1EB46B4F">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eastAsia="仿宋_GB2312" w:cs="Times New Roman"/>
                      <w:color w:val="auto"/>
                      <w:sz w:val="21"/>
                      <w:szCs w:val="21"/>
                      <w:lang w:val="en-US" w:eastAsia="zh-CN"/>
                    </w:rPr>
                    <w:t>/</w:t>
                  </w:r>
                </w:p>
              </w:tc>
              <w:tc>
                <w:tcPr>
                  <w:tcW w:w="1267" w:type="pct"/>
                  <w:vAlign w:val="center"/>
                </w:tcPr>
                <w:p w14:paraId="4F52F9E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外观与性状：</w:t>
                  </w:r>
                  <w:r>
                    <w:rPr>
                      <w:rFonts w:hint="eastAsia" w:eastAsia="仿宋_GB2312" w:cs="Times New Roman"/>
                      <w:color w:val="auto"/>
                      <w:spacing w:val="-4"/>
                      <w:kern w:val="0"/>
                      <w:sz w:val="21"/>
                      <w:szCs w:val="21"/>
                      <w:lang w:val="en-US" w:eastAsia="zh-CN"/>
                    </w:rPr>
                    <w:t>白色粉末</w:t>
                  </w:r>
                  <w:r>
                    <w:rPr>
                      <w:rFonts w:hint="default" w:ascii="Times New Roman" w:hAnsi="Times New Roman" w:eastAsia="仿宋_GB2312" w:cs="Times New Roman"/>
                      <w:color w:val="auto"/>
                      <w:spacing w:val="-4"/>
                      <w:kern w:val="0"/>
                      <w:sz w:val="21"/>
                      <w:szCs w:val="21"/>
                    </w:rPr>
                    <w:t>；</w:t>
                  </w:r>
                </w:p>
                <w:p w14:paraId="156F568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分子量：</w:t>
                  </w:r>
                  <w:r>
                    <w:rPr>
                      <w:rFonts w:hint="eastAsia" w:eastAsia="仿宋_GB2312" w:cs="Times New Roman"/>
                      <w:color w:val="auto"/>
                      <w:spacing w:val="-4"/>
                      <w:kern w:val="0"/>
                      <w:sz w:val="21"/>
                      <w:szCs w:val="21"/>
                      <w:lang w:val="en-US" w:eastAsia="zh-CN"/>
                    </w:rPr>
                    <w:t>82.03</w:t>
                  </w:r>
                  <w:r>
                    <w:rPr>
                      <w:rFonts w:hint="default" w:ascii="Times New Roman" w:hAnsi="Times New Roman" w:eastAsia="仿宋_GB2312" w:cs="Times New Roman"/>
                      <w:color w:val="auto"/>
                      <w:spacing w:val="-4"/>
                      <w:kern w:val="0"/>
                      <w:sz w:val="21"/>
                      <w:szCs w:val="21"/>
                    </w:rPr>
                    <w:t>；</w:t>
                  </w:r>
                </w:p>
                <w:p w14:paraId="3BCA457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熔点：</w:t>
                  </w:r>
                  <w:r>
                    <w:rPr>
                      <w:rFonts w:hint="eastAsia" w:eastAsia="仿宋_GB2312" w:cs="Times New Roman"/>
                      <w:color w:val="auto"/>
                      <w:spacing w:val="-4"/>
                      <w:kern w:val="0"/>
                      <w:sz w:val="21"/>
                      <w:szCs w:val="21"/>
                      <w:lang w:val="en-US" w:eastAsia="zh-CN"/>
                    </w:rPr>
                    <w:t>＞300</w:t>
                  </w:r>
                  <w:r>
                    <w:rPr>
                      <w:rFonts w:hint="default" w:ascii="Times New Roman" w:hAnsi="Times New Roman" w:eastAsia="仿宋_GB2312" w:cs="Times New Roman"/>
                      <w:color w:val="auto"/>
                      <w:spacing w:val="-4"/>
                      <w:kern w:val="0"/>
                      <w:sz w:val="21"/>
                      <w:szCs w:val="21"/>
                    </w:rPr>
                    <w:t>℃；</w:t>
                  </w:r>
                </w:p>
                <w:p w14:paraId="489B0D1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eastAsia" w:eastAsia="仿宋_GB2312" w:cs="Times New Roman"/>
                      <w:color w:val="auto"/>
                      <w:spacing w:val="-4"/>
                      <w:kern w:val="0"/>
                      <w:sz w:val="21"/>
                      <w:szCs w:val="21"/>
                      <w:lang w:val="en-US" w:eastAsia="zh-CN"/>
                    </w:rPr>
                    <w:t>沸点</w:t>
                  </w:r>
                  <w:r>
                    <w:rPr>
                      <w:rFonts w:hint="default" w:ascii="Times New Roman" w:hAnsi="Times New Roman" w:eastAsia="仿宋_GB2312" w:cs="Times New Roman"/>
                      <w:color w:val="auto"/>
                      <w:spacing w:val="-4"/>
                      <w:kern w:val="0"/>
                      <w:sz w:val="21"/>
                      <w:szCs w:val="21"/>
                    </w:rPr>
                    <w:t>：</w:t>
                  </w:r>
                  <w:r>
                    <w:rPr>
                      <w:rFonts w:hint="eastAsia" w:ascii="Times New Roman" w:hAnsi="Times New Roman" w:eastAsia="仿宋_GB2312" w:cs="Times New Roman"/>
                      <w:color w:val="auto"/>
                      <w:spacing w:val="-4"/>
                      <w:kern w:val="0"/>
                      <w:sz w:val="21"/>
                      <w:szCs w:val="21"/>
                      <w:lang w:val="en-US" w:eastAsia="zh-CN"/>
                    </w:rPr>
                    <w:t>＞</w:t>
                  </w:r>
                  <w:r>
                    <w:rPr>
                      <w:rFonts w:hint="eastAsia" w:eastAsia="仿宋_GB2312" w:cs="Times New Roman"/>
                      <w:color w:val="auto"/>
                      <w:spacing w:val="-4"/>
                      <w:kern w:val="0"/>
                      <w:sz w:val="21"/>
                      <w:szCs w:val="21"/>
                      <w:lang w:val="en-US" w:eastAsia="zh-CN"/>
                    </w:rPr>
                    <w:t>4</w:t>
                  </w:r>
                  <w:r>
                    <w:rPr>
                      <w:rFonts w:hint="eastAsia" w:ascii="Times New Roman" w:hAnsi="Times New Roman" w:eastAsia="仿宋_GB2312" w:cs="Times New Roman"/>
                      <w:color w:val="auto"/>
                      <w:spacing w:val="-4"/>
                      <w:kern w:val="0"/>
                      <w:sz w:val="21"/>
                      <w:szCs w:val="21"/>
                      <w:lang w:val="en-US" w:eastAsia="zh-CN"/>
                    </w:rPr>
                    <w:t>00</w:t>
                  </w:r>
                  <w:r>
                    <w:rPr>
                      <w:rFonts w:hint="default" w:ascii="Times New Roman" w:hAnsi="Times New Roman" w:eastAsia="仿宋_GB2312" w:cs="Times New Roman"/>
                      <w:color w:val="auto"/>
                      <w:spacing w:val="-4"/>
                      <w:kern w:val="0"/>
                      <w:sz w:val="21"/>
                      <w:szCs w:val="21"/>
                    </w:rPr>
                    <w:t>℃；</w:t>
                  </w:r>
                </w:p>
                <w:p w14:paraId="29F52B96">
                  <w:pPr>
                    <w:keepNext w:val="0"/>
                    <w:keepLines w:val="0"/>
                    <w:widowControl w:val="0"/>
                    <w:suppressLineNumbers w:val="0"/>
                    <w:spacing w:before="0" w:beforeAutospacing="0" w:after="0" w:afterAutospacing="0" w:line="320" w:lineRule="exact"/>
                    <w:ind w:left="0" w:right="0"/>
                    <w:jc w:val="center"/>
                    <w:rPr>
                      <w:rFonts w:hint="default" w:eastAsia="仿宋_GB2312" w:cs="Times New Roman"/>
                      <w:color w:val="auto"/>
                      <w:spacing w:val="-4"/>
                      <w:kern w:val="0"/>
                      <w:sz w:val="21"/>
                      <w:szCs w:val="21"/>
                      <w:lang w:val="en-US" w:eastAsia="zh-CN"/>
                    </w:rPr>
                  </w:pPr>
                  <w:r>
                    <w:rPr>
                      <w:rFonts w:hint="eastAsia" w:eastAsia="仿宋_GB2312" w:cs="Times New Roman"/>
                      <w:color w:val="auto"/>
                      <w:spacing w:val="-4"/>
                      <w:kern w:val="0"/>
                      <w:sz w:val="21"/>
                      <w:szCs w:val="21"/>
                      <w:lang w:val="en-US" w:eastAsia="zh-CN"/>
                    </w:rPr>
                    <w:t>闪点</w:t>
                  </w:r>
                  <w:r>
                    <w:rPr>
                      <w:rFonts w:hint="default" w:eastAsia="仿宋_GB2312" w:cs="Times New Roman"/>
                      <w:color w:val="auto"/>
                      <w:spacing w:val="-4"/>
                      <w:kern w:val="0"/>
                      <w:sz w:val="21"/>
                      <w:szCs w:val="21"/>
                      <w:lang w:val="en-US" w:eastAsia="zh-CN"/>
                    </w:rPr>
                    <w:t>：</w:t>
                  </w:r>
                  <w:r>
                    <w:rPr>
                      <w:rFonts w:hint="eastAsia" w:eastAsia="仿宋_GB2312" w:cs="Times New Roman"/>
                      <w:color w:val="auto"/>
                      <w:spacing w:val="-4"/>
                      <w:kern w:val="0"/>
                      <w:sz w:val="21"/>
                      <w:szCs w:val="21"/>
                      <w:lang w:val="en-US" w:eastAsia="zh-CN"/>
                    </w:rPr>
                    <w:t>＞250</w:t>
                  </w:r>
                  <w:r>
                    <w:rPr>
                      <w:rFonts w:hint="default" w:eastAsia="仿宋_GB2312" w:cs="Times New Roman"/>
                      <w:color w:val="auto"/>
                      <w:spacing w:val="-4"/>
                      <w:kern w:val="0"/>
                      <w:sz w:val="21"/>
                      <w:szCs w:val="21"/>
                      <w:lang w:val="en-US" w:eastAsia="zh-CN"/>
                    </w:rPr>
                    <w:t>℃；</w:t>
                  </w:r>
                </w:p>
                <w:p w14:paraId="68A8C7D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相对密度（水=1）：</w:t>
                  </w:r>
                  <w:r>
                    <w:rPr>
                      <w:rFonts w:hint="eastAsia" w:eastAsia="仿宋_GB2312" w:cs="Times New Roman"/>
                      <w:color w:val="auto"/>
                      <w:spacing w:val="-4"/>
                      <w:kern w:val="0"/>
                      <w:sz w:val="21"/>
                      <w:szCs w:val="21"/>
                      <w:lang w:val="en-US" w:eastAsia="zh-CN"/>
                    </w:rPr>
                    <w:t>1.01</w:t>
                  </w:r>
                  <w:r>
                    <w:rPr>
                      <w:rFonts w:hint="default" w:ascii="Times New Roman" w:hAnsi="Times New Roman" w:eastAsia="仿宋_GB2312" w:cs="Times New Roman"/>
                      <w:color w:val="auto"/>
                      <w:spacing w:val="-4"/>
                      <w:kern w:val="0"/>
                      <w:sz w:val="21"/>
                      <w:szCs w:val="21"/>
                    </w:rPr>
                    <w:t>。</w:t>
                  </w:r>
                </w:p>
                <w:p w14:paraId="50E5828A">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pacing w:val="-4"/>
                      <w:kern w:val="0"/>
                      <w:sz w:val="21"/>
                      <w:szCs w:val="21"/>
                      <w:lang w:val="en-US" w:eastAsia="zh-CN" w:bidi="ar-SA"/>
                    </w:rPr>
                  </w:pPr>
                  <w:r>
                    <w:rPr>
                      <w:rFonts w:hint="default" w:ascii="Times New Roman" w:hAnsi="Times New Roman" w:eastAsia="仿宋_GB2312" w:cs="Times New Roman"/>
                      <w:color w:val="auto"/>
                      <w:sz w:val="21"/>
                      <w:szCs w:val="21"/>
                      <w:shd w:val="clear" w:color="auto" w:fill="FFFFFF"/>
                    </w:rPr>
                    <w:t>溶解性：</w:t>
                  </w:r>
                  <w:r>
                    <w:rPr>
                      <w:rFonts w:hint="eastAsia" w:eastAsia="仿宋_GB2312" w:cs="Times New Roman"/>
                      <w:color w:val="auto"/>
                      <w:sz w:val="21"/>
                      <w:szCs w:val="21"/>
                      <w:shd w:val="clear" w:color="auto" w:fill="FFFFFF"/>
                      <w:lang w:val="en-US" w:eastAsia="zh-CN"/>
                    </w:rPr>
                    <w:t>极易溶于水，微溶于乙醇。</w:t>
                  </w:r>
                </w:p>
              </w:tc>
              <w:tc>
                <w:tcPr>
                  <w:tcW w:w="873" w:type="pct"/>
                  <w:vAlign w:val="center"/>
                </w:tcPr>
                <w:p w14:paraId="35DD687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急性毒性：</w:t>
                  </w:r>
                </w:p>
                <w:p w14:paraId="421F223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LD</w:t>
                  </w:r>
                  <w:r>
                    <w:rPr>
                      <w:rFonts w:hint="default" w:ascii="Times New Roman" w:hAnsi="Times New Roman" w:eastAsia="仿宋_GB2312" w:cs="Times New Roman"/>
                      <w:bCs/>
                      <w:color w:val="auto"/>
                      <w:sz w:val="21"/>
                      <w:szCs w:val="21"/>
                      <w:vertAlign w:val="subscript"/>
                    </w:rPr>
                    <w:t>50</w:t>
                  </w:r>
                  <w:r>
                    <w:rPr>
                      <w:rFonts w:hint="default" w:ascii="Times New Roman" w:hAnsi="Times New Roman" w:eastAsia="仿宋_GB2312" w:cs="Times New Roman"/>
                      <w:bCs/>
                      <w:color w:val="auto"/>
                      <w:sz w:val="21"/>
                      <w:szCs w:val="21"/>
                    </w:rPr>
                    <w:t>：</w:t>
                  </w:r>
                  <w:r>
                    <w:rPr>
                      <w:rFonts w:hint="eastAsia" w:eastAsia="仿宋_GB2312" w:cs="Times New Roman"/>
                      <w:bCs/>
                      <w:color w:val="auto"/>
                      <w:sz w:val="21"/>
                      <w:szCs w:val="21"/>
                      <w:lang w:val="en-US" w:eastAsia="zh-CN"/>
                    </w:rPr>
                    <w:t>3530</w:t>
                  </w:r>
                  <w:r>
                    <w:rPr>
                      <w:rFonts w:hint="default" w:ascii="Times New Roman" w:hAnsi="Times New Roman" w:eastAsia="仿宋_GB2312" w:cs="Times New Roman"/>
                      <w:bCs/>
                      <w:color w:val="auto"/>
                      <w:sz w:val="21"/>
                      <w:szCs w:val="21"/>
                    </w:rPr>
                    <w:t>mg/Kg（大鼠经口）；</w:t>
                  </w:r>
                </w:p>
                <w:p w14:paraId="10BE660F">
                  <w:pPr>
                    <w:keepNext w:val="0"/>
                    <w:keepLines w:val="0"/>
                    <w:widowControl w:val="0"/>
                    <w:suppressLineNumbers w:val="0"/>
                    <w:spacing w:before="0" w:beforeAutospacing="0" w:after="0" w:afterAutospacing="0" w:line="320" w:lineRule="exact"/>
                    <w:ind w:left="0" w:right="0"/>
                    <w:jc w:val="center"/>
                    <w:rPr>
                      <w:rFonts w:hint="default"/>
                      <w:color w:val="auto"/>
                    </w:rPr>
                  </w:pPr>
                  <w:r>
                    <w:rPr>
                      <w:rFonts w:hint="default" w:ascii="Times New Roman" w:hAnsi="Times New Roman" w:eastAsia="仿宋_GB2312" w:cs="Times New Roman"/>
                      <w:bCs/>
                      <w:color w:val="auto"/>
                      <w:sz w:val="21"/>
                      <w:szCs w:val="21"/>
                    </w:rPr>
                    <w:t>LD</w:t>
                  </w:r>
                  <w:r>
                    <w:rPr>
                      <w:rFonts w:hint="default" w:ascii="Times New Roman" w:hAnsi="Times New Roman" w:eastAsia="仿宋_GB2312" w:cs="Times New Roman"/>
                      <w:bCs/>
                      <w:color w:val="auto"/>
                      <w:sz w:val="21"/>
                      <w:szCs w:val="21"/>
                      <w:vertAlign w:val="subscript"/>
                    </w:rPr>
                    <w:t>50</w:t>
                  </w:r>
                  <w:r>
                    <w:rPr>
                      <w:rFonts w:hint="default" w:ascii="Times New Roman" w:hAnsi="Times New Roman" w:eastAsia="仿宋_GB2312" w:cs="Times New Roman"/>
                      <w:bCs/>
                      <w:color w:val="auto"/>
                      <w:sz w:val="21"/>
                      <w:szCs w:val="21"/>
                    </w:rPr>
                    <w:t>：</w:t>
                  </w:r>
                  <w:r>
                    <w:rPr>
                      <w:rFonts w:hint="eastAsia" w:eastAsia="仿宋_GB2312" w:cs="Times New Roman"/>
                      <w:bCs/>
                      <w:color w:val="auto"/>
                      <w:sz w:val="21"/>
                      <w:szCs w:val="21"/>
                      <w:lang w:val="en-US" w:eastAsia="zh-CN"/>
                    </w:rPr>
                    <w:t>6891</w:t>
                  </w:r>
                  <w:r>
                    <w:rPr>
                      <w:rFonts w:hint="default" w:ascii="Times New Roman" w:hAnsi="Times New Roman" w:eastAsia="仿宋_GB2312" w:cs="Times New Roman"/>
                      <w:bCs/>
                      <w:color w:val="auto"/>
                      <w:sz w:val="21"/>
                      <w:szCs w:val="21"/>
                    </w:rPr>
                    <w:t>mg/Kg（</w:t>
                  </w:r>
                  <w:r>
                    <w:rPr>
                      <w:rFonts w:hint="eastAsia" w:eastAsia="仿宋_GB2312" w:cs="Times New Roman"/>
                      <w:bCs/>
                      <w:color w:val="auto"/>
                      <w:sz w:val="21"/>
                      <w:szCs w:val="21"/>
                      <w:lang w:val="en-US" w:eastAsia="zh-CN"/>
                    </w:rPr>
                    <w:t>小</w:t>
                  </w:r>
                  <w:r>
                    <w:rPr>
                      <w:rFonts w:hint="default" w:ascii="Times New Roman" w:hAnsi="Times New Roman" w:eastAsia="仿宋_GB2312" w:cs="Times New Roman"/>
                      <w:bCs/>
                      <w:color w:val="auto"/>
                      <w:sz w:val="21"/>
                      <w:szCs w:val="21"/>
                    </w:rPr>
                    <w:t>鼠经口）；</w:t>
                  </w:r>
                </w:p>
                <w:p w14:paraId="41CFDAB3">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p>
              </w:tc>
              <w:tc>
                <w:tcPr>
                  <w:tcW w:w="343" w:type="pct"/>
                  <w:vAlign w:val="center"/>
                </w:tcPr>
                <w:p w14:paraId="756A480F">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eastAsia="仿宋_GB2312" w:cs="Times New Roman"/>
                      <w:color w:val="auto"/>
                      <w:sz w:val="21"/>
                      <w:szCs w:val="21"/>
                      <w:lang w:val="en-US" w:eastAsia="zh-CN"/>
                    </w:rPr>
                    <w:t>/</w:t>
                  </w:r>
                </w:p>
              </w:tc>
              <w:tc>
                <w:tcPr>
                  <w:tcW w:w="1141" w:type="pct"/>
                  <w:vAlign w:val="center"/>
                </w:tcPr>
                <w:p w14:paraId="1660A035">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sz w:val="21"/>
                      <w:szCs w:val="21"/>
                    </w:rPr>
                    <w:t>危险特性：不燃，不易爆，</w:t>
                  </w:r>
                  <w:r>
                    <w:rPr>
                      <w:rFonts w:hint="eastAsia" w:eastAsia="仿宋_GB2312" w:cs="Times New Roman"/>
                      <w:color w:val="auto"/>
                      <w:sz w:val="21"/>
                      <w:szCs w:val="21"/>
                      <w:lang w:val="en-US" w:eastAsia="zh-CN"/>
                    </w:rPr>
                    <w:t>在高温下会发生分解，生成易燃的丙酮蒸汽</w:t>
                  </w:r>
                  <w:r>
                    <w:rPr>
                      <w:rFonts w:hint="default" w:ascii="Times New Roman" w:hAnsi="Times New Roman" w:eastAsia="仿宋_GB2312" w:cs="Times New Roman"/>
                      <w:color w:val="auto"/>
                      <w:sz w:val="21"/>
                      <w:szCs w:val="21"/>
                    </w:rPr>
                    <w:t>。</w:t>
                  </w:r>
                </w:p>
              </w:tc>
            </w:tr>
            <w:tr w14:paraId="277E2C0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7D8A858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硫酸镁</w:t>
                  </w:r>
                </w:p>
                <w:p w14:paraId="73997CA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sz w:val="21"/>
                      <w:szCs w:val="21"/>
                    </w:rPr>
                    <w:t>MgSO</w:t>
                  </w:r>
                  <w:r>
                    <w:rPr>
                      <w:rFonts w:hint="default" w:ascii="Times New Roman" w:hAnsi="Times New Roman" w:eastAsia="仿宋_GB2312" w:cs="Times New Roman"/>
                      <w:color w:val="auto"/>
                      <w:sz w:val="21"/>
                      <w:szCs w:val="21"/>
                      <w:vertAlign w:val="subscript"/>
                    </w:rPr>
                    <w:t>4</w:t>
                  </w:r>
                </w:p>
              </w:tc>
              <w:tc>
                <w:tcPr>
                  <w:tcW w:w="451" w:type="pct"/>
                  <w:vAlign w:val="center"/>
                </w:tcPr>
                <w:p w14:paraId="27F1A1A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shd w:val="clear" w:color="auto" w:fill="FFFFFF"/>
                    </w:rPr>
                  </w:pPr>
                  <w:r>
                    <w:rPr>
                      <w:rFonts w:hint="default" w:ascii="Times New Roman" w:hAnsi="Times New Roman" w:eastAsia="仿宋_GB2312" w:cs="Times New Roman"/>
                      <w:color w:val="auto"/>
                      <w:sz w:val="21"/>
                      <w:szCs w:val="21"/>
                      <w:shd w:val="clear" w:color="auto" w:fill="FFFFFF"/>
                    </w:rPr>
                    <w:t>7487-88-9</w:t>
                  </w:r>
                </w:p>
              </w:tc>
              <w:tc>
                <w:tcPr>
                  <w:tcW w:w="289" w:type="pct"/>
                  <w:vAlign w:val="center"/>
                </w:tcPr>
                <w:p w14:paraId="4D84F24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3C62CFB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外观与性状：白色结晶粉末；</w:t>
                  </w:r>
                </w:p>
                <w:p w14:paraId="2342016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分子量：120.368；</w:t>
                  </w:r>
                </w:p>
                <w:p w14:paraId="3A184AE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熔点：1124℃；</w:t>
                  </w:r>
                </w:p>
                <w:p w14:paraId="6F5A166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相对密度（水=1）：2.66。</w:t>
                  </w:r>
                </w:p>
                <w:p w14:paraId="786BECF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z w:val="21"/>
                      <w:szCs w:val="21"/>
                      <w:shd w:val="clear" w:color="auto" w:fill="FFFFFF"/>
                    </w:rPr>
                    <w:t>溶解性：溶于水、乙醇和甘油，不溶于丙酮</w:t>
                  </w:r>
                </w:p>
              </w:tc>
              <w:tc>
                <w:tcPr>
                  <w:tcW w:w="873" w:type="pct"/>
                  <w:vAlign w:val="center"/>
                </w:tcPr>
                <w:p w14:paraId="69F2261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急性毒性：</w:t>
                  </w:r>
                </w:p>
                <w:p w14:paraId="1C137E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LD</w:t>
                  </w:r>
                  <w:r>
                    <w:rPr>
                      <w:rFonts w:hint="default" w:ascii="Times New Roman" w:hAnsi="Times New Roman" w:eastAsia="仿宋_GB2312" w:cs="Times New Roman"/>
                      <w:color w:val="auto"/>
                      <w:kern w:val="0"/>
                      <w:sz w:val="21"/>
                      <w:szCs w:val="21"/>
                      <w:vertAlign w:val="subscript"/>
                    </w:rPr>
                    <w:t>50</w:t>
                  </w:r>
                  <w:r>
                    <w:rPr>
                      <w:rFonts w:hint="default" w:ascii="Times New Roman" w:hAnsi="Times New Roman" w:eastAsia="仿宋_GB2312" w:cs="Times New Roman"/>
                      <w:color w:val="auto"/>
                      <w:kern w:val="0"/>
                      <w:sz w:val="21"/>
                      <w:szCs w:val="21"/>
                    </w:rPr>
                    <w:t>：2000mg／kg（</w:t>
                  </w:r>
                  <w:r>
                    <w:rPr>
                      <w:rFonts w:hint="default" w:ascii="Times New Roman" w:hAnsi="Times New Roman" w:eastAsia="仿宋_GB2312" w:cs="Times New Roman"/>
                      <w:bCs/>
                      <w:color w:val="auto"/>
                      <w:sz w:val="21"/>
                      <w:szCs w:val="21"/>
                    </w:rPr>
                    <w:t>大鼠经口</w:t>
                  </w:r>
                  <w:r>
                    <w:rPr>
                      <w:rFonts w:hint="default" w:ascii="Times New Roman" w:hAnsi="Times New Roman" w:eastAsia="仿宋_GB2312" w:cs="Times New Roman"/>
                      <w:color w:val="auto"/>
                      <w:kern w:val="0"/>
                      <w:sz w:val="21"/>
                      <w:szCs w:val="21"/>
                    </w:rPr>
                    <w:t>）；</w:t>
                  </w:r>
                </w:p>
                <w:p w14:paraId="2F4B0FD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LD</w:t>
                  </w:r>
                  <w:r>
                    <w:rPr>
                      <w:rFonts w:hint="default" w:ascii="Times New Roman" w:hAnsi="Times New Roman" w:eastAsia="仿宋_GB2312" w:cs="Times New Roman"/>
                      <w:color w:val="auto"/>
                      <w:kern w:val="0"/>
                      <w:sz w:val="21"/>
                      <w:szCs w:val="21"/>
                      <w:vertAlign w:val="subscript"/>
                    </w:rPr>
                    <w:t>50</w:t>
                  </w:r>
                  <w:r>
                    <w:rPr>
                      <w:rFonts w:hint="default" w:ascii="Times New Roman" w:hAnsi="Times New Roman" w:eastAsia="仿宋_GB2312" w:cs="Times New Roman"/>
                      <w:color w:val="auto"/>
                      <w:kern w:val="0"/>
                      <w:sz w:val="21"/>
                      <w:szCs w:val="21"/>
                    </w:rPr>
                    <w:t>：645mg／kg（小</w:t>
                  </w:r>
                  <w:r>
                    <w:rPr>
                      <w:rFonts w:hint="default" w:ascii="Times New Roman" w:hAnsi="Times New Roman" w:eastAsia="仿宋_GB2312" w:cs="Times New Roman"/>
                      <w:bCs/>
                      <w:color w:val="auto"/>
                      <w:sz w:val="21"/>
                      <w:szCs w:val="21"/>
                    </w:rPr>
                    <w:t>鼠皮下</w:t>
                  </w:r>
                  <w:r>
                    <w:rPr>
                      <w:rFonts w:hint="default" w:ascii="Times New Roman" w:hAnsi="Times New Roman" w:eastAsia="仿宋_GB2312" w:cs="Times New Roman"/>
                      <w:color w:val="auto"/>
                      <w:kern w:val="0"/>
                      <w:sz w:val="21"/>
                      <w:szCs w:val="21"/>
                    </w:rPr>
                    <w:t>）。</w:t>
                  </w:r>
                </w:p>
                <w:p w14:paraId="63CDD75C">
                  <w:pPr>
                    <w:pStyle w:val="74"/>
                    <w:keepNext w:val="0"/>
                    <w:keepLines w:val="0"/>
                    <w:suppressLineNumbers w:val="0"/>
                    <w:tabs>
                      <w:tab w:val="left" w:pos="460"/>
                      <w:tab w:val="right" w:leader="dot" w:pos="8296"/>
                    </w:tabs>
                    <w:spacing w:before="0" w:beforeAutospacing="0" w:after="0" w:afterAutospacing="0"/>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kern w:val="0"/>
                      <w:sz w:val="21"/>
                      <w:szCs w:val="21"/>
                    </w:rPr>
                    <w:t>LC</w:t>
                  </w:r>
                  <w:r>
                    <w:rPr>
                      <w:rFonts w:hint="default" w:ascii="Times New Roman" w:hAnsi="Times New Roman" w:eastAsia="仿宋_GB2312" w:cs="Times New Roman"/>
                      <w:color w:val="auto"/>
                      <w:kern w:val="0"/>
                      <w:sz w:val="21"/>
                      <w:szCs w:val="21"/>
                      <w:vertAlign w:val="subscript"/>
                    </w:rPr>
                    <w:t>50</w:t>
                  </w:r>
                  <w:r>
                    <w:rPr>
                      <w:rFonts w:hint="default" w:ascii="Times New Roman" w:hAnsi="Times New Roman" w:eastAsia="仿宋_GB2312" w:cs="Times New Roman"/>
                      <w:color w:val="auto"/>
                      <w:kern w:val="0"/>
                      <w:sz w:val="21"/>
                      <w:szCs w:val="21"/>
                    </w:rPr>
                    <w:t>：2000mg／</w:t>
                  </w:r>
                  <w:r>
                    <w:rPr>
                      <w:rFonts w:hint="default" w:ascii="Times New Roman" w:hAnsi="Times New Roman" w:eastAsia="仿宋_GB2312" w:cs="Times New Roman"/>
                      <w:bCs/>
                      <w:color w:val="auto"/>
                      <w:sz w:val="21"/>
                      <w:szCs w:val="21"/>
                    </w:rPr>
                    <w:t>m</w:t>
                  </w:r>
                  <w:r>
                    <w:rPr>
                      <w:rFonts w:hint="default" w:ascii="Times New Roman" w:hAnsi="Times New Roman" w:eastAsia="仿宋_GB2312" w:cs="Times New Roman"/>
                      <w:bCs/>
                      <w:color w:val="auto"/>
                      <w:sz w:val="21"/>
                      <w:szCs w:val="21"/>
                      <w:vertAlign w:val="superscript"/>
                    </w:rPr>
                    <w:t>3</w:t>
                  </w:r>
                  <w:r>
                    <w:rPr>
                      <w:rFonts w:hint="default" w:ascii="Times New Roman" w:hAnsi="Times New Roman" w:eastAsia="仿宋_GB2312" w:cs="Times New Roman"/>
                      <w:color w:val="auto"/>
                      <w:kern w:val="0"/>
                      <w:sz w:val="21"/>
                      <w:szCs w:val="21"/>
                    </w:rPr>
                    <w:t>（</w:t>
                  </w:r>
                  <w:r>
                    <w:rPr>
                      <w:rFonts w:hint="default" w:ascii="Times New Roman" w:hAnsi="Times New Roman" w:eastAsia="仿宋_GB2312" w:cs="Times New Roman"/>
                      <w:bCs/>
                      <w:color w:val="auto"/>
                      <w:sz w:val="21"/>
                      <w:szCs w:val="21"/>
                    </w:rPr>
                    <w:t>兔吸入</w:t>
                  </w:r>
                  <w:r>
                    <w:rPr>
                      <w:rFonts w:hint="default" w:ascii="Times New Roman" w:hAnsi="Times New Roman" w:eastAsia="仿宋_GB2312" w:cs="Times New Roman"/>
                      <w:color w:val="auto"/>
                      <w:kern w:val="0"/>
                      <w:sz w:val="21"/>
                      <w:szCs w:val="21"/>
                    </w:rPr>
                    <w:t>）；</w:t>
                  </w:r>
                </w:p>
              </w:tc>
              <w:tc>
                <w:tcPr>
                  <w:tcW w:w="343" w:type="pct"/>
                  <w:vAlign w:val="center"/>
                </w:tcPr>
                <w:p w14:paraId="195CFE7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6E6486D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危险特性：不燃，不易爆。</w:t>
                  </w:r>
                </w:p>
              </w:tc>
            </w:tr>
            <w:tr w14:paraId="065A0CE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754F431C">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消泡剂（主要成分：多羟基聚醚）</w:t>
                  </w:r>
                </w:p>
              </w:tc>
              <w:tc>
                <w:tcPr>
                  <w:tcW w:w="451" w:type="pct"/>
                  <w:vAlign w:val="center"/>
                </w:tcPr>
                <w:p w14:paraId="3A0746A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289" w:type="pct"/>
                  <w:vAlign w:val="center"/>
                </w:tcPr>
                <w:p w14:paraId="2730F46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14EC51A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4"/>
                      <w:kern w:val="0"/>
                      <w:sz w:val="21"/>
                      <w:szCs w:val="21"/>
                    </w:rPr>
                    <w:t>外观与性状</w:t>
                  </w:r>
                  <w:r>
                    <w:rPr>
                      <w:rFonts w:hint="default" w:ascii="Times New Roman" w:hAnsi="Times New Roman" w:eastAsia="仿宋_GB2312" w:cs="Times New Roman"/>
                      <w:color w:val="auto"/>
                      <w:sz w:val="21"/>
                      <w:szCs w:val="21"/>
                    </w:rPr>
                    <w:t>：乳白色水性液体；</w:t>
                  </w:r>
                </w:p>
                <w:p w14:paraId="19EC858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z w:val="21"/>
                      <w:szCs w:val="21"/>
                    </w:rPr>
                    <w:t>相对密度：</w:t>
                  </w:r>
                  <w:r>
                    <w:rPr>
                      <w:rFonts w:hint="default" w:ascii="Times New Roman" w:hAnsi="Times New Roman" w:eastAsia="仿宋_GB2312" w:cs="Times New Roman"/>
                      <w:color w:val="auto"/>
                      <w:spacing w:val="-4"/>
                      <w:kern w:val="0"/>
                      <w:sz w:val="21"/>
                      <w:szCs w:val="21"/>
                    </w:rPr>
                    <w:t>（水=1）：1.15；</w:t>
                  </w:r>
                </w:p>
                <w:p w14:paraId="2899217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沸点：100℃；</w:t>
                  </w:r>
                </w:p>
                <w:p w14:paraId="379CAEB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pacing w:val="-4"/>
                      <w:kern w:val="0"/>
                      <w:sz w:val="21"/>
                      <w:szCs w:val="21"/>
                    </w:rPr>
                    <w:t>溶解性：易溶于水。</w:t>
                  </w:r>
                </w:p>
              </w:tc>
              <w:tc>
                <w:tcPr>
                  <w:tcW w:w="873" w:type="pct"/>
                  <w:vAlign w:val="center"/>
                </w:tcPr>
                <w:p w14:paraId="7A9F8FA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43CDC2F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p>
              </w:tc>
              <w:tc>
                <w:tcPr>
                  <w:tcW w:w="1141" w:type="pct"/>
                  <w:vAlign w:val="center"/>
                </w:tcPr>
                <w:p w14:paraId="292ED8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危险特性：不燃。</w:t>
                  </w:r>
                </w:p>
              </w:tc>
            </w:tr>
            <w:tr w14:paraId="6085B2F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6B097A78">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L-苯丙氨酸</w:t>
                  </w:r>
                </w:p>
                <w:p w14:paraId="3EE9F1D0">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C</w:t>
                  </w:r>
                  <w:r>
                    <w:rPr>
                      <w:rFonts w:hint="default" w:ascii="Times New Roman" w:hAnsi="Times New Roman" w:eastAsia="仿宋_GB2312" w:cs="Times New Roman"/>
                      <w:color w:val="auto"/>
                      <w:sz w:val="21"/>
                      <w:szCs w:val="21"/>
                      <w:vertAlign w:val="subscript"/>
                      <w:lang w:val="en-US"/>
                    </w:rPr>
                    <w:t>9</w:t>
                  </w:r>
                  <w:r>
                    <w:rPr>
                      <w:rFonts w:hint="default" w:ascii="Times New Roman" w:hAnsi="Times New Roman" w:eastAsia="仿宋_GB2312" w:cs="Times New Roman"/>
                      <w:color w:val="auto"/>
                      <w:sz w:val="21"/>
                      <w:szCs w:val="21"/>
                      <w:lang w:val="en-US"/>
                    </w:rPr>
                    <w:t>H</w:t>
                  </w:r>
                  <w:r>
                    <w:rPr>
                      <w:rFonts w:hint="default" w:ascii="Times New Roman" w:hAnsi="Times New Roman" w:eastAsia="仿宋_GB2312" w:cs="Times New Roman"/>
                      <w:color w:val="auto"/>
                      <w:sz w:val="21"/>
                      <w:szCs w:val="21"/>
                      <w:vertAlign w:val="subscript"/>
                      <w:lang w:val="en-US"/>
                    </w:rPr>
                    <w:t>11</w:t>
                  </w:r>
                  <w:r>
                    <w:rPr>
                      <w:rFonts w:hint="default" w:ascii="Times New Roman" w:hAnsi="Times New Roman" w:eastAsia="仿宋_GB2312" w:cs="Times New Roman"/>
                      <w:color w:val="auto"/>
                      <w:sz w:val="21"/>
                      <w:szCs w:val="21"/>
                      <w:lang w:val="en-US"/>
                    </w:rPr>
                    <w:t>NO</w:t>
                  </w:r>
                  <w:r>
                    <w:rPr>
                      <w:rFonts w:hint="default" w:ascii="Times New Roman" w:hAnsi="Times New Roman" w:eastAsia="仿宋_GB2312" w:cs="Times New Roman"/>
                      <w:color w:val="auto"/>
                      <w:sz w:val="21"/>
                      <w:szCs w:val="21"/>
                      <w:vertAlign w:val="subscript"/>
                      <w:lang w:val="en-US"/>
                    </w:rPr>
                    <w:t>2</w:t>
                  </w:r>
                </w:p>
              </w:tc>
              <w:tc>
                <w:tcPr>
                  <w:tcW w:w="451" w:type="pct"/>
                  <w:vAlign w:val="center"/>
                </w:tcPr>
                <w:p w14:paraId="0FE25E6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63-91-2</w:t>
                  </w:r>
                </w:p>
              </w:tc>
              <w:tc>
                <w:tcPr>
                  <w:tcW w:w="289" w:type="pct"/>
                  <w:vAlign w:val="center"/>
                </w:tcPr>
                <w:p w14:paraId="0FD132A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1A231E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4"/>
                      <w:kern w:val="0"/>
                      <w:sz w:val="21"/>
                      <w:szCs w:val="21"/>
                    </w:rPr>
                  </w:pPr>
                  <w:r>
                    <w:rPr>
                      <w:rFonts w:hint="default" w:ascii="Times New Roman" w:hAnsi="Times New Roman" w:eastAsia="仿宋_GB2312" w:cs="Times New Roman"/>
                      <w:color w:val="auto"/>
                      <w:spacing w:val="-4"/>
                      <w:kern w:val="0"/>
                      <w:sz w:val="21"/>
                      <w:szCs w:val="21"/>
                    </w:rPr>
                    <w:t>外观与性状：白色结晶粉末；</w:t>
                  </w:r>
                </w:p>
                <w:p w14:paraId="0C5A7A8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闪点：139.8±24.6°C；</w:t>
                  </w:r>
                </w:p>
                <w:p w14:paraId="7FD48C8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熔点：270-275</w:t>
                  </w:r>
                  <w:r>
                    <w:rPr>
                      <w:rFonts w:hint="default" w:ascii="Times New Roman" w:hAnsi="Times New Roman" w:eastAsia="仿宋_GB2312" w:cs="Times New Roman"/>
                      <w:color w:val="auto"/>
                      <w:sz w:val="21"/>
                      <w:szCs w:val="21"/>
                      <w:cs/>
                    </w:rPr>
                    <w:t>º</w:t>
                  </w:r>
                  <w:r>
                    <w:rPr>
                      <w:rFonts w:hint="default" w:ascii="Times New Roman" w:hAnsi="Times New Roman" w:eastAsia="仿宋_GB2312" w:cs="Times New Roman"/>
                      <w:color w:val="auto"/>
                      <w:sz w:val="21"/>
                      <w:szCs w:val="21"/>
                    </w:rPr>
                    <w:t>C；</w:t>
                  </w:r>
                </w:p>
                <w:p w14:paraId="773C26D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分子量：165.189；</w:t>
                  </w:r>
                </w:p>
                <w:p w14:paraId="7CB5F6E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密度：1.2±0.1 g/cm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w:t>
                  </w:r>
                </w:p>
              </w:tc>
              <w:tc>
                <w:tcPr>
                  <w:tcW w:w="873" w:type="pct"/>
                  <w:vAlign w:val="center"/>
                </w:tcPr>
                <w:p w14:paraId="5080DAF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07D4D3E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5EDADA1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危险特性：可燃，不易爆。</w:t>
                  </w:r>
                </w:p>
              </w:tc>
            </w:tr>
            <w:tr w14:paraId="193C88D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4DC5591C">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柚皮素（4',5,7-三羟基黄烷酮）</w:t>
                  </w:r>
                </w:p>
                <w:p w14:paraId="6DFD58F9">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C</w:t>
                  </w:r>
                  <w:r>
                    <w:rPr>
                      <w:rFonts w:hint="default" w:ascii="Times New Roman" w:hAnsi="Times New Roman" w:eastAsia="仿宋_GB2312" w:cs="Times New Roman"/>
                      <w:color w:val="auto"/>
                      <w:sz w:val="21"/>
                      <w:szCs w:val="21"/>
                      <w:vertAlign w:val="subscript"/>
                      <w:lang w:val="en-US"/>
                    </w:rPr>
                    <w:t>15</w:t>
                  </w:r>
                  <w:r>
                    <w:rPr>
                      <w:rFonts w:hint="default" w:ascii="Times New Roman" w:hAnsi="Times New Roman" w:eastAsia="仿宋_GB2312" w:cs="Times New Roman"/>
                      <w:color w:val="auto"/>
                      <w:sz w:val="21"/>
                      <w:szCs w:val="21"/>
                      <w:lang w:val="en-US"/>
                    </w:rPr>
                    <w:t>H</w:t>
                  </w:r>
                  <w:r>
                    <w:rPr>
                      <w:rFonts w:hint="default" w:ascii="Times New Roman" w:hAnsi="Times New Roman" w:eastAsia="仿宋_GB2312" w:cs="Times New Roman"/>
                      <w:color w:val="auto"/>
                      <w:sz w:val="21"/>
                      <w:szCs w:val="21"/>
                      <w:vertAlign w:val="subscript"/>
                      <w:lang w:val="en-US"/>
                    </w:rPr>
                    <w:t>12</w:t>
                  </w:r>
                  <w:r>
                    <w:rPr>
                      <w:rFonts w:hint="default" w:ascii="Times New Roman" w:hAnsi="Times New Roman" w:eastAsia="仿宋_GB2312" w:cs="Times New Roman"/>
                      <w:color w:val="auto"/>
                      <w:sz w:val="21"/>
                      <w:szCs w:val="21"/>
                      <w:lang w:val="en-US"/>
                    </w:rPr>
                    <w:t>O</w:t>
                  </w:r>
                  <w:r>
                    <w:rPr>
                      <w:rFonts w:hint="default" w:ascii="Times New Roman" w:hAnsi="Times New Roman" w:eastAsia="仿宋_GB2312" w:cs="Times New Roman"/>
                      <w:color w:val="auto"/>
                      <w:sz w:val="21"/>
                      <w:szCs w:val="21"/>
                      <w:vertAlign w:val="subscript"/>
                      <w:lang w:val="en-US"/>
                    </w:rPr>
                    <w:t>5</w:t>
                  </w:r>
                </w:p>
              </w:tc>
              <w:tc>
                <w:tcPr>
                  <w:tcW w:w="451" w:type="pct"/>
                  <w:vAlign w:val="center"/>
                </w:tcPr>
                <w:p w14:paraId="3F376A8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67604-48-2</w:t>
                  </w:r>
                </w:p>
              </w:tc>
              <w:tc>
                <w:tcPr>
                  <w:tcW w:w="289" w:type="pct"/>
                  <w:vAlign w:val="center"/>
                </w:tcPr>
                <w:p w14:paraId="6FA909D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639F113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外观与性状：米色-棕色粉末；</w:t>
                  </w:r>
                </w:p>
                <w:p w14:paraId="2B9C7A7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分子量：272.25；</w:t>
                  </w:r>
                </w:p>
                <w:p w14:paraId="4252CA5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密度：1.5g/cm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w:t>
                  </w:r>
                </w:p>
                <w:p w14:paraId="2C655C3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沸点：577.5℃（760mmHg）；</w:t>
                  </w:r>
                </w:p>
                <w:p w14:paraId="0D0A7AC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闪点：247-250℃（lit.）；</w:t>
                  </w:r>
                </w:p>
                <w:p w14:paraId="77A47FB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熔点：247～250 ℃；</w:t>
                  </w:r>
                </w:p>
                <w:p w14:paraId="3BDABFE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溶解度：溶于乙醇、乙醚和苯，几乎不溶于水。</w:t>
                  </w:r>
                </w:p>
              </w:tc>
              <w:tc>
                <w:tcPr>
                  <w:tcW w:w="873" w:type="pct"/>
                  <w:vAlign w:val="center"/>
                </w:tcPr>
                <w:p w14:paraId="40C5BA8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1C0FF6F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4B32B44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危险特性：稳定，不易爆。</w:t>
                  </w:r>
                </w:p>
              </w:tc>
            </w:tr>
            <w:tr w14:paraId="402134F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229B3A1C">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36%盐酸</w:t>
                  </w:r>
                </w:p>
              </w:tc>
              <w:tc>
                <w:tcPr>
                  <w:tcW w:w="451" w:type="pct"/>
                  <w:vAlign w:val="center"/>
                </w:tcPr>
                <w:p w14:paraId="7A80DFC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7647-01-0</w:t>
                  </w:r>
                </w:p>
              </w:tc>
              <w:tc>
                <w:tcPr>
                  <w:tcW w:w="289" w:type="pct"/>
                  <w:vAlign w:val="center"/>
                </w:tcPr>
                <w:p w14:paraId="2E1C28C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81013</w:t>
                  </w:r>
                </w:p>
              </w:tc>
              <w:tc>
                <w:tcPr>
                  <w:tcW w:w="1267" w:type="pct"/>
                  <w:vAlign w:val="center"/>
                </w:tcPr>
                <w:p w14:paraId="0D7DA61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性状：无色或微黄色发烟液体，有刺鼻的酸味；</w:t>
                  </w:r>
                </w:p>
                <w:p w14:paraId="0CD8D4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分子量：36.46；</w:t>
                  </w:r>
                </w:p>
                <w:p w14:paraId="5A13389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熔点：-30℃；</w:t>
                  </w:r>
                </w:p>
                <w:p w14:paraId="510B181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密度 1.189g/cm</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w:t>
                  </w:r>
                </w:p>
                <w:p w14:paraId="4F3A950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沸点：61℃；</w:t>
                  </w:r>
                </w:p>
                <w:p w14:paraId="55F646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蒸汽压：30.66kPa(21℃)；</w:t>
                  </w:r>
                </w:p>
                <w:p w14:paraId="73DC619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溶解性：与水混溶，溶于碱液。</w:t>
                  </w:r>
                </w:p>
              </w:tc>
              <w:tc>
                <w:tcPr>
                  <w:tcW w:w="873" w:type="pct"/>
                  <w:vAlign w:val="center"/>
                </w:tcPr>
                <w:p w14:paraId="2782880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028CDC6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6A82586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危险标记：20（酸性腐蚀品）</w:t>
                  </w:r>
                </w:p>
                <w:p w14:paraId="53BF31A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危险特性：能与一些活性金属粉末发生反应，放出氢气。遇氰化物能产生剧毒的氰化氢气体。与碱发生中合反应，并放出大量的热。具有强腐蚀性。</w:t>
                  </w:r>
                </w:p>
              </w:tc>
            </w:tr>
            <w:tr w14:paraId="02F675A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561B8F3B">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PAC</w:t>
                  </w:r>
                </w:p>
                <w:p w14:paraId="124E9F92">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（聚合氯化铝）</w:t>
                  </w:r>
                </w:p>
              </w:tc>
              <w:tc>
                <w:tcPr>
                  <w:tcW w:w="451" w:type="pct"/>
                  <w:vAlign w:val="center"/>
                </w:tcPr>
                <w:p w14:paraId="44DBC6D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7446-70-0</w:t>
                  </w:r>
                </w:p>
              </w:tc>
              <w:tc>
                <w:tcPr>
                  <w:tcW w:w="289" w:type="pct"/>
                  <w:vAlign w:val="center"/>
                </w:tcPr>
                <w:p w14:paraId="068845F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6070778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性状：淡黄色粉末；</w:t>
                  </w:r>
                </w:p>
                <w:p w14:paraId="123B96F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相对密度（水=1）：2.44</w:t>
                  </w:r>
                </w:p>
                <w:p w14:paraId="720B72B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熔点：190℃；</w:t>
                  </w:r>
                </w:p>
                <w:p w14:paraId="24AA724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溶解性：易溶于水、醇、氯仿、四氯化碳，微溶于苯。</w:t>
                  </w:r>
                </w:p>
              </w:tc>
              <w:tc>
                <w:tcPr>
                  <w:tcW w:w="873" w:type="pct"/>
                  <w:vAlign w:val="center"/>
                </w:tcPr>
                <w:p w14:paraId="0E10F1F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6B34D4A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0A3C7E9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本品不燃。具强腐蚀性、强刺激性、可致人体灼烧。</w:t>
                  </w:r>
                </w:p>
              </w:tc>
            </w:tr>
            <w:tr w14:paraId="432511F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33" w:type="pct"/>
                  <w:vAlign w:val="center"/>
                </w:tcPr>
                <w:p w14:paraId="368DE0C6">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PAM</w:t>
                  </w:r>
                </w:p>
                <w:p w14:paraId="353CC452">
                  <w:pPr>
                    <w:pStyle w:val="183"/>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（聚丙烯酰胺）</w:t>
                  </w:r>
                </w:p>
              </w:tc>
              <w:tc>
                <w:tcPr>
                  <w:tcW w:w="451" w:type="pct"/>
                  <w:vAlign w:val="center"/>
                </w:tcPr>
                <w:p w14:paraId="21CA811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9003-05-8</w:t>
                  </w:r>
                </w:p>
              </w:tc>
              <w:tc>
                <w:tcPr>
                  <w:tcW w:w="289" w:type="pct"/>
                  <w:vAlign w:val="center"/>
                </w:tcPr>
                <w:p w14:paraId="03DA83D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267" w:type="pct"/>
                  <w:vAlign w:val="center"/>
                </w:tcPr>
                <w:p w14:paraId="56A2152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性状：白色粒状固体，稀释后呈无色液体，无臭；</w:t>
                  </w:r>
                </w:p>
                <w:p w14:paraId="7E487AE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分子量：1200万；</w:t>
                  </w:r>
                </w:p>
                <w:p w14:paraId="705C7FF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闪点：2000℃；</w:t>
                  </w:r>
                </w:p>
                <w:p w14:paraId="66AD257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相对密度（水=1）：0.7；</w:t>
                  </w:r>
                </w:p>
                <w:p w14:paraId="103843A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溶解性：易溶于水。</w:t>
                  </w:r>
                </w:p>
              </w:tc>
              <w:tc>
                <w:tcPr>
                  <w:tcW w:w="873" w:type="pct"/>
                  <w:vAlign w:val="center"/>
                </w:tcPr>
                <w:p w14:paraId="695E8C5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343" w:type="pct"/>
                  <w:vAlign w:val="center"/>
                </w:tcPr>
                <w:p w14:paraId="39B7417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w:t>
                  </w:r>
                </w:p>
              </w:tc>
              <w:tc>
                <w:tcPr>
                  <w:tcW w:w="1141" w:type="pct"/>
                  <w:vAlign w:val="center"/>
                </w:tcPr>
                <w:p w14:paraId="1AE6D73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本品稳定，火灾危险。</w:t>
                  </w:r>
                </w:p>
              </w:tc>
            </w:tr>
          </w:tbl>
          <w:p w14:paraId="63975DE5">
            <w:pPr>
              <w:pStyle w:val="2"/>
              <w:keepNext w:val="0"/>
              <w:keepLines w:val="0"/>
              <w:suppressLineNumbers w:val="0"/>
              <w:spacing w:beforeAutospacing="0" w:afterAutospacing="0"/>
              <w:ind w:left="0"/>
              <w:rPr>
                <w:rFonts w:hint="default" w:ascii="Times New Roman" w:hAnsi="Times New Roman" w:eastAsia="仿宋_GB2312" w:cs="Times New Roman"/>
                <w:b/>
                <w:color w:val="auto"/>
                <w:kern w:val="0"/>
                <w:sz w:val="22"/>
                <w:szCs w:val="22"/>
              </w:rPr>
            </w:pPr>
          </w:p>
          <w:p w14:paraId="04BED094">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rPr>
            </w:pPr>
          </w:p>
          <w:p w14:paraId="7B488858">
            <w:pPr>
              <w:pStyle w:val="2"/>
              <w:keepNext w:val="0"/>
              <w:keepLines w:val="0"/>
              <w:suppressLineNumbers w:val="0"/>
              <w:spacing w:beforeAutospacing="0" w:afterAutospacing="0"/>
              <w:ind w:left="0"/>
              <w:rPr>
                <w:rFonts w:hint="default" w:eastAsia="仿宋_GB2312"/>
                <w:bCs/>
                <w:color w:val="auto"/>
                <w:sz w:val="24"/>
              </w:rPr>
            </w:pPr>
          </w:p>
          <w:p w14:paraId="74759C0E">
            <w:pPr>
              <w:pStyle w:val="3"/>
              <w:keepNext w:val="0"/>
              <w:keepLines w:val="0"/>
              <w:suppressLineNumbers w:val="0"/>
              <w:spacing w:before="0" w:beforeAutospacing="0" w:after="0" w:afterAutospacing="0"/>
              <w:ind w:right="0"/>
              <w:rPr>
                <w:rFonts w:hint="default" w:eastAsia="仿宋_GB2312"/>
                <w:bCs/>
                <w:color w:val="auto"/>
                <w:sz w:val="24"/>
              </w:rPr>
            </w:pPr>
          </w:p>
          <w:p w14:paraId="064D896B">
            <w:pPr>
              <w:pStyle w:val="3"/>
              <w:keepNext w:val="0"/>
              <w:keepLines w:val="0"/>
              <w:suppressLineNumbers w:val="0"/>
              <w:spacing w:before="0" w:beforeAutospacing="0" w:after="0" w:afterAutospacing="0"/>
              <w:ind w:right="0"/>
              <w:rPr>
                <w:rFonts w:hint="default" w:eastAsia="仿宋_GB2312"/>
                <w:bCs/>
                <w:color w:val="auto"/>
                <w:sz w:val="24"/>
              </w:rPr>
            </w:pPr>
          </w:p>
          <w:p w14:paraId="0A06295E">
            <w:pPr>
              <w:pStyle w:val="3"/>
              <w:keepNext w:val="0"/>
              <w:keepLines w:val="0"/>
              <w:suppressLineNumbers w:val="0"/>
              <w:spacing w:before="0" w:beforeAutospacing="0" w:after="0" w:afterAutospacing="0"/>
              <w:ind w:right="0"/>
              <w:rPr>
                <w:rFonts w:hint="default" w:eastAsia="仿宋_GB2312"/>
                <w:bCs/>
                <w:color w:val="auto"/>
                <w:sz w:val="24"/>
              </w:rPr>
            </w:pPr>
          </w:p>
          <w:p w14:paraId="36B88B03">
            <w:pPr>
              <w:pStyle w:val="3"/>
              <w:keepNext w:val="0"/>
              <w:keepLines w:val="0"/>
              <w:suppressLineNumbers w:val="0"/>
              <w:spacing w:before="0" w:beforeAutospacing="0" w:after="0" w:afterAutospacing="0"/>
              <w:ind w:right="0"/>
              <w:rPr>
                <w:rFonts w:hint="default" w:eastAsia="仿宋_GB2312"/>
                <w:bCs/>
                <w:color w:val="auto"/>
                <w:sz w:val="24"/>
              </w:rPr>
            </w:pPr>
          </w:p>
          <w:p w14:paraId="1215A88F">
            <w:pPr>
              <w:pStyle w:val="3"/>
              <w:keepNext w:val="0"/>
              <w:keepLines w:val="0"/>
              <w:suppressLineNumbers w:val="0"/>
              <w:spacing w:before="0" w:beforeAutospacing="0" w:after="0" w:afterAutospacing="0"/>
              <w:ind w:right="0"/>
              <w:rPr>
                <w:rFonts w:hint="default" w:eastAsia="仿宋_GB2312"/>
                <w:bCs/>
                <w:color w:val="auto"/>
                <w:sz w:val="24"/>
              </w:rPr>
            </w:pPr>
          </w:p>
          <w:p w14:paraId="0CC81662">
            <w:pPr>
              <w:pStyle w:val="3"/>
              <w:keepNext w:val="0"/>
              <w:keepLines w:val="0"/>
              <w:suppressLineNumbers w:val="0"/>
              <w:spacing w:before="0" w:beforeAutospacing="0" w:after="0" w:afterAutospacing="0"/>
              <w:ind w:right="0"/>
              <w:rPr>
                <w:rFonts w:hint="default" w:eastAsia="仿宋_GB2312"/>
                <w:bCs/>
                <w:color w:val="auto"/>
                <w:sz w:val="24"/>
              </w:rPr>
            </w:pPr>
          </w:p>
          <w:p w14:paraId="46153E98">
            <w:pPr>
              <w:pStyle w:val="3"/>
              <w:keepNext w:val="0"/>
              <w:keepLines w:val="0"/>
              <w:suppressLineNumbers w:val="0"/>
              <w:spacing w:before="0" w:beforeAutospacing="0" w:after="0" w:afterAutospacing="0"/>
              <w:ind w:right="0"/>
              <w:rPr>
                <w:rFonts w:hint="default" w:eastAsia="仿宋_GB2312"/>
                <w:bCs/>
                <w:color w:val="auto"/>
                <w:sz w:val="24"/>
              </w:rPr>
            </w:pPr>
          </w:p>
          <w:p w14:paraId="1311D689">
            <w:pPr>
              <w:pStyle w:val="3"/>
              <w:keepNext w:val="0"/>
              <w:keepLines w:val="0"/>
              <w:suppressLineNumbers w:val="0"/>
              <w:spacing w:before="0" w:beforeAutospacing="0" w:after="0" w:afterAutospacing="0"/>
              <w:ind w:right="0"/>
              <w:rPr>
                <w:rFonts w:hint="default" w:eastAsia="仿宋_GB2312"/>
                <w:bCs/>
                <w:color w:val="auto"/>
                <w:sz w:val="24"/>
              </w:rPr>
            </w:pPr>
          </w:p>
          <w:p w14:paraId="355C64F8">
            <w:pPr>
              <w:pStyle w:val="3"/>
              <w:keepNext w:val="0"/>
              <w:keepLines w:val="0"/>
              <w:suppressLineNumbers w:val="0"/>
              <w:spacing w:before="0" w:beforeAutospacing="0" w:after="0" w:afterAutospacing="0"/>
              <w:ind w:right="0"/>
              <w:rPr>
                <w:rFonts w:hint="default" w:eastAsia="仿宋_GB2312"/>
                <w:bCs/>
                <w:color w:val="auto"/>
                <w:sz w:val="24"/>
              </w:rPr>
            </w:pPr>
          </w:p>
          <w:p w14:paraId="1FD82E02">
            <w:pPr>
              <w:pStyle w:val="3"/>
              <w:keepNext w:val="0"/>
              <w:keepLines w:val="0"/>
              <w:suppressLineNumbers w:val="0"/>
              <w:spacing w:before="0" w:beforeAutospacing="0" w:after="0" w:afterAutospacing="0"/>
              <w:ind w:right="0"/>
              <w:rPr>
                <w:rFonts w:hint="default" w:eastAsia="仿宋_GB2312"/>
                <w:bCs/>
                <w:color w:val="auto"/>
                <w:sz w:val="24"/>
              </w:rPr>
            </w:pPr>
          </w:p>
          <w:p w14:paraId="67CC39D8">
            <w:pPr>
              <w:pStyle w:val="3"/>
              <w:keepNext w:val="0"/>
              <w:keepLines w:val="0"/>
              <w:suppressLineNumbers w:val="0"/>
              <w:spacing w:before="0" w:beforeAutospacing="0" w:after="0" w:afterAutospacing="0"/>
              <w:ind w:right="0"/>
              <w:rPr>
                <w:rFonts w:hint="default" w:eastAsia="仿宋_GB2312"/>
                <w:bCs/>
                <w:color w:val="auto"/>
                <w:sz w:val="24"/>
              </w:rPr>
            </w:pPr>
          </w:p>
          <w:p w14:paraId="00237BC3">
            <w:pPr>
              <w:pStyle w:val="3"/>
              <w:keepNext w:val="0"/>
              <w:keepLines w:val="0"/>
              <w:suppressLineNumbers w:val="0"/>
              <w:spacing w:before="0" w:beforeAutospacing="0" w:after="0" w:afterAutospacing="0"/>
              <w:ind w:right="0"/>
              <w:rPr>
                <w:rFonts w:hint="default" w:eastAsia="仿宋_GB2312"/>
                <w:bCs/>
                <w:color w:val="auto"/>
                <w:sz w:val="24"/>
              </w:rPr>
            </w:pPr>
          </w:p>
          <w:p w14:paraId="748B624D">
            <w:pPr>
              <w:pStyle w:val="3"/>
              <w:keepNext w:val="0"/>
              <w:keepLines w:val="0"/>
              <w:suppressLineNumbers w:val="0"/>
              <w:spacing w:before="0" w:beforeAutospacing="0" w:after="0" w:afterAutospacing="0"/>
              <w:ind w:right="0"/>
              <w:rPr>
                <w:rFonts w:hint="default" w:eastAsia="仿宋_GB2312"/>
                <w:bCs/>
                <w:color w:val="auto"/>
                <w:sz w:val="24"/>
              </w:rPr>
            </w:pPr>
          </w:p>
          <w:p w14:paraId="128272F4">
            <w:pPr>
              <w:pStyle w:val="3"/>
              <w:keepNext w:val="0"/>
              <w:keepLines w:val="0"/>
              <w:suppressLineNumbers w:val="0"/>
              <w:spacing w:before="0" w:beforeAutospacing="0" w:after="0" w:afterAutospacing="0"/>
              <w:ind w:right="0"/>
              <w:rPr>
                <w:rFonts w:hint="default" w:eastAsia="仿宋_GB2312"/>
                <w:bCs/>
                <w:color w:val="auto"/>
                <w:sz w:val="24"/>
              </w:rPr>
            </w:pPr>
          </w:p>
          <w:p w14:paraId="65AE8133">
            <w:pPr>
              <w:pStyle w:val="3"/>
              <w:keepNext w:val="0"/>
              <w:keepLines w:val="0"/>
              <w:suppressLineNumbers w:val="0"/>
              <w:spacing w:before="0" w:beforeAutospacing="0" w:after="0" w:afterAutospacing="0"/>
              <w:ind w:left="0" w:leftChars="0" w:right="0" w:firstLine="0" w:firstLineChars="0"/>
              <w:rPr>
                <w:rFonts w:hint="default" w:eastAsia="仿宋_GB2312"/>
                <w:bCs/>
                <w:color w:val="auto"/>
                <w:sz w:val="24"/>
              </w:rPr>
            </w:pPr>
          </w:p>
        </w:tc>
      </w:tr>
    </w:tbl>
    <w:p w14:paraId="57392C67">
      <w:pPr>
        <w:rPr>
          <w:rFonts w:eastAsia="仿宋_GB2312"/>
          <w:color w:val="auto"/>
        </w:rPr>
        <w:sectPr>
          <w:pgSz w:w="16840" w:h="11907" w:orient="landscape"/>
          <w:pgMar w:top="1531" w:right="1440" w:bottom="1531" w:left="1440" w:header="851" w:footer="851" w:gutter="0"/>
          <w:pgBorders>
            <w:top w:val="none" w:sz="0" w:space="0"/>
            <w:left w:val="none" w:sz="0" w:space="0"/>
            <w:bottom w:val="none" w:sz="0" w:space="0"/>
            <w:right w:val="none" w:sz="0" w:space="0"/>
          </w:pgBorders>
          <w:cols w:space="720" w:num="1"/>
          <w:docGrid w:linePitch="312" w:charSpace="0"/>
        </w:sectPr>
      </w:pPr>
    </w:p>
    <w:tbl>
      <w:tblPr>
        <w:tblStyle w:val="8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658"/>
      </w:tblGrid>
      <w:tr w14:paraId="0CAFE4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6" w:hRule="atLeast"/>
          <w:jc w:val="center"/>
        </w:trPr>
        <w:tc>
          <w:tcPr>
            <w:tcW w:w="403" w:type="dxa"/>
            <w:vAlign w:val="center"/>
          </w:tcPr>
          <w:p w14:paraId="52259215">
            <w:pPr>
              <w:pStyle w:val="8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Cs w:val="24"/>
              </w:rPr>
            </w:pPr>
            <w:r>
              <w:rPr>
                <w:rFonts w:hint="default" w:ascii="Times New Roman" w:hAnsi="Times New Roman" w:eastAsia="仿宋_GB2312"/>
                <w:color w:val="auto"/>
                <w:szCs w:val="24"/>
              </w:rPr>
              <w:t>工艺流程和产排污环节</w:t>
            </w:r>
          </w:p>
        </w:tc>
        <w:tc>
          <w:tcPr>
            <w:tcW w:w="8658" w:type="dxa"/>
          </w:tcPr>
          <w:p w14:paraId="066149FF">
            <w:pPr>
              <w:keepNext w:val="0"/>
              <w:keepLines w:val="0"/>
              <w:suppressLineNumbers w:val="0"/>
              <w:spacing w:before="0" w:beforeAutospacing="0" w:after="0" w:afterAutospacing="0" w:line="500" w:lineRule="exact"/>
              <w:ind w:left="0" w:right="0"/>
              <w:rPr>
                <w:rFonts w:hint="default" w:eastAsia="仿宋_GB2312"/>
                <w:b/>
                <w:color w:val="auto"/>
                <w:sz w:val="24"/>
                <w:lang w:val="zh-CN"/>
              </w:rPr>
            </w:pPr>
            <w:r>
              <w:rPr>
                <w:rFonts w:hint="eastAsia" w:eastAsia="仿宋_GB2312"/>
                <w:b/>
                <w:color w:val="auto"/>
                <w:sz w:val="24"/>
                <w:lang w:val="zh-CN" w:eastAsia="zh-CN"/>
              </w:rPr>
              <w:t>一</w:t>
            </w:r>
            <w:r>
              <w:rPr>
                <w:rFonts w:hint="default" w:eastAsia="仿宋_GB2312"/>
                <w:b/>
                <w:color w:val="auto"/>
                <w:sz w:val="24"/>
                <w:lang w:val="zh-CN"/>
              </w:rPr>
              <w:t>、年产</w:t>
            </w:r>
            <w:r>
              <w:rPr>
                <w:rFonts w:hint="eastAsia" w:eastAsia="仿宋_GB2312"/>
                <w:b/>
                <w:color w:val="auto"/>
                <w:sz w:val="24"/>
                <w:lang w:val="en-US" w:eastAsia="zh-CN"/>
              </w:rPr>
              <w:t>600kg</w:t>
            </w:r>
            <w:r>
              <w:rPr>
                <w:rFonts w:hint="default" w:eastAsia="仿宋_GB2312"/>
                <w:b/>
                <w:color w:val="auto"/>
                <w:sz w:val="24"/>
                <w:lang w:val="zh-CN"/>
              </w:rPr>
              <w:t>食品用原料</w:t>
            </w:r>
            <w:r>
              <w:rPr>
                <w:rFonts w:hint="eastAsia" w:eastAsia="仿宋_GB2312"/>
                <w:b/>
                <w:color w:val="auto"/>
                <w:sz w:val="24"/>
                <w:lang w:val="en-US" w:eastAsia="zh-CN"/>
              </w:rPr>
              <w:t>项目工程分析</w:t>
            </w:r>
          </w:p>
          <w:p w14:paraId="67052E55">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lang w:val="zh-CN"/>
              </w:rPr>
              <w:t>（一）工艺流程</w:t>
            </w:r>
          </w:p>
          <w:p w14:paraId="00D7A253">
            <w:pPr>
              <w:keepNext w:val="0"/>
              <w:keepLines w:val="0"/>
              <w:suppressLineNumbers w:val="0"/>
              <w:spacing w:before="0" w:beforeAutospacing="0" w:after="0" w:afterAutospacing="0"/>
              <w:ind w:left="0" w:right="0"/>
              <w:jc w:val="center"/>
              <w:rPr>
                <w:rFonts w:hint="default" w:eastAsia="仿宋_GB2312"/>
                <w:b/>
                <w:color w:val="auto"/>
                <w:sz w:val="22"/>
                <w:szCs w:val="22"/>
              </w:rPr>
            </w:pPr>
            <w:r>
              <w:rPr>
                <w:rFonts w:hint="default"/>
                <w:color w:val="auto"/>
              </w:rPr>
              <w:object>
                <v:shape id="_x0000_i1025" o:spt="75" type="#_x0000_t75" style="height:623.3pt;width:432.7pt;" o:ole="t" filled="f" o:preferrelative="t" stroked="f" coordsize="21600,21600">
                  <v:path/>
                  <v:fill on="f" focussize="0,0"/>
                  <v:stroke on="f"/>
                  <v:imagedata r:id="rId11" o:title=""/>
                  <o:lock v:ext="edit" aspectratio="t"/>
                  <w10:wrap type="none"/>
                  <w10:anchorlock/>
                </v:shape>
                <o:OLEObject Type="Embed" ProgID="Visio.Drawing.15" ShapeID="_x0000_i1025" DrawAspect="Content" ObjectID="_1468075725" r:id="rId10">
                  <o:LockedField>false</o:LockedField>
                </o:OLEObject>
              </w:object>
            </w:r>
            <w:r>
              <w:rPr>
                <w:rFonts w:hint="default" w:eastAsia="仿宋_GB2312"/>
                <w:b/>
                <w:color w:val="auto"/>
                <w:sz w:val="22"/>
                <w:szCs w:val="22"/>
              </w:rPr>
              <w:t>图2-</w:t>
            </w:r>
            <w:r>
              <w:rPr>
                <w:rFonts w:hint="eastAsia" w:eastAsia="仿宋_GB2312"/>
                <w:b/>
                <w:color w:val="auto"/>
                <w:sz w:val="22"/>
                <w:szCs w:val="22"/>
                <w:lang w:val="en-US" w:eastAsia="zh-CN"/>
              </w:rPr>
              <w:t>1</w:t>
            </w:r>
            <w:r>
              <w:rPr>
                <w:rFonts w:hint="default" w:eastAsia="仿宋_GB2312"/>
                <w:b/>
                <w:color w:val="auto"/>
                <w:sz w:val="22"/>
                <w:szCs w:val="22"/>
              </w:rPr>
              <w:t xml:space="preserve">  食品用原料（γ-氨基丁酸）工艺流程图</w:t>
            </w:r>
          </w:p>
          <w:p w14:paraId="48DA98AA">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2" w:firstLineChars="200"/>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生产工艺流程简述：</w:t>
            </w:r>
          </w:p>
          <w:p w14:paraId="3FBCA296">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本项目利用微生物发酵的生物方法生产</w:t>
            </w:r>
            <w:r>
              <w:rPr>
                <w:rFonts w:hint="eastAsia" w:eastAsia="仿宋_GB2312" w:cs="Times New Roman"/>
                <w:color w:val="auto"/>
                <w:sz w:val="24"/>
                <w:szCs w:val="24"/>
                <w:lang w:eastAsia="zh-CN"/>
              </w:rPr>
              <w:t>食品用原料</w:t>
            </w:r>
            <w:r>
              <w:rPr>
                <w:rFonts w:hint="default" w:ascii="Times New Roman" w:hAnsi="Times New Roman" w:eastAsia="仿宋_GB2312" w:cs="Times New Roman"/>
                <w:color w:val="auto"/>
                <w:sz w:val="24"/>
                <w:szCs w:val="24"/>
              </w:rPr>
              <w:t>γ-氨基丁酸，主体工艺包括发酵工段、提取工段。</w:t>
            </w:r>
          </w:p>
          <w:p w14:paraId="610E69CD">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工艺流程说明：</w:t>
            </w:r>
          </w:p>
          <w:p w14:paraId="758DBCC0">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（1）称量（计量）、投料、配制</w:t>
            </w:r>
          </w:p>
          <w:p w14:paraId="48F922EA">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固体原辅材料：</w:t>
            </w:r>
          </w:p>
          <w:p w14:paraId="32B50848">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称量、投料、配制集中在一楼称量间内，固体原辅材料按需称量，称量后的固体原辅材料投入真空上料机转移至各密闭罐中配制溶液，该过程产生称量、投料、配制废气，称量间整体换风。由于工艺中各工段配制工段不同，具体描述见下文。由于固体原辅材料种类较多，固体原辅材料称量、投料、配制废气在公辅工程废气中统一核算，不计入下述物料平衡。</w:t>
            </w:r>
          </w:p>
          <w:p w14:paraId="1C959F10">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液态原辅材料：</w:t>
            </w:r>
          </w:p>
          <w:p w14:paraId="02569FA8">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36%盐酸溶液在二楼质检区的通风橱计量后，投入清洗罐中用纯水配制成4%盐酸溶液，该过程产生计量、投料、配制废气，通风橱收集废气。盐酸的计量、投料、配制废气在公辅工程废气中统一核算，不计入物料平衡。</w:t>
            </w:r>
          </w:p>
          <w:p w14:paraId="240CA9D1">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（2）发酵工段</w:t>
            </w:r>
          </w:p>
          <w:p w14:paraId="2A4845B4">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①种子液制备</w:t>
            </w:r>
          </w:p>
          <w:p w14:paraId="015F7C91">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eastAsia" w:eastAsia="仿宋_GB2312" w:cs="Times New Roman"/>
                <w:color w:val="auto"/>
                <w:sz w:val="24"/>
                <w:szCs w:val="24"/>
                <w:lang w:eastAsia="zh-CN"/>
              </w:rPr>
              <w:t>添加鼠李糖乳杆菌SHBCC D25162的</w:t>
            </w:r>
            <w:r>
              <w:rPr>
                <w:rFonts w:hint="default" w:ascii="Times New Roman" w:hAnsi="Times New Roman" w:eastAsia="仿宋_GB2312" w:cs="Times New Roman"/>
                <w:color w:val="auto"/>
                <w:sz w:val="24"/>
                <w:szCs w:val="24"/>
              </w:rPr>
              <w:t>培养基三角瓶置于37℃的恒温摇床中，100-150转/分钟的转速条件下培养8-12 h得到摇瓶培养的种子液。</w:t>
            </w:r>
          </w:p>
          <w:p w14:paraId="4C01B2E5">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②种子培养1</w:t>
            </w:r>
          </w:p>
          <w:p w14:paraId="03E426E9">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将称量后的</w:t>
            </w:r>
            <w:r>
              <w:rPr>
                <w:rFonts w:hint="eastAsia" w:eastAsia="仿宋_GB2312" w:cs="Times New Roman"/>
                <w:color w:val="auto"/>
                <w:sz w:val="24"/>
                <w:szCs w:val="24"/>
                <w:lang w:eastAsia="zh-CN"/>
              </w:rPr>
              <w:t>菌种</w:t>
            </w:r>
            <w:r>
              <w:rPr>
                <w:rFonts w:hint="default" w:ascii="Times New Roman" w:hAnsi="Times New Roman" w:eastAsia="仿宋_GB2312" w:cs="Times New Roman"/>
                <w:color w:val="auto"/>
                <w:sz w:val="24"/>
                <w:szCs w:val="24"/>
              </w:rPr>
              <w:t>培养基（组分包括酵母粉、蛋白胨、牛肉膏、硫酸镁、柠檬酸二铵、磷酸氢二钾、</w:t>
            </w:r>
            <w:r>
              <w:rPr>
                <w:rFonts w:hint="eastAsia" w:eastAsia="仿宋_GB2312" w:cs="Times New Roman"/>
                <w:color w:val="auto"/>
                <w:sz w:val="24"/>
                <w:szCs w:val="24"/>
                <w:lang w:eastAsia="zh-CN"/>
              </w:rPr>
              <w:t>消泡剂</w:t>
            </w:r>
            <w:r>
              <w:rPr>
                <w:rFonts w:hint="default" w:ascii="Times New Roman" w:hAnsi="Times New Roman" w:eastAsia="仿宋_GB2312" w:cs="Times New Roman"/>
                <w:color w:val="auto"/>
                <w:sz w:val="24"/>
                <w:szCs w:val="24"/>
              </w:rPr>
              <w:t>）在10L种子罐中用纯水配制成溶液。对种子罐中培养基组分进行夹套121℃高温蒸汽灭菌，经循环冷却水冷却后将种子液、灭菌后的葡萄糖溶液接入种子罐，保持温度30℃，培养过程中滴加少量</w:t>
            </w:r>
            <w:r>
              <w:rPr>
                <w:rFonts w:hint="eastAsia" w:ascii="Times New Roman" w:hAnsi="Times New Roman" w:eastAsia="仿宋_GB2312" w:cs="Times New Roman"/>
                <w:color w:val="auto"/>
                <w:sz w:val="24"/>
                <w:szCs w:val="24"/>
                <w:lang w:val="en-US"/>
              </w:rPr>
              <w:t>磷酸氢二钾</w:t>
            </w:r>
            <w:r>
              <w:rPr>
                <w:rFonts w:hint="default" w:ascii="Times New Roman" w:hAnsi="Times New Roman" w:eastAsia="仿宋_GB2312" w:cs="Times New Roman"/>
                <w:color w:val="auto"/>
                <w:sz w:val="24"/>
                <w:szCs w:val="24"/>
              </w:rPr>
              <w:t>调节pH，约6h后通过密闭管道移入100L种子罐中进行扩繁，种子培养过程产生种子培养废气G1-1。</w:t>
            </w:r>
          </w:p>
          <w:p w14:paraId="6CE2F094">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③种子培养2</w:t>
            </w:r>
          </w:p>
          <w:p w14:paraId="5E2A1808">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将称量后的</w:t>
            </w:r>
            <w:r>
              <w:rPr>
                <w:rFonts w:hint="eastAsia" w:eastAsia="仿宋_GB2312" w:cs="Times New Roman"/>
                <w:color w:val="auto"/>
                <w:sz w:val="24"/>
                <w:szCs w:val="24"/>
                <w:lang w:eastAsia="zh-CN"/>
              </w:rPr>
              <w:t>菌种</w:t>
            </w:r>
            <w:r>
              <w:rPr>
                <w:rFonts w:hint="default" w:ascii="Times New Roman" w:hAnsi="Times New Roman" w:eastAsia="仿宋_GB2312" w:cs="Times New Roman"/>
                <w:color w:val="auto"/>
                <w:sz w:val="24"/>
                <w:szCs w:val="24"/>
              </w:rPr>
              <w:t>培养基（组分包括酵母粉、蛋白胨、牛肉膏、硫酸镁、柠檬酸二铵、磷酸氢二钾、</w:t>
            </w:r>
            <w:r>
              <w:rPr>
                <w:rFonts w:hint="eastAsia" w:eastAsia="仿宋_GB2312" w:cs="Times New Roman"/>
                <w:color w:val="auto"/>
                <w:sz w:val="24"/>
                <w:szCs w:val="24"/>
                <w:lang w:eastAsia="zh-CN"/>
              </w:rPr>
              <w:t>消泡剂</w:t>
            </w:r>
            <w:r>
              <w:rPr>
                <w:rFonts w:hint="default" w:ascii="Times New Roman" w:hAnsi="Times New Roman" w:eastAsia="仿宋_GB2312" w:cs="Times New Roman"/>
                <w:color w:val="auto"/>
                <w:sz w:val="24"/>
                <w:szCs w:val="24"/>
              </w:rPr>
              <w:t>）在100L种子罐中用纯水配制成溶液。对种子罐中培养基组分进行夹套121℃高温蒸汽灭菌，经循环冷却水冷却后将种子液、灭菌后的葡萄糖溶液接入种子罐，保持温度30℃，培养过程中滴加少量</w:t>
            </w:r>
            <w:r>
              <w:rPr>
                <w:rFonts w:hint="eastAsia" w:ascii="Times New Roman" w:hAnsi="Times New Roman" w:eastAsia="仿宋_GB2312" w:cs="Times New Roman"/>
                <w:color w:val="auto"/>
                <w:sz w:val="24"/>
                <w:szCs w:val="24"/>
                <w:lang w:val="en-US"/>
              </w:rPr>
              <w:t>磷酸氢二钾</w:t>
            </w:r>
            <w:r>
              <w:rPr>
                <w:rFonts w:hint="default" w:ascii="Times New Roman" w:hAnsi="Times New Roman" w:eastAsia="仿宋_GB2312" w:cs="Times New Roman"/>
                <w:color w:val="auto"/>
                <w:sz w:val="24"/>
                <w:szCs w:val="24"/>
              </w:rPr>
              <w:t>调节pH，约6h后通过密闭管道移入1000L发酵罐中进行发酵，种子培养过程产生种子培养废气G1-2。</w:t>
            </w:r>
          </w:p>
          <w:p w14:paraId="2FA01B98">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④</w:t>
            </w:r>
            <w:r>
              <w:rPr>
                <w:rFonts w:hint="default" w:ascii="Times New Roman" w:hAnsi="Times New Roman" w:eastAsia="仿宋_GB2312" w:cs="Times New Roman"/>
                <w:color w:val="auto"/>
                <w:sz w:val="24"/>
                <w:szCs w:val="24"/>
              </w:rPr>
              <w:t>发酵培养</w:t>
            </w:r>
          </w:p>
          <w:p w14:paraId="59CB9C4D">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将称量后的</w:t>
            </w:r>
            <w:r>
              <w:rPr>
                <w:rFonts w:hint="eastAsia" w:eastAsia="仿宋_GB2312" w:cs="Times New Roman"/>
                <w:color w:val="auto"/>
                <w:sz w:val="24"/>
                <w:szCs w:val="24"/>
                <w:lang w:eastAsia="zh-CN"/>
              </w:rPr>
              <w:t>菌种</w:t>
            </w:r>
            <w:r>
              <w:rPr>
                <w:rFonts w:hint="default" w:ascii="Times New Roman" w:hAnsi="Times New Roman" w:eastAsia="仿宋_GB2312" w:cs="Times New Roman"/>
                <w:color w:val="auto"/>
                <w:sz w:val="24"/>
                <w:szCs w:val="24"/>
              </w:rPr>
              <w:t>培养基（组分包括酵母粉、蛋白胨、牛肉膏、硫酸镁、柠檬酸二铵、磷酸氢二钾、</w:t>
            </w:r>
            <w:r>
              <w:rPr>
                <w:rFonts w:hint="eastAsia" w:eastAsia="仿宋_GB2312" w:cs="Times New Roman"/>
                <w:color w:val="auto"/>
                <w:sz w:val="24"/>
                <w:szCs w:val="24"/>
                <w:lang w:eastAsia="zh-CN"/>
              </w:rPr>
              <w:t>消泡剂</w:t>
            </w:r>
            <w:r>
              <w:rPr>
                <w:rFonts w:hint="default" w:ascii="Times New Roman" w:hAnsi="Times New Roman" w:eastAsia="仿宋_GB2312" w:cs="Times New Roman"/>
                <w:color w:val="auto"/>
                <w:sz w:val="24"/>
                <w:szCs w:val="24"/>
              </w:rPr>
              <w:t>）在1000L发酵罐中用纯水配制发酵培养基。培养基组分经121℃夹套高温蒸汽灭菌、循环冷却水冷却后，转入种子罐中的种子培养液和灭菌后的葡萄糖溶液开始发酵培养，发酵过程保持温度28-32℃，培养过程中滴加少量</w:t>
            </w:r>
            <w:r>
              <w:rPr>
                <w:rFonts w:hint="eastAsia" w:ascii="Times New Roman" w:hAnsi="Times New Roman" w:eastAsia="仿宋_GB2312" w:cs="Times New Roman"/>
                <w:color w:val="auto"/>
                <w:sz w:val="24"/>
                <w:szCs w:val="24"/>
                <w:lang w:val="en-US"/>
              </w:rPr>
              <w:t>磷酸氢二钾</w:t>
            </w:r>
            <w:r>
              <w:rPr>
                <w:rFonts w:hint="default" w:ascii="Times New Roman" w:hAnsi="Times New Roman" w:eastAsia="仿宋_GB2312" w:cs="Times New Roman"/>
                <w:color w:val="auto"/>
                <w:sz w:val="24"/>
                <w:szCs w:val="24"/>
              </w:rPr>
              <w:t>调节pH，约16h后结束发酵。发酵过程中产生发酵废气G1-3。</w:t>
            </w:r>
          </w:p>
          <w:p w14:paraId="4FAA61BE">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（2）提取工段</w:t>
            </w:r>
          </w:p>
          <w:p w14:paraId="5CACA1E4">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①离心</w:t>
            </w:r>
          </w:p>
          <w:p w14:paraId="2B80665D">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发酵液通过密闭管道泵送至碟式离心机设备，收集发酵上清液，此工序会产生离心固体废物S1-1。</w:t>
            </w:r>
          </w:p>
          <w:p w14:paraId="3A7EBF5F">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②脱色</w:t>
            </w:r>
          </w:p>
          <w:p w14:paraId="36221295">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将计量后的36%盐酸溶液在清洗罐中用纯水先配制成4%盐酸溶液，</w:t>
            </w:r>
            <w:r>
              <w:rPr>
                <w:rFonts w:hint="eastAsia" w:eastAsia="仿宋_GB2312" w:cs="Times New Roman"/>
                <w:color w:val="auto"/>
                <w:sz w:val="24"/>
                <w:szCs w:val="24"/>
                <w:lang w:eastAsia="zh-CN"/>
              </w:rPr>
              <w:t>待用。</w:t>
            </w:r>
            <w:r>
              <w:rPr>
                <w:rFonts w:hint="default" w:ascii="Times New Roman" w:hAnsi="Times New Roman" w:eastAsia="仿宋_GB2312" w:cs="Times New Roman"/>
                <w:color w:val="auto"/>
                <w:sz w:val="24"/>
                <w:szCs w:val="24"/>
              </w:rPr>
              <w:t>待脱色结束后清洗树脂。发酵上清液经过树脂吸附脱色。每批生产完后用4%盐酸和纯水对树脂进行清洗，产生脱色树脂再生废水W1-1。</w:t>
            </w:r>
          </w:p>
          <w:p w14:paraId="62C65100">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eastAsia="仿宋_GB2312" w:cs="Times New Roman"/>
                <w:color w:val="auto"/>
                <w:sz w:val="24"/>
                <w:szCs w:val="24"/>
                <w:lang w:eastAsia="zh-CN"/>
              </w:rPr>
            </w:pPr>
            <w:r>
              <w:rPr>
                <w:rFonts w:hint="default" w:ascii="Times New Roman" w:hAnsi="Times New Roman" w:eastAsia="仿宋_GB2312" w:cs="Times New Roman"/>
                <w:color w:val="auto"/>
                <w:sz w:val="24"/>
                <w:szCs w:val="24"/>
              </w:rPr>
              <w:t>③</w:t>
            </w:r>
            <w:r>
              <w:rPr>
                <w:rFonts w:hint="eastAsia" w:eastAsia="仿宋_GB2312" w:cs="Times New Roman"/>
                <w:color w:val="auto"/>
                <w:sz w:val="24"/>
                <w:szCs w:val="24"/>
                <w:lang w:eastAsia="zh-CN"/>
              </w:rPr>
              <w:t>离子交换层析</w:t>
            </w:r>
          </w:p>
          <w:p w14:paraId="52C72AAD">
            <w:pPr>
              <w:pStyle w:val="2"/>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将计量后的36%盐酸溶液在清洗罐中用纯水先配制成4%盐酸溶液，待离子交换层析结束后清洗树脂。过流液依次通过离子交换层析柱，过流液中的Mg</w:t>
            </w:r>
            <w:r>
              <w:rPr>
                <w:rFonts w:hint="eastAsia" w:ascii="Times New Roman" w:hAnsi="Times New Roman" w:eastAsia="仿宋_GB2312" w:cs="Times New Roman"/>
                <w:color w:val="auto"/>
                <w:kern w:val="2"/>
                <w:sz w:val="24"/>
                <w:szCs w:val="24"/>
                <w:vertAlign w:val="superscript"/>
                <w:lang w:val="en-US" w:eastAsia="zh-CN" w:bidi="ar-SA"/>
              </w:rPr>
              <w:t>2+</w:t>
            </w:r>
            <w:r>
              <w:rPr>
                <w:rFonts w:hint="eastAsia" w:ascii="Times New Roman" w:hAnsi="Times New Roman" w:eastAsia="仿宋_GB2312" w:cs="Times New Roman"/>
                <w:color w:val="auto"/>
                <w:kern w:val="2"/>
                <w:sz w:val="24"/>
                <w:szCs w:val="24"/>
                <w:lang w:val="en-US" w:eastAsia="zh-CN" w:bidi="ar-SA"/>
              </w:rPr>
              <w:t>、SO</w:t>
            </w:r>
            <w:r>
              <w:rPr>
                <w:rFonts w:hint="eastAsia" w:ascii="Times New Roman" w:hAnsi="Times New Roman" w:eastAsia="仿宋_GB2312" w:cs="Times New Roman"/>
                <w:color w:val="auto"/>
                <w:kern w:val="2"/>
                <w:sz w:val="24"/>
                <w:szCs w:val="24"/>
                <w:vertAlign w:val="subscript"/>
                <w:lang w:val="en-US" w:eastAsia="zh-CN" w:bidi="ar-SA"/>
              </w:rPr>
              <w:t>4</w:t>
            </w:r>
            <w:r>
              <w:rPr>
                <w:rFonts w:hint="eastAsia" w:ascii="Times New Roman" w:hAnsi="Times New Roman" w:eastAsia="仿宋_GB2312" w:cs="Times New Roman"/>
                <w:color w:val="auto"/>
                <w:kern w:val="2"/>
                <w:sz w:val="24"/>
                <w:szCs w:val="24"/>
                <w:vertAlign w:val="superscript"/>
                <w:lang w:val="en-US" w:eastAsia="zh-CN" w:bidi="ar-SA"/>
              </w:rPr>
              <w:t>2-</w:t>
            </w:r>
            <w:r>
              <w:rPr>
                <w:rFonts w:hint="eastAsia" w:ascii="Times New Roman" w:hAnsi="Times New Roman" w:eastAsia="仿宋_GB2312" w:cs="Times New Roman"/>
                <w:color w:val="auto"/>
                <w:kern w:val="2"/>
                <w:sz w:val="24"/>
                <w:szCs w:val="24"/>
                <w:lang w:val="en-US" w:eastAsia="zh-CN" w:bidi="ar-SA"/>
              </w:rPr>
              <w:t>离子等吸附在离子柱上，过柱液作为产品纯化液送入后道旋蒸工序。每批生产完后用4%盐酸、纯水和4%碱液对树脂进行清洗，产生脱色树脂再生废水W</w:t>
            </w:r>
            <w:r>
              <w:rPr>
                <w:rFonts w:hint="eastAsia" w:eastAsia="仿宋_GB2312" w:cs="Times New Roman"/>
                <w:color w:val="auto"/>
                <w:kern w:val="2"/>
                <w:sz w:val="24"/>
                <w:szCs w:val="24"/>
                <w:lang w:val="en-US" w:eastAsia="zh-CN" w:bidi="ar-SA"/>
              </w:rPr>
              <w:t>1</w:t>
            </w:r>
            <w:r>
              <w:rPr>
                <w:rFonts w:hint="eastAsia" w:ascii="Times New Roman" w:hAnsi="Times New Roman" w:eastAsia="仿宋_GB2312" w:cs="Times New Roman"/>
                <w:color w:val="auto"/>
                <w:kern w:val="2"/>
                <w:sz w:val="24"/>
                <w:szCs w:val="24"/>
                <w:lang w:val="en-US" w:eastAsia="zh-CN" w:bidi="ar-SA"/>
              </w:rPr>
              <w:t>-</w:t>
            </w:r>
            <w:r>
              <w:rPr>
                <w:rFonts w:hint="eastAsia" w:eastAsia="仿宋_GB2312" w:cs="Times New Roman"/>
                <w:color w:val="auto"/>
                <w:kern w:val="2"/>
                <w:sz w:val="24"/>
                <w:szCs w:val="24"/>
                <w:lang w:val="en-US" w:eastAsia="zh-CN" w:bidi="ar-SA"/>
              </w:rPr>
              <w:t>2</w:t>
            </w:r>
            <w:r>
              <w:rPr>
                <w:rFonts w:hint="eastAsia" w:ascii="Times New Roman" w:hAnsi="Times New Roman" w:eastAsia="仿宋_GB2312" w:cs="Times New Roman"/>
                <w:color w:val="auto"/>
                <w:kern w:val="2"/>
                <w:sz w:val="24"/>
                <w:szCs w:val="24"/>
                <w:lang w:val="en-US" w:eastAsia="zh-CN" w:bidi="ar-SA"/>
              </w:rPr>
              <w:t>。</w:t>
            </w:r>
          </w:p>
          <w:p w14:paraId="31AA605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④浓缩结晶</w:t>
            </w:r>
          </w:p>
          <w:p w14:paraId="395660F1">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脱色后溶液通过密闭管道转运至奥斯陆结晶器，在50-70℃下进行真空蒸发浓缩，浓缩液进入结晶罐，降温结晶，此过程会产生废水W1-</w:t>
            </w:r>
            <w:r>
              <w:rPr>
                <w:rFonts w:hint="eastAsia"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w:t>
            </w:r>
          </w:p>
          <w:p w14:paraId="78EF05BB">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⑤离心</w:t>
            </w:r>
          </w:p>
          <w:p w14:paraId="030A76EA">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浓缩结晶后的</w:t>
            </w:r>
            <w:r>
              <w:rPr>
                <w:rFonts w:hint="eastAsia" w:eastAsia="仿宋_GB2312" w:cs="Times New Roman"/>
                <w:color w:val="auto"/>
                <w:sz w:val="24"/>
                <w:szCs w:val="24"/>
                <w:lang w:eastAsia="zh-CN"/>
              </w:rPr>
              <w:t>物料</w:t>
            </w:r>
            <w:r>
              <w:rPr>
                <w:rFonts w:hint="default" w:ascii="Times New Roman" w:hAnsi="Times New Roman" w:eastAsia="仿宋_GB2312" w:cs="Times New Roman"/>
                <w:color w:val="auto"/>
                <w:sz w:val="24"/>
                <w:szCs w:val="24"/>
              </w:rPr>
              <w:t>经管道打入板式离心机中</w:t>
            </w:r>
            <w:r>
              <w:rPr>
                <w:rFonts w:hint="eastAsia" w:eastAsia="仿宋_GB2312" w:cs="Times New Roman"/>
                <w:color w:val="auto"/>
                <w:sz w:val="24"/>
                <w:szCs w:val="24"/>
                <w:lang w:eastAsia="zh-CN"/>
              </w:rPr>
              <w:t>进行固液分离，</w:t>
            </w:r>
            <w:r>
              <w:rPr>
                <w:rFonts w:hint="default" w:ascii="Times New Roman" w:hAnsi="Times New Roman" w:eastAsia="仿宋_GB2312" w:cs="Times New Roman"/>
                <w:color w:val="auto"/>
                <w:sz w:val="24"/>
                <w:szCs w:val="24"/>
              </w:rPr>
              <w:t>离心收集产品，过程中产生离心废水W1-</w:t>
            </w:r>
            <w:r>
              <w:rPr>
                <w:rFonts w:hint="eastAsia"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w:t>
            </w:r>
          </w:p>
          <w:p w14:paraId="059E8D38">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⑥干燥</w:t>
            </w:r>
          </w:p>
          <w:p w14:paraId="27B3AD11">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离心后的产品放入烘箱中，50-60℃烘干得到成品。干燥过程中产生水汽G1-4。</w:t>
            </w:r>
          </w:p>
          <w:p w14:paraId="558B6909">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⑦</w:t>
            </w:r>
            <w:r>
              <w:rPr>
                <w:rFonts w:hint="default" w:ascii="Times New Roman" w:hAnsi="Times New Roman" w:eastAsia="仿宋_GB2312" w:cs="Times New Roman"/>
                <w:color w:val="auto"/>
                <w:sz w:val="24"/>
                <w:szCs w:val="24"/>
              </w:rPr>
              <w:t>包装</w:t>
            </w:r>
          </w:p>
          <w:p w14:paraId="160331AF">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成品经包装机初步包装入库</w:t>
            </w:r>
            <w:r>
              <w:rPr>
                <w:rFonts w:hint="eastAsia" w:eastAsia="仿宋_GB2312" w:cs="Times New Roman"/>
                <w:color w:val="auto"/>
                <w:sz w:val="24"/>
                <w:szCs w:val="24"/>
                <w:lang w:eastAsia="zh-CN"/>
              </w:rPr>
              <w:t>（其中，300kg</w:t>
            </w:r>
            <w:r>
              <w:rPr>
                <w:rFonts w:hint="eastAsia" w:eastAsia="仿宋_GB2312" w:cs="Times New Roman"/>
                <w:color w:val="auto"/>
                <w:sz w:val="24"/>
                <w:szCs w:val="24"/>
                <w:lang w:val="en-US" w:eastAsia="zh-CN"/>
              </w:rPr>
              <w:t>/a</w:t>
            </w:r>
            <w:r>
              <w:rPr>
                <w:rFonts w:hint="eastAsia" w:eastAsia="仿宋_GB2312" w:cs="Times New Roman"/>
                <w:color w:val="auto"/>
                <w:sz w:val="24"/>
                <w:szCs w:val="24"/>
                <w:lang w:eastAsia="zh-CN"/>
              </w:rPr>
              <w:t>用于出售，300kg</w:t>
            </w:r>
            <w:r>
              <w:rPr>
                <w:rFonts w:hint="eastAsia" w:eastAsia="仿宋_GB2312" w:cs="Times New Roman"/>
                <w:color w:val="auto"/>
                <w:sz w:val="24"/>
                <w:szCs w:val="24"/>
                <w:lang w:val="en-US" w:eastAsia="zh-CN"/>
              </w:rPr>
              <w:t>/a</w:t>
            </w:r>
            <w:r>
              <w:rPr>
                <w:rFonts w:hint="eastAsia" w:eastAsia="仿宋_GB2312" w:cs="Times New Roman"/>
                <w:color w:val="auto"/>
                <w:sz w:val="24"/>
                <w:szCs w:val="24"/>
                <w:lang w:eastAsia="zh-CN"/>
              </w:rPr>
              <w:t>用于γ-氨基丁酸保健食品胶囊的生产）</w:t>
            </w:r>
            <w:r>
              <w:rPr>
                <w:rFonts w:hint="default" w:ascii="Times New Roman" w:hAnsi="Times New Roman" w:eastAsia="仿宋_GB2312" w:cs="Times New Roman"/>
                <w:color w:val="auto"/>
                <w:sz w:val="24"/>
                <w:szCs w:val="24"/>
              </w:rPr>
              <w:t>。此过程产生包装废气G1-5。</w:t>
            </w:r>
          </w:p>
          <w:p w14:paraId="0652E917">
            <w:pPr>
              <w:keepNext w:val="0"/>
              <w:keepLines w:val="0"/>
              <w:widowControl w:val="0"/>
              <w:numPr>
                <w:ilvl w:val="0"/>
                <w:numId w:val="0"/>
              </w:numPr>
              <w:suppressLineNumbers w:val="0"/>
              <w:spacing w:before="0" w:beforeAutospacing="0" w:after="0" w:afterAutospacing="0" w:line="500" w:lineRule="exact"/>
              <w:ind w:left="0" w:right="0" w:rightChars="0" w:firstLine="482" w:firstLineChars="200"/>
              <w:jc w:val="both"/>
              <w:rPr>
                <w:rFonts w:hint="default" w:eastAsia="仿宋_GB2312"/>
                <w:b/>
                <w:color w:val="auto"/>
                <w:sz w:val="24"/>
                <w:lang w:val="zh-CN"/>
              </w:rPr>
            </w:pPr>
            <w:r>
              <w:rPr>
                <w:rFonts w:hint="eastAsia" w:eastAsia="仿宋_GB2312"/>
                <w:b/>
                <w:color w:val="auto"/>
                <w:sz w:val="24"/>
                <w:lang w:val="zh-CN"/>
              </w:rPr>
              <w:t>（二）生物发酵法原理</w:t>
            </w:r>
          </w:p>
          <w:p w14:paraId="11F803A4">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t>鼠</w:t>
            </w:r>
            <w:r>
              <w:rPr>
                <w:rFonts w:hint="default" w:ascii="Times New Roman" w:hAnsi="Times New Roman" w:eastAsia="仿宋_GB2312" w:cs="Times New Roman"/>
                <w:color w:val="auto"/>
                <w:sz w:val="24"/>
                <w:szCs w:val="24"/>
                <w:lang w:val="zh-CN"/>
              </w:rPr>
              <w:t>李糖乳杆菌在厌氧环境下生长时，会</w:t>
            </w:r>
            <w:r>
              <w:rPr>
                <w:rFonts w:hint="eastAsia" w:ascii="Times New Roman" w:hAnsi="Times New Roman" w:eastAsia="仿宋_GB2312" w:cs="Times New Roman"/>
                <w:color w:val="auto"/>
                <w:sz w:val="24"/>
                <w:szCs w:val="24"/>
                <w:lang w:val="zh-CN"/>
              </w:rPr>
              <w:t>产生特有的</w:t>
            </w:r>
            <w:r>
              <w:rPr>
                <w:rFonts w:hint="default" w:ascii="Times New Roman" w:hAnsi="Times New Roman" w:eastAsia="仿宋_GB2312" w:cs="Times New Roman"/>
                <w:color w:val="auto"/>
                <w:sz w:val="24"/>
                <w:szCs w:val="24"/>
                <w:lang w:val="zh-CN"/>
              </w:rPr>
              <w:t>酶</w:t>
            </w:r>
            <w:r>
              <w:rPr>
                <w:rFonts w:hint="eastAsia" w:ascii="Times New Roman" w:hAnsi="Times New Roman" w:eastAsia="仿宋_GB2312" w:cs="Times New Roman"/>
                <w:color w:val="auto"/>
                <w:sz w:val="24"/>
                <w:szCs w:val="24"/>
                <w:lang w:val="zh-CN"/>
              </w:rPr>
              <w:t>催化</w:t>
            </w:r>
            <w:r>
              <w:rPr>
                <w:rFonts w:hint="default" w:ascii="Times New Roman" w:hAnsi="Times New Roman" w:eastAsia="仿宋_GB2312" w:cs="Times New Roman"/>
                <w:color w:val="auto"/>
                <w:sz w:val="24"/>
                <w:szCs w:val="24"/>
                <w:lang w:val="zh-CN"/>
              </w:rPr>
              <w:t>系统</w:t>
            </w:r>
            <w:r>
              <w:rPr>
                <w:rFonts w:hint="eastAsia" w:ascii="Times New Roman" w:hAnsi="Times New Roman" w:eastAsia="仿宋_GB2312" w:cs="Times New Roman"/>
                <w:color w:val="auto"/>
                <w:sz w:val="24"/>
                <w:szCs w:val="24"/>
                <w:lang w:val="zh-CN"/>
              </w:rPr>
              <w:t>。在整个体系中需要精确控制合适的</w:t>
            </w:r>
            <w:r>
              <w:rPr>
                <w:rFonts w:hint="eastAsia" w:ascii="Times New Roman" w:hAnsi="Times New Roman" w:eastAsia="仿宋_GB2312" w:cs="Times New Roman"/>
                <w:color w:val="auto"/>
                <w:sz w:val="24"/>
                <w:szCs w:val="24"/>
                <w:lang w:val="en-US" w:eastAsia="zh-CN"/>
              </w:rPr>
              <w:t>pH、温度、碳源、氮源等营养物质，从而</w:t>
            </w:r>
            <w:r>
              <w:rPr>
                <w:rFonts w:hint="eastAsia" w:ascii="Times New Roman" w:hAnsi="Times New Roman" w:eastAsia="仿宋_GB2312" w:cs="Times New Roman"/>
                <w:color w:val="auto"/>
                <w:sz w:val="24"/>
                <w:szCs w:val="24"/>
                <w:lang w:val="zh-CN"/>
              </w:rPr>
              <w:t>通过酶催化反应生成γ-氨基丁酸。</w:t>
            </w:r>
          </w:p>
          <w:p w14:paraId="615C79FA">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t>（</w:t>
            </w:r>
            <w:r>
              <w:rPr>
                <w:rFonts w:hint="eastAsia" w:eastAsia="仿宋_GB2312"/>
                <w:b/>
                <w:color w:val="auto"/>
                <w:sz w:val="24"/>
                <w:lang w:val="zh-CN"/>
              </w:rPr>
              <w:t>三</w:t>
            </w:r>
            <w:r>
              <w:rPr>
                <w:rFonts w:hint="default" w:eastAsia="仿宋_GB2312"/>
                <w:b/>
                <w:color w:val="auto"/>
                <w:sz w:val="24"/>
                <w:lang w:val="zh-CN"/>
              </w:rPr>
              <w:t>）</w:t>
            </w:r>
            <w:r>
              <w:rPr>
                <w:rFonts w:hint="eastAsia" w:eastAsia="仿宋_GB2312"/>
                <w:b/>
                <w:color w:val="auto"/>
                <w:sz w:val="24"/>
                <w:lang w:val="zh-CN"/>
              </w:rPr>
              <w:t>设备清单</w:t>
            </w:r>
          </w:p>
          <w:p w14:paraId="0121F653">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仿宋_GB2312" w:cs="Times New Roman"/>
                <w:b/>
                <w:color w:val="auto"/>
                <w:sz w:val="22"/>
                <w:szCs w:val="22"/>
              </w:rPr>
            </w:pPr>
            <w:r>
              <w:rPr>
                <w:rFonts w:hint="eastAsia"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2-10</w:t>
            </w:r>
            <w:r>
              <w:rPr>
                <w:rFonts w:hint="default" w:ascii="Times New Roman" w:hAnsi="Times New Roman" w:eastAsia="仿宋_GB2312" w:cs="Times New Roman"/>
                <w:b/>
                <w:color w:val="auto"/>
                <w:sz w:val="22"/>
                <w:szCs w:val="22"/>
              </w:rPr>
              <w:t xml:space="preserve">  食品用原料</w:t>
            </w:r>
            <w:r>
              <w:rPr>
                <w:rFonts w:hint="eastAsia" w:eastAsia="仿宋_GB2312" w:cs="Times New Roman"/>
                <w:b/>
                <w:color w:val="auto"/>
                <w:sz w:val="22"/>
                <w:szCs w:val="22"/>
                <w:lang w:eastAsia="zh-CN"/>
              </w:rPr>
              <w:t>（</w:t>
            </w:r>
            <w:r>
              <w:rPr>
                <w:rFonts w:hint="eastAsia" w:ascii="Times New Roman" w:hAnsi="Times New Roman" w:eastAsia="仿宋_GB2312" w:cs="Times New Roman"/>
                <w:b/>
                <w:color w:val="auto"/>
                <w:sz w:val="22"/>
                <w:szCs w:val="22"/>
              </w:rPr>
              <w:t>γ-氨基丁酸</w:t>
            </w:r>
            <w:r>
              <w:rPr>
                <w:rFonts w:hint="eastAsia" w:eastAsia="仿宋_GB2312" w:cs="Times New Roman"/>
                <w:b/>
                <w:color w:val="auto"/>
                <w:sz w:val="22"/>
                <w:szCs w:val="22"/>
                <w:lang w:eastAsia="zh-CN"/>
              </w:rPr>
              <w:t>）</w:t>
            </w:r>
            <w:r>
              <w:rPr>
                <w:rFonts w:hint="eastAsia" w:ascii="Times New Roman" w:hAnsi="Times New Roman" w:eastAsia="仿宋_GB2312" w:cs="Times New Roman"/>
                <w:b/>
                <w:color w:val="auto"/>
                <w:sz w:val="22"/>
                <w:szCs w:val="22"/>
              </w:rPr>
              <w:t>主要生产设备汇总表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28" w:type="dxa"/>
                <w:bottom w:w="0" w:type="dxa"/>
                <w:right w:w="28" w:type="dxa"/>
              </w:tblCellMar>
            </w:tblPr>
            <w:tblGrid>
              <w:gridCol w:w="453"/>
              <w:gridCol w:w="2714"/>
              <w:gridCol w:w="1995"/>
              <w:gridCol w:w="1188"/>
              <w:gridCol w:w="656"/>
              <w:gridCol w:w="562"/>
              <w:gridCol w:w="841"/>
            </w:tblGrid>
            <w:tr w14:paraId="228012AD">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360AFED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序号</w:t>
                  </w:r>
                </w:p>
              </w:tc>
              <w:tc>
                <w:tcPr>
                  <w:tcW w:w="1613" w:type="pct"/>
                  <w:shd w:val="clear" w:color="000000" w:fill="FFFFFF"/>
                  <w:noWrap/>
                  <w:vAlign w:val="center"/>
                </w:tcPr>
                <w:p w14:paraId="58F29A7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设备名称</w:t>
                  </w:r>
                </w:p>
              </w:tc>
              <w:tc>
                <w:tcPr>
                  <w:tcW w:w="1186" w:type="pct"/>
                  <w:shd w:val="clear" w:color="000000" w:fill="FFFFFF"/>
                  <w:noWrap/>
                  <w:vAlign w:val="center"/>
                </w:tcPr>
                <w:p w14:paraId="5153E9D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规格型号</w:t>
                  </w:r>
                </w:p>
              </w:tc>
              <w:tc>
                <w:tcPr>
                  <w:tcW w:w="706" w:type="pct"/>
                  <w:shd w:val="clear" w:color="000000" w:fill="FFFFFF"/>
                  <w:vAlign w:val="center"/>
                </w:tcPr>
                <w:p w14:paraId="796EB0D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材质</w:t>
                  </w:r>
                </w:p>
              </w:tc>
              <w:tc>
                <w:tcPr>
                  <w:tcW w:w="390" w:type="pct"/>
                  <w:shd w:val="clear" w:color="000000" w:fill="FFFFFF"/>
                  <w:vAlign w:val="center"/>
                </w:tcPr>
                <w:p w14:paraId="00C014A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数量</w:t>
                  </w:r>
                </w:p>
                <w:p w14:paraId="036F305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（台/套）</w:t>
                  </w:r>
                </w:p>
              </w:tc>
              <w:tc>
                <w:tcPr>
                  <w:tcW w:w="334" w:type="pct"/>
                  <w:shd w:val="clear" w:color="000000" w:fill="FFFFFF"/>
                  <w:vAlign w:val="center"/>
                </w:tcPr>
                <w:p w14:paraId="1C17E66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备注</w:t>
                  </w:r>
                </w:p>
              </w:tc>
              <w:tc>
                <w:tcPr>
                  <w:tcW w:w="500" w:type="pct"/>
                  <w:vAlign w:val="center"/>
                </w:tcPr>
                <w:p w14:paraId="6F51EE6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设备</w:t>
                  </w:r>
                </w:p>
                <w:p w14:paraId="1E27486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来源</w:t>
                  </w:r>
                </w:p>
              </w:tc>
            </w:tr>
            <w:tr w14:paraId="05A59248">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59D5941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1613" w:type="pct"/>
                  <w:shd w:val="clear" w:color="000000" w:fill="FFFFFF"/>
                  <w:noWrap/>
                  <w:vAlign w:val="center"/>
                </w:tcPr>
                <w:p w14:paraId="6700C47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种子罐</w:t>
                  </w:r>
                </w:p>
              </w:tc>
              <w:tc>
                <w:tcPr>
                  <w:tcW w:w="1186" w:type="pct"/>
                  <w:shd w:val="clear" w:color="000000" w:fill="FFFFFF"/>
                  <w:noWrap/>
                  <w:vAlign w:val="center"/>
                </w:tcPr>
                <w:p w14:paraId="3A582BB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10L</w:t>
                  </w:r>
                </w:p>
              </w:tc>
              <w:tc>
                <w:tcPr>
                  <w:tcW w:w="706" w:type="pct"/>
                  <w:shd w:val="clear" w:color="000000" w:fill="FFFFFF"/>
                  <w:vAlign w:val="center"/>
                </w:tcPr>
                <w:p w14:paraId="00A4BCA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6D62788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4" w:type="pct"/>
                  <w:vMerge w:val="restart"/>
                  <w:shd w:val="clear" w:color="000000" w:fill="FFFFFF"/>
                  <w:vAlign w:val="center"/>
                </w:tcPr>
                <w:p w14:paraId="6F94B9AF">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与保健食品粉（二氢槲皮素）设备共用</w:t>
                  </w:r>
                </w:p>
              </w:tc>
              <w:tc>
                <w:tcPr>
                  <w:tcW w:w="500" w:type="pct"/>
                  <w:vMerge w:val="restart"/>
                  <w:vAlign w:val="center"/>
                </w:tcPr>
                <w:p w14:paraId="5544AEA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国内</w:t>
                  </w:r>
                </w:p>
              </w:tc>
            </w:tr>
            <w:tr w14:paraId="5CEC7F54">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328DBC9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2</w:t>
                  </w:r>
                </w:p>
              </w:tc>
              <w:tc>
                <w:tcPr>
                  <w:tcW w:w="1613" w:type="pct"/>
                  <w:shd w:val="clear" w:color="000000" w:fill="FFFFFF"/>
                  <w:noWrap/>
                  <w:vAlign w:val="center"/>
                </w:tcPr>
                <w:p w14:paraId="6808AFA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种子罐</w:t>
                  </w:r>
                </w:p>
              </w:tc>
              <w:tc>
                <w:tcPr>
                  <w:tcW w:w="1186" w:type="pct"/>
                  <w:shd w:val="clear" w:color="000000" w:fill="FFFFFF"/>
                  <w:noWrap/>
                  <w:vAlign w:val="center"/>
                </w:tcPr>
                <w:p w14:paraId="49F8472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100L</w:t>
                  </w:r>
                </w:p>
              </w:tc>
              <w:tc>
                <w:tcPr>
                  <w:tcW w:w="706" w:type="pct"/>
                  <w:shd w:val="clear" w:color="000000" w:fill="FFFFFF"/>
                  <w:vAlign w:val="center"/>
                </w:tcPr>
                <w:p w14:paraId="5A62846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32048C2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4D80D09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00E84EE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2E5BF830">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7AB5794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3</w:t>
                  </w:r>
                </w:p>
              </w:tc>
              <w:tc>
                <w:tcPr>
                  <w:tcW w:w="1613" w:type="pct"/>
                  <w:shd w:val="clear" w:color="000000" w:fill="FFFFFF"/>
                  <w:noWrap/>
                  <w:vAlign w:val="center"/>
                </w:tcPr>
                <w:p w14:paraId="4F38B38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发酵罐</w:t>
                  </w:r>
                </w:p>
              </w:tc>
              <w:tc>
                <w:tcPr>
                  <w:tcW w:w="1186" w:type="pct"/>
                  <w:shd w:val="clear" w:color="000000" w:fill="FFFFFF"/>
                  <w:noWrap/>
                  <w:vAlign w:val="center"/>
                </w:tcPr>
                <w:p w14:paraId="5E21B76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1000L</w:t>
                  </w:r>
                </w:p>
              </w:tc>
              <w:tc>
                <w:tcPr>
                  <w:tcW w:w="706" w:type="pct"/>
                  <w:shd w:val="clear" w:color="000000" w:fill="FFFFFF"/>
                  <w:vAlign w:val="center"/>
                </w:tcPr>
                <w:p w14:paraId="66D7777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52D52D7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663B40D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2339C20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5FB33B2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612C1ED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4</w:t>
                  </w:r>
                </w:p>
              </w:tc>
              <w:tc>
                <w:tcPr>
                  <w:tcW w:w="1613" w:type="pct"/>
                  <w:shd w:val="clear" w:color="000000" w:fill="FFFFFF"/>
                  <w:noWrap/>
                  <w:vAlign w:val="center"/>
                </w:tcPr>
                <w:p w14:paraId="7C6325B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补料罐</w:t>
                  </w:r>
                </w:p>
              </w:tc>
              <w:tc>
                <w:tcPr>
                  <w:tcW w:w="1186" w:type="pct"/>
                  <w:shd w:val="clear" w:color="000000" w:fill="FFFFFF"/>
                  <w:noWrap/>
                  <w:vAlign w:val="center"/>
                </w:tcPr>
                <w:p w14:paraId="40B175A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200L</w:t>
                  </w:r>
                </w:p>
              </w:tc>
              <w:tc>
                <w:tcPr>
                  <w:tcW w:w="706" w:type="pct"/>
                  <w:shd w:val="clear" w:color="000000" w:fill="FFFFFF"/>
                  <w:vAlign w:val="center"/>
                </w:tcPr>
                <w:p w14:paraId="11F809B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32D7006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4E19146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255947B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44E19F64">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533ED6C6">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5</w:t>
                  </w:r>
                </w:p>
              </w:tc>
              <w:tc>
                <w:tcPr>
                  <w:tcW w:w="1613" w:type="pct"/>
                  <w:shd w:val="clear" w:color="000000" w:fill="FFFFFF"/>
                  <w:noWrap/>
                  <w:vAlign w:val="center"/>
                </w:tcPr>
                <w:p w14:paraId="2EAE82E2">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eastAsia="zh-CN"/>
                    </w:rPr>
                    <w:t>离子交换层析系统</w:t>
                  </w:r>
                </w:p>
              </w:tc>
              <w:tc>
                <w:tcPr>
                  <w:tcW w:w="1186" w:type="pct"/>
                  <w:shd w:val="clear" w:color="000000" w:fill="FFFFFF"/>
                  <w:noWrap/>
                  <w:vAlign w:val="center"/>
                </w:tcPr>
                <w:p w14:paraId="0458DAA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LXB-10</w:t>
                  </w:r>
                </w:p>
                <w:p w14:paraId="6AF92816">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LXB-300</w:t>
                  </w:r>
                </w:p>
              </w:tc>
              <w:tc>
                <w:tcPr>
                  <w:tcW w:w="706" w:type="pct"/>
                  <w:shd w:val="clear" w:color="000000" w:fill="FFFFFF"/>
                  <w:vAlign w:val="center"/>
                </w:tcPr>
                <w:p w14:paraId="19642381">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离子交换树脂</w:t>
                  </w:r>
                </w:p>
              </w:tc>
              <w:tc>
                <w:tcPr>
                  <w:tcW w:w="390" w:type="pct"/>
                  <w:shd w:val="clear" w:color="000000" w:fill="FFFFFF"/>
                  <w:vAlign w:val="center"/>
                </w:tcPr>
                <w:p w14:paraId="2AB37396">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6B6C496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349A502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3D361C4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3D5A96C4">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6</w:t>
                  </w:r>
                </w:p>
              </w:tc>
              <w:tc>
                <w:tcPr>
                  <w:tcW w:w="1613" w:type="pct"/>
                  <w:shd w:val="clear" w:color="000000" w:fill="FFFFFF"/>
                  <w:noWrap/>
                  <w:vAlign w:val="center"/>
                </w:tcPr>
                <w:p w14:paraId="471BC11B">
                  <w:pPr>
                    <w:keepNext w:val="0"/>
                    <w:keepLines w:val="0"/>
                    <w:widowControl w:val="0"/>
                    <w:suppressLineNumbers w:val="0"/>
                    <w:spacing w:before="0" w:beforeAutospacing="0" w:after="0" w:afterAutospacing="0" w:line="240" w:lineRule="exact"/>
                    <w:ind w:left="0" w:leftChars="0" w:right="0" w:rightChars="0"/>
                    <w:jc w:val="center"/>
                    <w:rPr>
                      <w:rFonts w:hint="eastAsia"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树脂吸附设备</w:t>
                  </w:r>
                </w:p>
              </w:tc>
              <w:tc>
                <w:tcPr>
                  <w:tcW w:w="1186" w:type="pct"/>
                  <w:shd w:val="clear" w:color="000000" w:fill="FFFFFF"/>
                  <w:noWrap/>
                  <w:vAlign w:val="center"/>
                </w:tcPr>
                <w:p w14:paraId="5F609274">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BNPC-400-SA</w:t>
                  </w:r>
                </w:p>
              </w:tc>
              <w:tc>
                <w:tcPr>
                  <w:tcW w:w="706" w:type="pct"/>
                  <w:shd w:val="clear" w:color="000000" w:fill="FFFFFF"/>
                  <w:vAlign w:val="center"/>
                </w:tcPr>
                <w:p w14:paraId="41B8A0CC">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PP</w:t>
                  </w:r>
                </w:p>
              </w:tc>
              <w:tc>
                <w:tcPr>
                  <w:tcW w:w="390" w:type="pct"/>
                  <w:shd w:val="clear" w:color="000000" w:fill="FFFFFF"/>
                  <w:vAlign w:val="center"/>
                </w:tcPr>
                <w:p w14:paraId="35AF47E9">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5B547FD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43518EC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6030E5D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662D42CF">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7</w:t>
                  </w:r>
                </w:p>
              </w:tc>
              <w:tc>
                <w:tcPr>
                  <w:tcW w:w="1613" w:type="pct"/>
                  <w:shd w:val="clear" w:color="000000" w:fill="FFFFFF"/>
                  <w:noWrap/>
                  <w:vAlign w:val="center"/>
                </w:tcPr>
                <w:p w14:paraId="6673824B">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包装机</w:t>
                  </w:r>
                </w:p>
              </w:tc>
              <w:tc>
                <w:tcPr>
                  <w:tcW w:w="1186" w:type="pct"/>
                  <w:shd w:val="clear" w:color="000000" w:fill="FFFFFF"/>
                  <w:noWrap/>
                  <w:vAlign w:val="center"/>
                </w:tcPr>
                <w:p w14:paraId="091D91C6">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w:t>
                  </w:r>
                </w:p>
              </w:tc>
              <w:tc>
                <w:tcPr>
                  <w:tcW w:w="706" w:type="pct"/>
                  <w:shd w:val="clear" w:color="000000" w:fill="FFFFFF"/>
                  <w:vAlign w:val="center"/>
                </w:tcPr>
                <w:p w14:paraId="4995DB90">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5D4FDDF9">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7953BAD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429EE54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125F637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43E69E8A">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8</w:t>
                  </w:r>
                </w:p>
              </w:tc>
              <w:tc>
                <w:tcPr>
                  <w:tcW w:w="1613" w:type="pct"/>
                  <w:shd w:val="clear" w:color="000000" w:fill="FFFFFF"/>
                  <w:noWrap/>
                  <w:vAlign w:val="center"/>
                </w:tcPr>
                <w:p w14:paraId="687F74B8">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烘箱</w:t>
                  </w:r>
                </w:p>
              </w:tc>
              <w:tc>
                <w:tcPr>
                  <w:tcW w:w="1186" w:type="pct"/>
                  <w:shd w:val="clear" w:color="000000" w:fill="FFFFFF"/>
                  <w:noWrap/>
                  <w:vAlign w:val="center"/>
                </w:tcPr>
                <w:p w14:paraId="047ED52A">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50 L</w:t>
                  </w:r>
                </w:p>
              </w:tc>
              <w:tc>
                <w:tcPr>
                  <w:tcW w:w="706" w:type="pct"/>
                  <w:shd w:val="clear" w:color="000000" w:fill="FFFFFF"/>
                  <w:vAlign w:val="center"/>
                </w:tcPr>
                <w:p w14:paraId="33445AB6">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731D9921">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4" w:type="pct"/>
                  <w:vMerge w:val="restart"/>
                  <w:shd w:val="clear" w:color="000000" w:fill="FFFFFF"/>
                  <w:vAlign w:val="center"/>
                </w:tcPr>
                <w:p w14:paraId="3AA2EF7F">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w:t>
                  </w:r>
                </w:p>
              </w:tc>
              <w:tc>
                <w:tcPr>
                  <w:tcW w:w="500" w:type="pct"/>
                  <w:vMerge w:val="continue"/>
                  <w:vAlign w:val="center"/>
                </w:tcPr>
                <w:p w14:paraId="75C1CCC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5EAF70D9">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6E847F8E">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9</w:t>
                  </w:r>
                </w:p>
              </w:tc>
              <w:tc>
                <w:tcPr>
                  <w:tcW w:w="1613" w:type="pct"/>
                  <w:shd w:val="clear" w:color="000000" w:fill="FFFFFF"/>
                  <w:noWrap/>
                  <w:vAlign w:val="center"/>
                </w:tcPr>
                <w:p w14:paraId="13E536A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储罐</w:t>
                  </w:r>
                </w:p>
              </w:tc>
              <w:tc>
                <w:tcPr>
                  <w:tcW w:w="1186" w:type="pct"/>
                  <w:shd w:val="clear" w:color="000000" w:fill="FFFFFF"/>
                  <w:noWrap/>
                  <w:vAlign w:val="center"/>
                </w:tcPr>
                <w:p w14:paraId="60F2D44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1000L</w:t>
                  </w:r>
                </w:p>
              </w:tc>
              <w:tc>
                <w:tcPr>
                  <w:tcW w:w="706" w:type="pct"/>
                  <w:shd w:val="clear" w:color="000000" w:fill="FFFFFF"/>
                  <w:vAlign w:val="center"/>
                </w:tcPr>
                <w:p w14:paraId="011B71C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6B74058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09A6F24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54F889C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33410E9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6177AD3A">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10</w:t>
                  </w:r>
                </w:p>
              </w:tc>
              <w:tc>
                <w:tcPr>
                  <w:tcW w:w="1613" w:type="pct"/>
                  <w:shd w:val="clear" w:color="000000" w:fill="FFFFFF"/>
                  <w:noWrap/>
                  <w:vAlign w:val="center"/>
                </w:tcPr>
                <w:p w14:paraId="39E4B98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储罐</w:t>
                  </w:r>
                </w:p>
              </w:tc>
              <w:tc>
                <w:tcPr>
                  <w:tcW w:w="1186" w:type="pct"/>
                  <w:shd w:val="clear" w:color="000000" w:fill="FFFFFF"/>
                  <w:noWrap/>
                  <w:vAlign w:val="center"/>
                </w:tcPr>
                <w:p w14:paraId="0A12D9D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1000L</w:t>
                  </w:r>
                </w:p>
              </w:tc>
              <w:tc>
                <w:tcPr>
                  <w:tcW w:w="706" w:type="pct"/>
                  <w:shd w:val="clear" w:color="000000" w:fill="FFFFFF"/>
                  <w:vAlign w:val="center"/>
                </w:tcPr>
                <w:p w14:paraId="649E180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4404811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405BD70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715C1DD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231661BB">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333702AA">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11</w:t>
                  </w:r>
                </w:p>
              </w:tc>
              <w:tc>
                <w:tcPr>
                  <w:tcW w:w="1613" w:type="pct"/>
                  <w:shd w:val="clear" w:color="000000" w:fill="FFFFFF"/>
                  <w:noWrap/>
                  <w:vAlign w:val="center"/>
                </w:tcPr>
                <w:p w14:paraId="6B0B97E3">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板式离心机</w:t>
                  </w:r>
                </w:p>
              </w:tc>
              <w:tc>
                <w:tcPr>
                  <w:tcW w:w="1186" w:type="pct"/>
                  <w:shd w:val="clear" w:color="000000" w:fill="FFFFFF"/>
                  <w:noWrap/>
                  <w:vAlign w:val="center"/>
                </w:tcPr>
                <w:p w14:paraId="689B218D">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200</w:t>
                  </w:r>
                </w:p>
              </w:tc>
              <w:tc>
                <w:tcPr>
                  <w:tcW w:w="706" w:type="pct"/>
                  <w:shd w:val="clear" w:color="000000" w:fill="FFFFFF"/>
                  <w:vAlign w:val="center"/>
                </w:tcPr>
                <w:p w14:paraId="0F4FBCE3">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59D843CE">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1E70DBB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73B5F98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71132B90">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3F167FC9">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12</w:t>
                  </w:r>
                </w:p>
              </w:tc>
              <w:tc>
                <w:tcPr>
                  <w:tcW w:w="1613" w:type="pct"/>
                  <w:shd w:val="clear" w:color="000000" w:fill="FFFFFF"/>
                  <w:noWrap/>
                  <w:vAlign w:val="center"/>
                </w:tcPr>
                <w:p w14:paraId="6DF3E59E">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碟式离心机</w:t>
                  </w:r>
                </w:p>
              </w:tc>
              <w:tc>
                <w:tcPr>
                  <w:tcW w:w="1186" w:type="pct"/>
                  <w:shd w:val="clear" w:color="000000" w:fill="FFFFFF"/>
                  <w:noWrap/>
                  <w:vAlign w:val="center"/>
                </w:tcPr>
                <w:p w14:paraId="1EC6EFF9">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DQB260</w:t>
                  </w:r>
                </w:p>
              </w:tc>
              <w:tc>
                <w:tcPr>
                  <w:tcW w:w="706" w:type="pct"/>
                  <w:shd w:val="clear" w:color="000000" w:fill="FFFFFF"/>
                  <w:vAlign w:val="top"/>
                </w:tcPr>
                <w:p w14:paraId="03BB54B0">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7AFA7B7B">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711C905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4CD8EC2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2A3EF66B">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9" w:type="pct"/>
                  <w:shd w:val="clear" w:color="000000" w:fill="FFFFFF"/>
                  <w:noWrap/>
                  <w:vAlign w:val="center"/>
                </w:tcPr>
                <w:p w14:paraId="6DB268D8">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13</w:t>
                  </w:r>
                </w:p>
              </w:tc>
              <w:tc>
                <w:tcPr>
                  <w:tcW w:w="1613" w:type="pct"/>
                  <w:shd w:val="clear" w:color="000000" w:fill="FFFFFF"/>
                  <w:noWrap/>
                  <w:vAlign w:val="center"/>
                </w:tcPr>
                <w:p w14:paraId="1D023F1B">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奥斯陆结晶器</w:t>
                  </w:r>
                </w:p>
              </w:tc>
              <w:tc>
                <w:tcPr>
                  <w:tcW w:w="1186" w:type="pct"/>
                  <w:shd w:val="clear" w:color="000000" w:fill="FFFFFF"/>
                  <w:noWrap/>
                  <w:vAlign w:val="center"/>
                </w:tcPr>
                <w:p w14:paraId="2643319B">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20L/H</w:t>
                  </w:r>
                </w:p>
              </w:tc>
              <w:tc>
                <w:tcPr>
                  <w:tcW w:w="706" w:type="pct"/>
                  <w:shd w:val="clear" w:color="000000" w:fill="FFFFFF"/>
                  <w:vAlign w:val="center"/>
                </w:tcPr>
                <w:p w14:paraId="1C8CEE5C">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1FECC230">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4" w:type="pct"/>
                  <w:vMerge w:val="continue"/>
                  <w:shd w:val="clear" w:color="000000" w:fill="FFFFFF"/>
                  <w:vAlign w:val="center"/>
                </w:tcPr>
                <w:p w14:paraId="44D815BB">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0"/>
                      <w:sz w:val="21"/>
                      <w:szCs w:val="21"/>
                      <w:lang w:val="en-US" w:eastAsia="zh-CN"/>
                    </w:rPr>
                  </w:pPr>
                </w:p>
              </w:tc>
              <w:tc>
                <w:tcPr>
                  <w:tcW w:w="500" w:type="pct"/>
                  <w:vMerge w:val="continue"/>
                  <w:vAlign w:val="center"/>
                </w:tcPr>
                <w:p w14:paraId="60AAA0F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bl>
          <w:p w14:paraId="5B852797">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t>（</w:t>
            </w:r>
            <w:r>
              <w:rPr>
                <w:rFonts w:hint="eastAsia" w:eastAsia="仿宋_GB2312"/>
                <w:b/>
                <w:color w:val="auto"/>
                <w:sz w:val="24"/>
                <w:lang w:val="zh-CN"/>
              </w:rPr>
              <w:t>三</w:t>
            </w:r>
            <w:r>
              <w:rPr>
                <w:rFonts w:hint="default" w:eastAsia="仿宋_GB2312"/>
                <w:b/>
                <w:color w:val="auto"/>
                <w:sz w:val="24"/>
                <w:lang w:val="zh-CN"/>
              </w:rPr>
              <w:t>）物料平衡</w:t>
            </w:r>
          </w:p>
          <w:p w14:paraId="41916AFF">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sz w:val="24"/>
                <w:highlight w:val="none"/>
                <w:lang w:val="zh-CN"/>
              </w:rPr>
            </w:pPr>
            <w:r>
              <w:rPr>
                <w:rFonts w:hint="default" w:eastAsia="仿宋_GB2312"/>
                <w:b/>
                <w:bCs/>
                <w:color w:val="auto"/>
                <w:sz w:val="24"/>
                <w:highlight w:val="none"/>
                <w:lang w:val="zh-CN"/>
              </w:rPr>
              <w:t>1、年产600kg</w:t>
            </w:r>
            <w:r>
              <w:rPr>
                <w:rFonts w:hint="eastAsia" w:eastAsia="仿宋_GB2312"/>
                <w:b/>
                <w:bCs/>
                <w:color w:val="auto"/>
                <w:sz w:val="24"/>
                <w:highlight w:val="none"/>
                <w:lang w:val="en-US" w:eastAsia="zh-CN"/>
              </w:rPr>
              <w:t>食品用原料</w:t>
            </w:r>
            <w:r>
              <w:rPr>
                <w:rFonts w:hint="default" w:eastAsia="仿宋_GB2312"/>
                <w:b/>
                <w:bCs/>
                <w:color w:val="auto"/>
                <w:sz w:val="24"/>
                <w:highlight w:val="none"/>
                <w:lang w:val="zh-CN"/>
              </w:rPr>
              <w:t>物料平衡</w:t>
            </w:r>
          </w:p>
          <w:p w14:paraId="1A465725">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fldChar w:fldCharType="begin"/>
            </w:r>
            <w:r>
              <w:rPr>
                <w:rFonts w:hint="default" w:eastAsia="仿宋_GB2312"/>
                <w:b/>
                <w:color w:val="auto"/>
                <w:sz w:val="24"/>
                <w:lang w:val="zh-CN"/>
              </w:rPr>
              <w:instrText xml:space="preserve"> = 1 \* GB3 </w:instrText>
            </w:r>
            <w:r>
              <w:rPr>
                <w:rFonts w:hint="default" w:eastAsia="仿宋_GB2312"/>
                <w:b/>
                <w:color w:val="auto"/>
                <w:sz w:val="24"/>
                <w:lang w:val="zh-CN"/>
              </w:rPr>
              <w:fldChar w:fldCharType="separate"/>
            </w:r>
            <w:r>
              <w:rPr>
                <w:rFonts w:hint="default"/>
                <w:b/>
                <w:color w:val="auto"/>
                <w:sz w:val="24"/>
                <w:lang w:val="zh-CN"/>
              </w:rPr>
              <w:t>①</w:t>
            </w:r>
            <w:r>
              <w:rPr>
                <w:rFonts w:hint="default" w:eastAsia="仿宋_GB2312"/>
                <w:b/>
                <w:color w:val="auto"/>
                <w:sz w:val="24"/>
                <w:lang w:val="zh-CN"/>
              </w:rPr>
              <w:fldChar w:fldCharType="end"/>
            </w:r>
            <w:r>
              <w:rPr>
                <w:rFonts w:hint="default" w:eastAsia="仿宋_GB2312"/>
                <w:b/>
                <w:color w:val="auto"/>
                <w:sz w:val="24"/>
                <w:lang w:val="zh-CN"/>
              </w:rPr>
              <w:t>原辅材料用量</w:t>
            </w:r>
          </w:p>
          <w:p w14:paraId="6F47F8EC">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表2-1</w:t>
            </w:r>
            <w:r>
              <w:rPr>
                <w:rFonts w:hint="eastAsia" w:eastAsia="仿宋_GB2312" w:cs="Times New Roman"/>
                <w:b/>
                <w:color w:val="auto"/>
                <w:sz w:val="22"/>
                <w:szCs w:val="22"/>
                <w:lang w:val="en-US" w:eastAsia="zh-CN"/>
              </w:rPr>
              <w:t>1</w:t>
            </w:r>
            <w:r>
              <w:rPr>
                <w:rFonts w:hint="default" w:ascii="Times New Roman" w:hAnsi="Times New Roman" w:eastAsia="仿宋_GB2312" w:cs="Times New Roman"/>
                <w:b/>
                <w:color w:val="auto"/>
                <w:sz w:val="22"/>
                <w:szCs w:val="22"/>
              </w:rPr>
              <w:t xml:space="preserve">  年产600kg食品用原料</w:t>
            </w:r>
            <w:r>
              <w:rPr>
                <w:rFonts w:hint="eastAsia" w:eastAsia="仿宋_GB2312" w:cs="Times New Roman"/>
                <w:b/>
                <w:color w:val="auto"/>
                <w:sz w:val="22"/>
                <w:szCs w:val="22"/>
                <w:lang w:eastAsia="zh-CN"/>
              </w:rPr>
              <w:t>（</w:t>
            </w:r>
            <w:r>
              <w:rPr>
                <w:rFonts w:hint="default" w:ascii="Times New Roman" w:hAnsi="Times New Roman" w:eastAsia="仿宋_GB2312" w:cs="Times New Roman"/>
                <w:b/>
                <w:color w:val="auto"/>
                <w:sz w:val="22"/>
                <w:szCs w:val="22"/>
              </w:rPr>
              <w:t>γ-氨基丁酸</w:t>
            </w:r>
            <w:r>
              <w:rPr>
                <w:rFonts w:hint="eastAsia" w:eastAsia="仿宋_GB2312" w:cs="Times New Roman"/>
                <w:b/>
                <w:color w:val="auto"/>
                <w:sz w:val="22"/>
                <w:szCs w:val="22"/>
                <w:lang w:eastAsia="zh-CN"/>
              </w:rPr>
              <w:t>）</w:t>
            </w:r>
            <w:r>
              <w:rPr>
                <w:rFonts w:hint="default" w:ascii="Times New Roman" w:hAnsi="Times New Roman" w:eastAsia="仿宋_GB2312" w:cs="Times New Roman"/>
                <w:b/>
                <w:color w:val="auto"/>
                <w:sz w:val="22"/>
                <w:szCs w:val="22"/>
              </w:rPr>
              <w:t>原辅材料用量情况表</w:t>
            </w:r>
          </w:p>
          <w:tbl>
            <w:tblPr>
              <w:tblStyle w:val="1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07"/>
              <w:gridCol w:w="1198"/>
              <w:gridCol w:w="984"/>
              <w:gridCol w:w="947"/>
              <w:gridCol w:w="1219"/>
              <w:gridCol w:w="890"/>
              <w:gridCol w:w="882"/>
              <w:gridCol w:w="872"/>
              <w:gridCol w:w="1013"/>
            </w:tblGrid>
            <w:tr w14:paraId="60360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41B9E68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bookmarkStart w:id="15" w:name="OLE_LINK34"/>
                  <w:r>
                    <w:rPr>
                      <w:rFonts w:hint="eastAsia" w:ascii="Times New Roman" w:hAnsi="Times New Roman"/>
                      <w:b/>
                      <w:color w:val="auto"/>
                    </w:rPr>
                    <w:t>序号</w:t>
                  </w:r>
                </w:p>
              </w:tc>
              <w:tc>
                <w:tcPr>
                  <w:tcW w:w="712" w:type="pct"/>
                  <w:noWrap/>
                  <w:tcMar>
                    <w:left w:w="57" w:type="dxa"/>
                    <w:right w:w="57" w:type="dxa"/>
                  </w:tcMar>
                  <w:vAlign w:val="center"/>
                </w:tcPr>
                <w:p w14:paraId="536693F1">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名称</w:t>
                  </w:r>
                </w:p>
              </w:tc>
              <w:tc>
                <w:tcPr>
                  <w:tcW w:w="584" w:type="pct"/>
                  <w:vAlign w:val="center"/>
                </w:tcPr>
                <w:p w14:paraId="601406D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规格</w:t>
                  </w:r>
                </w:p>
              </w:tc>
              <w:tc>
                <w:tcPr>
                  <w:tcW w:w="562" w:type="pct"/>
                  <w:noWrap/>
                  <w:tcMar>
                    <w:left w:w="57" w:type="dxa"/>
                    <w:right w:w="57" w:type="dxa"/>
                  </w:tcMar>
                  <w:vAlign w:val="center"/>
                </w:tcPr>
                <w:p w14:paraId="57943DA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形态</w:t>
                  </w:r>
                </w:p>
              </w:tc>
              <w:tc>
                <w:tcPr>
                  <w:tcW w:w="724" w:type="pct"/>
                  <w:vAlign w:val="center"/>
                </w:tcPr>
                <w:p w14:paraId="20A99B0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单耗</w:t>
                  </w:r>
                </w:p>
                <w:p w14:paraId="33A05C7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(kg/</w:t>
                  </w:r>
                  <w:r>
                    <w:rPr>
                      <w:rFonts w:hint="eastAsia" w:ascii="Times New Roman" w:hAnsi="Times New Roman"/>
                      <w:b/>
                      <w:color w:val="auto"/>
                      <w:lang w:val="en-US"/>
                    </w:rPr>
                    <w:t>kg</w:t>
                  </w:r>
                  <w:r>
                    <w:rPr>
                      <w:rFonts w:hint="eastAsia" w:ascii="Times New Roman" w:hAnsi="Times New Roman"/>
                      <w:b/>
                      <w:color w:val="auto"/>
                    </w:rPr>
                    <w:t>产品)</w:t>
                  </w:r>
                </w:p>
              </w:tc>
              <w:tc>
                <w:tcPr>
                  <w:tcW w:w="529" w:type="pct"/>
                  <w:vAlign w:val="center"/>
                </w:tcPr>
                <w:p w14:paraId="2F47D2EB">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b/>
                      <w:color w:val="auto"/>
                    </w:rPr>
                  </w:pPr>
                  <w:r>
                    <w:rPr>
                      <w:rFonts w:hint="eastAsia" w:ascii="Times New Roman" w:hAnsi="Times New Roman"/>
                      <w:b/>
                      <w:color w:val="auto"/>
                    </w:rPr>
                    <w:t>年用量</w:t>
                  </w:r>
                </w:p>
                <w:p w14:paraId="14B238B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(t/a)</w:t>
                  </w:r>
                </w:p>
              </w:tc>
              <w:tc>
                <w:tcPr>
                  <w:tcW w:w="524" w:type="pct"/>
                  <w:noWrap/>
                  <w:tcMar>
                    <w:left w:w="57" w:type="dxa"/>
                    <w:right w:w="57" w:type="dxa"/>
                  </w:tcMar>
                  <w:vAlign w:val="center"/>
                </w:tcPr>
                <w:p w14:paraId="30157DE1">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包装方式及规格</w:t>
                  </w:r>
                </w:p>
              </w:tc>
              <w:tc>
                <w:tcPr>
                  <w:tcW w:w="518" w:type="pct"/>
                  <w:noWrap/>
                  <w:tcMar>
                    <w:left w:w="57" w:type="dxa"/>
                    <w:right w:w="57" w:type="dxa"/>
                  </w:tcMar>
                  <w:vAlign w:val="center"/>
                </w:tcPr>
                <w:p w14:paraId="307E0AC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来源及</w:t>
                  </w:r>
                </w:p>
                <w:p w14:paraId="1C8A083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b/>
                      <w:color w:val="auto"/>
                    </w:rPr>
                  </w:pPr>
                  <w:r>
                    <w:rPr>
                      <w:rFonts w:hint="eastAsia" w:ascii="Times New Roman" w:hAnsi="Times New Roman"/>
                      <w:b/>
                      <w:color w:val="auto"/>
                    </w:rPr>
                    <w:t>运输</w:t>
                  </w:r>
                </w:p>
              </w:tc>
              <w:tc>
                <w:tcPr>
                  <w:tcW w:w="602" w:type="pct"/>
                  <w:vAlign w:val="center"/>
                </w:tcPr>
                <w:p w14:paraId="249B093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存储位置</w:t>
                  </w:r>
                </w:p>
              </w:tc>
            </w:tr>
            <w:tr w14:paraId="78A26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241" w:type="pct"/>
                  <w:noWrap/>
                  <w:tcMar>
                    <w:left w:w="57" w:type="dxa"/>
                    <w:right w:w="57" w:type="dxa"/>
                  </w:tcMar>
                  <w:vAlign w:val="center"/>
                </w:tcPr>
                <w:p w14:paraId="5A5B1D4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Calibri"/>
                      <w:color w:val="auto"/>
                      <w:kern w:val="0"/>
                      <w:sz w:val="21"/>
                      <w:szCs w:val="21"/>
                      <w:lang w:val="en-US" w:eastAsia="zh-CN" w:bidi="ar-SA"/>
                    </w:rPr>
                  </w:pPr>
                  <w:r>
                    <w:rPr>
                      <w:rFonts w:hint="eastAsia" w:ascii="Times New Roman" w:hAnsi="Times New Roman" w:cs="Calibri"/>
                      <w:color w:val="auto"/>
                      <w:kern w:val="0"/>
                      <w:sz w:val="21"/>
                      <w:szCs w:val="21"/>
                      <w:lang w:val="en-US" w:eastAsia="zh-CN" w:bidi="ar-SA"/>
                    </w:rPr>
                    <w:t>1</w:t>
                  </w:r>
                </w:p>
              </w:tc>
              <w:tc>
                <w:tcPr>
                  <w:tcW w:w="712" w:type="pct"/>
                  <w:noWrap/>
                  <w:tcMar>
                    <w:left w:w="57" w:type="dxa"/>
                    <w:right w:w="57" w:type="dxa"/>
                  </w:tcMar>
                  <w:vAlign w:val="center"/>
                </w:tcPr>
                <w:p w14:paraId="0B915C76">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default" w:ascii="Times New Roman" w:hAnsi="Times New Roman" w:eastAsia="仿宋_GB2312" w:cs="Calibri"/>
                      <w:color w:val="auto"/>
                      <w:kern w:val="0"/>
                      <w:sz w:val="21"/>
                      <w:szCs w:val="21"/>
                      <w:lang w:val="zh-CN" w:eastAsia="zh-CN" w:bidi="ar-SA"/>
                    </w:rPr>
                  </w:pPr>
                  <w:r>
                    <w:rPr>
                      <w:rFonts w:hint="default" w:ascii="Times New Roman" w:hAnsi="Times New Roman" w:cs="Calibri"/>
                      <w:color w:val="auto"/>
                      <w:szCs w:val="21"/>
                    </w:rPr>
                    <w:t>鼠李糖乳杆菌SHBCC D25162</w:t>
                  </w:r>
                </w:p>
              </w:tc>
              <w:tc>
                <w:tcPr>
                  <w:tcW w:w="584" w:type="pct"/>
                  <w:vAlign w:val="center"/>
                </w:tcPr>
                <w:p w14:paraId="2DA3F0D2">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default" w:ascii="Times New Roman" w:hAnsi="Times New Roman" w:eastAsia="仿宋_GB2312" w:cs="Calibri"/>
                      <w:color w:val="auto"/>
                      <w:kern w:val="0"/>
                      <w:sz w:val="21"/>
                      <w:szCs w:val="21"/>
                      <w:lang w:val="en-US" w:eastAsia="zh-CN" w:bidi="ar-SA"/>
                    </w:rPr>
                  </w:pPr>
                  <w:r>
                    <w:rPr>
                      <w:rFonts w:hint="eastAsia" w:ascii="Times New Roman" w:hAnsi="Times New Roman" w:cs="Calibri"/>
                      <w:color w:val="auto"/>
                      <w:szCs w:val="21"/>
                      <w:lang w:val="en-US" w:eastAsia="zh-CN"/>
                    </w:rPr>
                    <w:t>/</w:t>
                  </w:r>
                </w:p>
              </w:tc>
              <w:tc>
                <w:tcPr>
                  <w:tcW w:w="562" w:type="pct"/>
                  <w:noWrap/>
                  <w:tcMar>
                    <w:left w:w="57" w:type="dxa"/>
                    <w:right w:w="57" w:type="dxa"/>
                  </w:tcMar>
                  <w:vAlign w:val="center"/>
                </w:tcPr>
                <w:p w14:paraId="094093F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default" w:ascii="Times New Roman" w:hAnsi="Times New Roman" w:eastAsia="仿宋_GB2312" w:cs="Calibri"/>
                      <w:color w:val="auto"/>
                      <w:kern w:val="0"/>
                      <w:sz w:val="21"/>
                      <w:szCs w:val="21"/>
                      <w:lang w:val="zh-CN" w:eastAsia="zh-CN" w:bidi="ar-SA"/>
                    </w:rPr>
                  </w:pPr>
                  <w:r>
                    <w:rPr>
                      <w:rFonts w:hint="default" w:ascii="Times New Roman" w:hAnsi="Times New Roman" w:eastAsia="仿宋_GB2312" w:cs="Times New Roman"/>
                      <w:color w:val="auto"/>
                      <w:kern w:val="0"/>
                      <w:sz w:val="21"/>
                      <w:lang w:bidi="ar"/>
                    </w:rPr>
                    <w:t>液态</w:t>
                  </w:r>
                </w:p>
              </w:tc>
              <w:tc>
                <w:tcPr>
                  <w:tcW w:w="724" w:type="pct"/>
                  <w:vAlign w:val="center"/>
                </w:tcPr>
                <w:p w14:paraId="528F4F8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leftChars="0" w:right="0" w:rightChars="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0.084</w:t>
                  </w:r>
                </w:p>
              </w:tc>
              <w:tc>
                <w:tcPr>
                  <w:tcW w:w="529" w:type="pct"/>
                  <w:vAlign w:val="center"/>
                </w:tcPr>
                <w:p w14:paraId="4C44E3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leftChars="0" w:right="0" w:rightChars="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0.05</w:t>
                  </w:r>
                </w:p>
              </w:tc>
              <w:tc>
                <w:tcPr>
                  <w:tcW w:w="524" w:type="pct"/>
                  <w:noWrap/>
                  <w:tcMar>
                    <w:left w:w="57" w:type="dxa"/>
                    <w:right w:w="57" w:type="dxa"/>
                  </w:tcMar>
                  <w:vAlign w:val="center"/>
                </w:tcPr>
                <w:p w14:paraId="51E108DB">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default" w:ascii="Times New Roman" w:hAnsi="Times New Roman" w:eastAsia="仿宋_GB2312" w:cs="Calibri"/>
                      <w:color w:val="auto"/>
                      <w:kern w:val="0"/>
                      <w:sz w:val="21"/>
                      <w:szCs w:val="21"/>
                      <w:highlight w:val="none"/>
                      <w:lang w:val="en-US" w:eastAsia="zh-CN" w:bidi="ar-SA"/>
                    </w:rPr>
                  </w:pPr>
                  <w:r>
                    <w:rPr>
                      <w:rFonts w:hint="eastAsia" w:ascii="Times New Roman" w:hAnsi="Times New Roman" w:cs="Calibri"/>
                      <w:color w:val="auto"/>
                      <w:szCs w:val="21"/>
                      <w:highlight w:val="none"/>
                      <w:lang w:val="en-US" w:eastAsia="zh-CN"/>
                    </w:rPr>
                    <w:t>/</w:t>
                  </w:r>
                </w:p>
              </w:tc>
              <w:tc>
                <w:tcPr>
                  <w:tcW w:w="518" w:type="pct"/>
                  <w:vMerge w:val="restart"/>
                  <w:noWrap/>
                  <w:tcMar>
                    <w:left w:w="57" w:type="dxa"/>
                    <w:right w:w="57" w:type="dxa"/>
                  </w:tcMar>
                  <w:vAlign w:val="center"/>
                </w:tcPr>
                <w:p w14:paraId="4BA2DC0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highlight w:val="yellow"/>
                    </w:rPr>
                  </w:pPr>
                  <w:r>
                    <w:rPr>
                      <w:rFonts w:hint="eastAsia" w:ascii="Times New Roman" w:hAnsi="Times New Roman" w:cs="Calibri"/>
                      <w:color w:val="auto"/>
                      <w:szCs w:val="21"/>
                    </w:rPr>
                    <w:t>国内，汽运</w:t>
                  </w:r>
                </w:p>
              </w:tc>
              <w:tc>
                <w:tcPr>
                  <w:tcW w:w="602" w:type="pct"/>
                  <w:vAlign w:val="center"/>
                </w:tcPr>
                <w:p w14:paraId="46BE5E29">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s="Calibri"/>
                      <w:color w:val="auto"/>
                      <w:szCs w:val="21"/>
                      <w:highlight w:val="yellow"/>
                      <w:lang w:eastAsia="zh-CN"/>
                    </w:rPr>
                  </w:pPr>
                  <w:r>
                    <w:rPr>
                      <w:rFonts w:hint="eastAsia" w:ascii="Times New Roman" w:hAnsi="Times New Roman" w:cs="Calibri"/>
                      <w:color w:val="auto"/>
                      <w:szCs w:val="21"/>
                      <w:highlight w:val="none"/>
                      <w:lang w:eastAsia="zh-CN"/>
                    </w:rPr>
                    <w:t>菌种间</w:t>
                  </w:r>
                </w:p>
              </w:tc>
            </w:tr>
            <w:tr w14:paraId="1F340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241" w:type="pct"/>
                  <w:noWrap/>
                  <w:tcMar>
                    <w:left w:w="57" w:type="dxa"/>
                    <w:right w:w="57" w:type="dxa"/>
                  </w:tcMar>
                  <w:vAlign w:val="center"/>
                </w:tcPr>
                <w:p w14:paraId="5551B5AB">
                  <w:pPr>
                    <w:pStyle w:val="165"/>
                    <w:keepNext w:val="0"/>
                    <w:keepLines w:val="0"/>
                    <w:widowControl w:val="0"/>
                    <w:suppressLineNumbers w:val="0"/>
                    <w:snapToGrid w:val="0"/>
                    <w:spacing w:before="0" w:beforeAutospacing="0" w:after="0" w:afterAutospacing="0" w:line="320" w:lineRule="exact"/>
                    <w:ind w:left="0" w:leftChars="0" w:right="0" w:rightChars="0"/>
                    <w:rPr>
                      <w:rFonts w:hint="eastAsia" w:ascii="Times New Roman" w:hAnsi="Times New Roman" w:eastAsia="仿宋_GB2312" w:cs="Calibri"/>
                      <w:color w:val="auto"/>
                      <w:kern w:val="0"/>
                      <w:sz w:val="21"/>
                      <w:szCs w:val="21"/>
                      <w:highlight w:val="none"/>
                      <w:lang w:val="en-US" w:eastAsia="zh-CN" w:bidi="ar-SA"/>
                    </w:rPr>
                  </w:pPr>
                  <w:r>
                    <w:rPr>
                      <w:rFonts w:hint="eastAsia" w:ascii="Times New Roman" w:hAnsi="Times New Roman" w:cs="Calibri"/>
                      <w:color w:val="auto"/>
                      <w:szCs w:val="21"/>
                      <w:highlight w:val="none"/>
                    </w:rPr>
                    <w:t>2</w:t>
                  </w:r>
                </w:p>
              </w:tc>
              <w:tc>
                <w:tcPr>
                  <w:tcW w:w="712" w:type="pct"/>
                  <w:noWrap/>
                  <w:tcMar>
                    <w:left w:w="57" w:type="dxa"/>
                    <w:right w:w="57" w:type="dxa"/>
                  </w:tcMar>
                  <w:vAlign w:val="center"/>
                </w:tcPr>
                <w:p w14:paraId="21214FC5">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default" w:ascii="Times New Roman" w:hAnsi="Times New Roman" w:eastAsia="仿宋_GB2312" w:cs="Calibri"/>
                      <w:color w:val="auto"/>
                      <w:kern w:val="0"/>
                      <w:sz w:val="21"/>
                      <w:szCs w:val="21"/>
                      <w:highlight w:val="none"/>
                      <w:lang w:val="en-US" w:eastAsia="zh-CN" w:bidi="ar-SA"/>
                    </w:rPr>
                  </w:pPr>
                  <w:r>
                    <w:rPr>
                      <w:rFonts w:hint="default" w:ascii="Times New Roman" w:hAnsi="Times New Roman" w:cs="Calibri"/>
                      <w:color w:val="auto"/>
                      <w:szCs w:val="21"/>
                      <w:highlight w:val="none"/>
                    </w:rPr>
                    <w:t>葡萄糖</w:t>
                  </w:r>
                  <w:r>
                    <w:rPr>
                      <w:rFonts w:hint="eastAsia" w:ascii="Times New Roman" w:hAnsi="Times New Roman" w:cs="Calibri"/>
                      <w:color w:val="auto"/>
                      <w:szCs w:val="21"/>
                      <w:highlight w:val="none"/>
                      <w:lang w:eastAsia="zh-CN"/>
                    </w:rPr>
                    <w:t>溶液</w:t>
                  </w:r>
                  <w:r>
                    <w:rPr>
                      <w:rFonts w:hint="eastAsia" w:ascii="Times New Roman" w:hAnsi="Times New Roman" w:cs="Calibri"/>
                      <w:color w:val="auto"/>
                      <w:szCs w:val="21"/>
                      <w:highlight w:val="none"/>
                      <w:lang w:val="en-US" w:eastAsia="zh-CN"/>
                    </w:rPr>
                    <w:t xml:space="preserve"> </w:t>
                  </w:r>
                </w:p>
              </w:tc>
              <w:tc>
                <w:tcPr>
                  <w:tcW w:w="984" w:type="dxa"/>
                  <w:vAlign w:val="center"/>
                </w:tcPr>
                <w:p w14:paraId="6A557D38">
                  <w:pPr>
                    <w:keepNext w:val="0"/>
                    <w:keepLines w:val="0"/>
                    <w:widowControl w:val="0"/>
                    <w:suppressLineNumbers w:val="0"/>
                    <w:spacing w:before="0" w:beforeAutospacing="0" w:after="0" w:afterAutospacing="0" w:line="240" w:lineRule="exact"/>
                    <w:ind w:left="0" w:leftChars="0" w:right="0" w:rightChars="0"/>
                    <w:jc w:val="center"/>
                    <w:rPr>
                      <w:rFonts w:hint="eastAsia" w:ascii="Times New Roman" w:hAnsi="Times New Roman" w:eastAsia="仿宋_GB2312" w:cs="Calibri"/>
                      <w:color w:val="auto"/>
                      <w:kern w:val="0"/>
                      <w:sz w:val="21"/>
                      <w:szCs w:val="21"/>
                      <w:highlight w:val="none"/>
                      <w:lang w:val="en-US" w:eastAsia="zh-CN" w:bidi="ar-SA"/>
                    </w:rPr>
                  </w:pPr>
                  <w:r>
                    <w:rPr>
                      <w:rFonts w:hint="eastAsia" w:eastAsia="仿宋_GB2312" w:cs="Times New Roman"/>
                      <w:color w:val="auto"/>
                      <w:kern w:val="0"/>
                      <w:sz w:val="21"/>
                      <w:lang w:val="en-US" w:eastAsia="zh-CN" w:bidi="ar"/>
                    </w:rPr>
                    <w:t>60</w:t>
                  </w:r>
                  <w:r>
                    <w:rPr>
                      <w:rFonts w:hint="default" w:ascii="Times New Roman" w:hAnsi="Times New Roman" w:eastAsia="仿宋_GB2312" w:cs="Times New Roman"/>
                      <w:color w:val="auto"/>
                      <w:kern w:val="0"/>
                      <w:sz w:val="21"/>
                      <w:lang w:bidi="ar"/>
                    </w:rPr>
                    <w:t>%</w:t>
                  </w:r>
                </w:p>
              </w:tc>
              <w:tc>
                <w:tcPr>
                  <w:tcW w:w="947" w:type="dxa"/>
                  <w:noWrap/>
                  <w:tcMar>
                    <w:left w:w="57" w:type="dxa"/>
                    <w:right w:w="57" w:type="dxa"/>
                  </w:tcMar>
                  <w:vAlign w:val="center"/>
                </w:tcPr>
                <w:p w14:paraId="7FAE71D5">
                  <w:pPr>
                    <w:keepNext w:val="0"/>
                    <w:keepLines w:val="0"/>
                    <w:widowControl w:val="0"/>
                    <w:suppressLineNumbers w:val="0"/>
                    <w:spacing w:before="0" w:beforeAutospacing="0" w:after="0" w:afterAutospacing="0" w:line="240" w:lineRule="exact"/>
                    <w:ind w:left="0" w:leftChars="0" w:right="0" w:rightChars="0"/>
                    <w:jc w:val="center"/>
                    <w:rPr>
                      <w:rFonts w:hint="eastAsia" w:ascii="Times New Roman" w:hAnsi="Times New Roman" w:eastAsia="仿宋_GB2312" w:cs="Calibri"/>
                      <w:color w:val="auto"/>
                      <w:kern w:val="0"/>
                      <w:sz w:val="21"/>
                      <w:szCs w:val="21"/>
                      <w:highlight w:val="none"/>
                      <w:lang w:val="zh-CN" w:eastAsia="zh-CN" w:bidi="ar-SA"/>
                    </w:rPr>
                  </w:pPr>
                  <w:r>
                    <w:rPr>
                      <w:rFonts w:hint="default" w:ascii="Times New Roman" w:hAnsi="Times New Roman" w:eastAsia="仿宋_GB2312" w:cs="Times New Roman"/>
                      <w:color w:val="auto"/>
                      <w:kern w:val="0"/>
                      <w:sz w:val="21"/>
                      <w:lang w:bidi="ar"/>
                    </w:rPr>
                    <w:t>液态</w:t>
                  </w:r>
                </w:p>
              </w:tc>
              <w:tc>
                <w:tcPr>
                  <w:tcW w:w="1219" w:type="dxa"/>
                  <w:vAlign w:val="center"/>
                </w:tcPr>
                <w:p w14:paraId="676423CD">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等线" w:cs="Calibri"/>
                      <w:color w:val="auto"/>
                      <w:kern w:val="0"/>
                      <w:sz w:val="21"/>
                      <w:szCs w:val="21"/>
                      <w:highlight w:val="yellow"/>
                      <w:lang w:val="en-US" w:eastAsia="zh-CN" w:bidi="ar-SA"/>
                    </w:rPr>
                  </w:pPr>
                  <w:r>
                    <w:rPr>
                      <w:rFonts w:hint="eastAsia" w:eastAsia="仿宋_GB2312" w:cs="Times New Roman"/>
                      <w:color w:val="auto"/>
                      <w:kern w:val="0"/>
                      <w:sz w:val="21"/>
                      <w:lang w:val="en-US" w:eastAsia="zh-CN" w:bidi="ar"/>
                    </w:rPr>
                    <w:t>4.2456</w:t>
                  </w:r>
                </w:p>
              </w:tc>
              <w:tc>
                <w:tcPr>
                  <w:tcW w:w="890" w:type="dxa"/>
                  <w:vAlign w:val="center"/>
                </w:tcPr>
                <w:p w14:paraId="135D5C73">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等线" w:cs="Calibri"/>
                      <w:color w:val="auto"/>
                      <w:kern w:val="0"/>
                      <w:sz w:val="21"/>
                      <w:szCs w:val="21"/>
                      <w:highlight w:val="yellow"/>
                      <w:lang w:val="en-US" w:eastAsia="zh-CN" w:bidi="ar-SA"/>
                    </w:rPr>
                  </w:pPr>
                  <w:r>
                    <w:rPr>
                      <w:rFonts w:hint="eastAsia" w:eastAsia="仿宋_GB2312" w:cs="Times New Roman"/>
                      <w:color w:val="auto"/>
                      <w:kern w:val="0"/>
                      <w:sz w:val="21"/>
                      <w:lang w:val="en-US" w:eastAsia="zh-CN" w:bidi="ar"/>
                    </w:rPr>
                    <w:t>2.1228</w:t>
                  </w:r>
                </w:p>
              </w:tc>
              <w:tc>
                <w:tcPr>
                  <w:tcW w:w="524" w:type="pct"/>
                  <w:noWrap/>
                  <w:tcMar>
                    <w:left w:w="57" w:type="dxa"/>
                    <w:right w:w="57" w:type="dxa"/>
                  </w:tcMar>
                  <w:vAlign w:val="center"/>
                </w:tcPr>
                <w:p w14:paraId="668EF5B9">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textAlignment w:val="auto"/>
                    <w:rPr>
                      <w:rFonts w:hint="eastAsia" w:ascii="Times New Roman" w:hAnsi="Times New Roman" w:eastAsia="仿宋_GB2312" w:cs="Calibri"/>
                      <w:color w:val="auto"/>
                      <w:kern w:val="0"/>
                      <w:sz w:val="21"/>
                      <w:szCs w:val="21"/>
                      <w:highlight w:val="none"/>
                      <w:lang w:val="en-US" w:eastAsia="zh-CN" w:bidi="ar-SA"/>
                    </w:rPr>
                  </w:pPr>
                  <w:r>
                    <w:rPr>
                      <w:rFonts w:hint="eastAsia" w:ascii="Times New Roman" w:hAnsi="Times New Roman" w:cs="Calibri"/>
                      <w:color w:val="auto"/>
                      <w:szCs w:val="21"/>
                      <w:highlight w:val="none"/>
                    </w:rPr>
                    <w:t>桶装，25 kg</w:t>
                  </w:r>
                </w:p>
              </w:tc>
              <w:tc>
                <w:tcPr>
                  <w:tcW w:w="518" w:type="pct"/>
                  <w:vMerge w:val="continue"/>
                  <w:noWrap/>
                  <w:tcMar>
                    <w:left w:w="57" w:type="dxa"/>
                    <w:right w:w="57" w:type="dxa"/>
                  </w:tcMar>
                  <w:vAlign w:val="center"/>
                </w:tcPr>
                <w:p w14:paraId="79B977CB">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cs="Calibri"/>
                      <w:color w:val="auto"/>
                      <w:szCs w:val="21"/>
                    </w:rPr>
                  </w:pPr>
                </w:p>
              </w:tc>
              <w:tc>
                <w:tcPr>
                  <w:tcW w:w="602" w:type="pct"/>
                  <w:vMerge w:val="restart"/>
                  <w:vAlign w:val="center"/>
                </w:tcPr>
                <w:p w14:paraId="041FE55F">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s="Calibri"/>
                      <w:color w:val="auto"/>
                      <w:szCs w:val="21"/>
                      <w:highlight w:val="none"/>
                      <w:lang w:eastAsia="zh-CN"/>
                    </w:rPr>
                  </w:pPr>
                  <w:r>
                    <w:rPr>
                      <w:rFonts w:hint="eastAsia" w:ascii="Times New Roman" w:hAnsi="Times New Roman" w:cs="Calibri"/>
                      <w:color w:val="auto"/>
                      <w:szCs w:val="21"/>
                      <w:highlight w:val="none"/>
                      <w:lang w:eastAsia="zh-CN"/>
                    </w:rPr>
                    <w:t>常温库</w:t>
                  </w:r>
                </w:p>
              </w:tc>
            </w:tr>
            <w:tr w14:paraId="6FD0E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15626FD8">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cs="Calibri"/>
                      <w:color w:val="auto"/>
                      <w:szCs w:val="21"/>
                    </w:rPr>
                    <w:t>3</w:t>
                  </w:r>
                </w:p>
              </w:tc>
              <w:tc>
                <w:tcPr>
                  <w:tcW w:w="712" w:type="pct"/>
                  <w:noWrap/>
                  <w:tcMar>
                    <w:left w:w="57" w:type="dxa"/>
                    <w:right w:w="57" w:type="dxa"/>
                  </w:tcMar>
                  <w:vAlign w:val="center"/>
                </w:tcPr>
                <w:p w14:paraId="0027D18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酵母粉</w:t>
                  </w:r>
                  <w:r>
                    <w:rPr>
                      <w:rFonts w:hint="eastAsia" w:ascii="Times New Roman" w:hAnsi="Times New Roman" w:cs="Calibri"/>
                      <w:color w:val="auto"/>
                      <w:szCs w:val="21"/>
                    </w:rPr>
                    <w:t>（主要成分：氨基酸、维生素、微量元素如Fe</w:t>
                  </w:r>
                  <w:r>
                    <w:rPr>
                      <w:rFonts w:hint="default" w:ascii="Times New Roman" w:hAnsi="Times New Roman" w:cs="Calibri"/>
                      <w:color w:val="auto"/>
                      <w:szCs w:val="21"/>
                      <w:vertAlign w:val="superscript"/>
                    </w:rPr>
                    <w:t>2+</w:t>
                  </w:r>
                  <w:r>
                    <w:rPr>
                      <w:rFonts w:hint="eastAsia" w:ascii="Times New Roman" w:hAnsi="Times New Roman" w:cs="Calibri"/>
                      <w:color w:val="auto"/>
                      <w:szCs w:val="21"/>
                    </w:rPr>
                    <w:t>等）</w:t>
                  </w:r>
                </w:p>
              </w:tc>
              <w:tc>
                <w:tcPr>
                  <w:tcW w:w="584" w:type="pct"/>
                  <w:vAlign w:val="center"/>
                </w:tcPr>
                <w:p w14:paraId="361DA42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99%</w:t>
                  </w:r>
                </w:p>
              </w:tc>
              <w:tc>
                <w:tcPr>
                  <w:tcW w:w="562" w:type="pct"/>
                  <w:noWrap/>
                  <w:tcMar>
                    <w:left w:w="57" w:type="dxa"/>
                    <w:right w:w="57" w:type="dxa"/>
                  </w:tcMar>
                  <w:vAlign w:val="center"/>
                </w:tcPr>
                <w:p w14:paraId="3D99379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粉状</w:t>
                  </w:r>
                </w:p>
              </w:tc>
              <w:tc>
                <w:tcPr>
                  <w:tcW w:w="724" w:type="pct"/>
                  <w:vAlign w:val="center"/>
                </w:tcPr>
                <w:p w14:paraId="63C91DC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0.25 </w:t>
                  </w:r>
                </w:p>
              </w:tc>
              <w:tc>
                <w:tcPr>
                  <w:tcW w:w="529" w:type="pct"/>
                  <w:vAlign w:val="center"/>
                </w:tcPr>
                <w:p w14:paraId="7DC421C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0.1519</w:t>
                  </w:r>
                </w:p>
              </w:tc>
              <w:tc>
                <w:tcPr>
                  <w:tcW w:w="524" w:type="pct"/>
                  <w:noWrap/>
                  <w:tcMar>
                    <w:left w:w="57" w:type="dxa"/>
                    <w:right w:w="57" w:type="dxa"/>
                  </w:tcMar>
                  <w:vAlign w:val="center"/>
                </w:tcPr>
                <w:p w14:paraId="46CDC5A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桶装，25 kg</w:t>
                  </w:r>
                </w:p>
              </w:tc>
              <w:tc>
                <w:tcPr>
                  <w:tcW w:w="518" w:type="pct"/>
                  <w:vMerge w:val="continue"/>
                  <w:noWrap/>
                  <w:tcMar>
                    <w:left w:w="57" w:type="dxa"/>
                    <w:right w:w="57" w:type="dxa"/>
                  </w:tcMar>
                  <w:vAlign w:val="center"/>
                </w:tcPr>
                <w:p w14:paraId="5284CB4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30ACCDA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78391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0429DA5C">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color w:val="auto"/>
                    </w:rPr>
                    <w:t>4</w:t>
                  </w:r>
                </w:p>
              </w:tc>
              <w:tc>
                <w:tcPr>
                  <w:tcW w:w="712" w:type="pct"/>
                  <w:noWrap/>
                  <w:tcMar>
                    <w:left w:w="57" w:type="dxa"/>
                    <w:right w:w="57" w:type="dxa"/>
                  </w:tcMar>
                  <w:vAlign w:val="center"/>
                </w:tcPr>
                <w:p w14:paraId="1B9CBD06">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蛋白胨</w:t>
                  </w:r>
                </w:p>
              </w:tc>
              <w:tc>
                <w:tcPr>
                  <w:tcW w:w="584" w:type="pct"/>
                  <w:vAlign w:val="center"/>
                </w:tcPr>
                <w:p w14:paraId="37B7AB4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99%</w:t>
                  </w:r>
                </w:p>
              </w:tc>
              <w:tc>
                <w:tcPr>
                  <w:tcW w:w="562" w:type="pct"/>
                  <w:noWrap/>
                  <w:tcMar>
                    <w:left w:w="57" w:type="dxa"/>
                    <w:right w:w="57" w:type="dxa"/>
                  </w:tcMar>
                  <w:vAlign w:val="center"/>
                </w:tcPr>
                <w:p w14:paraId="6B89B32A">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粉状</w:t>
                  </w:r>
                </w:p>
              </w:tc>
              <w:tc>
                <w:tcPr>
                  <w:tcW w:w="724" w:type="pct"/>
                  <w:vAlign w:val="center"/>
                </w:tcPr>
                <w:p w14:paraId="56EFCE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0.35 </w:t>
                  </w:r>
                </w:p>
              </w:tc>
              <w:tc>
                <w:tcPr>
                  <w:tcW w:w="529" w:type="pct"/>
                  <w:vAlign w:val="center"/>
                </w:tcPr>
                <w:p w14:paraId="2E1B776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0.2088</w:t>
                  </w:r>
                </w:p>
              </w:tc>
              <w:tc>
                <w:tcPr>
                  <w:tcW w:w="524" w:type="pct"/>
                  <w:noWrap/>
                  <w:tcMar>
                    <w:left w:w="57" w:type="dxa"/>
                    <w:right w:w="57" w:type="dxa"/>
                  </w:tcMar>
                  <w:vAlign w:val="center"/>
                </w:tcPr>
                <w:p w14:paraId="421424A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桶装，25 kg</w:t>
                  </w:r>
                </w:p>
              </w:tc>
              <w:tc>
                <w:tcPr>
                  <w:tcW w:w="518" w:type="pct"/>
                  <w:vMerge w:val="continue"/>
                  <w:noWrap/>
                  <w:tcMar>
                    <w:left w:w="57" w:type="dxa"/>
                    <w:right w:w="57" w:type="dxa"/>
                  </w:tcMar>
                  <w:vAlign w:val="center"/>
                </w:tcPr>
                <w:p w14:paraId="7B63E294">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7482645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02CD2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15C2C96C">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color w:val="auto"/>
                    </w:rPr>
                    <w:t>5</w:t>
                  </w:r>
                </w:p>
              </w:tc>
              <w:tc>
                <w:tcPr>
                  <w:tcW w:w="712" w:type="pct"/>
                  <w:noWrap/>
                  <w:tcMar>
                    <w:left w:w="57" w:type="dxa"/>
                    <w:right w:w="57" w:type="dxa"/>
                  </w:tcMar>
                  <w:vAlign w:val="center"/>
                </w:tcPr>
                <w:p w14:paraId="7AFC4AE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eastAsia="仿宋_GB2312" w:cs="Calibri"/>
                      <w:color w:val="auto"/>
                      <w:szCs w:val="21"/>
                      <w:highlight w:val="none"/>
                      <w:lang w:val="en-US" w:eastAsia="zh-CN"/>
                    </w:rPr>
                  </w:pPr>
                  <w:r>
                    <w:rPr>
                      <w:rFonts w:hint="eastAsia" w:ascii="Times New Roman" w:hAnsi="Times New Roman" w:cs="Calibri"/>
                      <w:color w:val="auto"/>
                      <w:szCs w:val="21"/>
                      <w:highlight w:val="none"/>
                      <w:lang w:val="en-US" w:eastAsia="zh-CN"/>
                    </w:rPr>
                    <w:t>牛肉膏</w:t>
                  </w:r>
                </w:p>
              </w:tc>
              <w:tc>
                <w:tcPr>
                  <w:tcW w:w="584" w:type="pct"/>
                  <w:vAlign w:val="center"/>
                </w:tcPr>
                <w:p w14:paraId="027B929F">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highlight w:val="none"/>
                    </w:rPr>
                  </w:pPr>
                  <w:r>
                    <w:rPr>
                      <w:rFonts w:hint="eastAsia" w:ascii="Times New Roman" w:hAnsi="Times New Roman" w:cs="Calibri"/>
                      <w:color w:val="auto"/>
                      <w:szCs w:val="21"/>
                      <w:highlight w:val="none"/>
                    </w:rPr>
                    <w:t>85</w:t>
                  </w:r>
                  <w:r>
                    <w:rPr>
                      <w:rFonts w:hint="default" w:ascii="Times New Roman" w:hAnsi="Times New Roman" w:cs="Calibri"/>
                      <w:color w:val="auto"/>
                      <w:szCs w:val="21"/>
                      <w:highlight w:val="none"/>
                    </w:rPr>
                    <w:t>%</w:t>
                  </w:r>
                </w:p>
              </w:tc>
              <w:tc>
                <w:tcPr>
                  <w:tcW w:w="562" w:type="pct"/>
                  <w:noWrap/>
                  <w:tcMar>
                    <w:left w:w="57" w:type="dxa"/>
                    <w:right w:w="57" w:type="dxa"/>
                  </w:tcMar>
                  <w:vAlign w:val="center"/>
                </w:tcPr>
                <w:p w14:paraId="0991214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eastAsia="仿宋_GB2312" w:cs="Calibri"/>
                      <w:color w:val="auto"/>
                      <w:szCs w:val="21"/>
                      <w:lang w:eastAsia="zh-CN"/>
                    </w:rPr>
                  </w:pPr>
                  <w:r>
                    <w:rPr>
                      <w:rFonts w:hint="eastAsia" w:ascii="Times New Roman" w:hAnsi="Times New Roman" w:cs="Calibri"/>
                      <w:color w:val="auto"/>
                      <w:szCs w:val="21"/>
                      <w:lang w:val="en-US" w:eastAsia="zh-CN"/>
                    </w:rPr>
                    <w:t>膏状</w:t>
                  </w:r>
                </w:p>
              </w:tc>
              <w:tc>
                <w:tcPr>
                  <w:tcW w:w="724" w:type="pct"/>
                  <w:vAlign w:val="center"/>
                </w:tcPr>
                <w:p w14:paraId="584CE7E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0.17 </w:t>
                  </w:r>
                </w:p>
              </w:tc>
              <w:tc>
                <w:tcPr>
                  <w:tcW w:w="529" w:type="pct"/>
                  <w:vAlign w:val="center"/>
                </w:tcPr>
                <w:p w14:paraId="7C74F3E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0.1048</w:t>
                  </w:r>
                </w:p>
              </w:tc>
              <w:tc>
                <w:tcPr>
                  <w:tcW w:w="524" w:type="pct"/>
                  <w:noWrap/>
                  <w:tcMar>
                    <w:left w:w="57" w:type="dxa"/>
                    <w:right w:w="57" w:type="dxa"/>
                  </w:tcMar>
                  <w:vAlign w:val="center"/>
                </w:tcPr>
                <w:p w14:paraId="0F3B507F">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桶装，25 kg</w:t>
                  </w:r>
                </w:p>
              </w:tc>
              <w:tc>
                <w:tcPr>
                  <w:tcW w:w="518" w:type="pct"/>
                  <w:vMerge w:val="continue"/>
                  <w:noWrap/>
                  <w:tcMar>
                    <w:left w:w="57" w:type="dxa"/>
                    <w:right w:w="57" w:type="dxa"/>
                  </w:tcMar>
                  <w:vAlign w:val="center"/>
                </w:tcPr>
                <w:p w14:paraId="43441159">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26F6B33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25EC5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305C51A1">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color w:val="auto"/>
                    </w:rPr>
                    <w:t>6</w:t>
                  </w:r>
                </w:p>
              </w:tc>
              <w:tc>
                <w:tcPr>
                  <w:tcW w:w="712" w:type="pct"/>
                  <w:noWrap/>
                  <w:tcMar>
                    <w:left w:w="57" w:type="dxa"/>
                    <w:right w:w="57" w:type="dxa"/>
                  </w:tcMar>
                  <w:vAlign w:val="center"/>
                </w:tcPr>
                <w:p w14:paraId="7C68F25A">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eastAsia="仿宋_GB2312" w:cs="Calibri"/>
                      <w:color w:val="auto"/>
                      <w:szCs w:val="21"/>
                      <w:lang w:eastAsia="zh-CN"/>
                    </w:rPr>
                  </w:pPr>
                  <w:r>
                    <w:rPr>
                      <w:rFonts w:hint="eastAsia" w:ascii="Times New Roman" w:hAnsi="Times New Roman" w:cs="Calibri"/>
                      <w:color w:val="auto"/>
                      <w:szCs w:val="21"/>
                      <w:lang w:val="en-US" w:eastAsia="zh-CN"/>
                    </w:rPr>
                    <w:t>乙酸钠</w:t>
                  </w:r>
                </w:p>
              </w:tc>
              <w:tc>
                <w:tcPr>
                  <w:tcW w:w="584" w:type="pct"/>
                  <w:vAlign w:val="center"/>
                </w:tcPr>
                <w:p w14:paraId="0B08882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99%</w:t>
                  </w:r>
                </w:p>
              </w:tc>
              <w:tc>
                <w:tcPr>
                  <w:tcW w:w="562" w:type="pct"/>
                  <w:noWrap/>
                  <w:tcMar>
                    <w:left w:w="57" w:type="dxa"/>
                    <w:right w:w="57" w:type="dxa"/>
                  </w:tcMar>
                  <w:vAlign w:val="center"/>
                </w:tcPr>
                <w:p w14:paraId="50F6614F">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晶体</w:t>
                  </w:r>
                </w:p>
              </w:tc>
              <w:tc>
                <w:tcPr>
                  <w:tcW w:w="724" w:type="pct"/>
                  <w:vAlign w:val="center"/>
                </w:tcPr>
                <w:p w14:paraId="774C5EA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0.08 </w:t>
                  </w:r>
                </w:p>
              </w:tc>
              <w:tc>
                <w:tcPr>
                  <w:tcW w:w="529" w:type="pct"/>
                  <w:vAlign w:val="center"/>
                </w:tcPr>
                <w:p w14:paraId="7A0898B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0.0504</w:t>
                  </w:r>
                </w:p>
              </w:tc>
              <w:tc>
                <w:tcPr>
                  <w:tcW w:w="524" w:type="pct"/>
                  <w:noWrap/>
                  <w:tcMar>
                    <w:left w:w="57" w:type="dxa"/>
                    <w:right w:w="57" w:type="dxa"/>
                  </w:tcMar>
                  <w:vAlign w:val="center"/>
                </w:tcPr>
                <w:p w14:paraId="6680770E">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桶装，25 kg</w:t>
                  </w:r>
                </w:p>
              </w:tc>
              <w:tc>
                <w:tcPr>
                  <w:tcW w:w="518" w:type="pct"/>
                  <w:vMerge w:val="continue"/>
                  <w:noWrap/>
                  <w:tcMar>
                    <w:left w:w="57" w:type="dxa"/>
                    <w:right w:w="57" w:type="dxa"/>
                  </w:tcMar>
                  <w:vAlign w:val="center"/>
                </w:tcPr>
                <w:p w14:paraId="71C7788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44063A7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41EAD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47EA59BB">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color w:val="auto"/>
                    </w:rPr>
                    <w:t>7</w:t>
                  </w:r>
                </w:p>
              </w:tc>
              <w:tc>
                <w:tcPr>
                  <w:tcW w:w="712" w:type="pct"/>
                  <w:noWrap/>
                  <w:tcMar>
                    <w:left w:w="57" w:type="dxa"/>
                    <w:right w:w="57" w:type="dxa"/>
                  </w:tcMar>
                  <w:vAlign w:val="center"/>
                </w:tcPr>
                <w:p w14:paraId="5620615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磷酸氢二钾</w:t>
                  </w:r>
                </w:p>
              </w:tc>
              <w:tc>
                <w:tcPr>
                  <w:tcW w:w="584" w:type="pct"/>
                  <w:vAlign w:val="center"/>
                </w:tcPr>
                <w:p w14:paraId="5383A622">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99%</w:t>
                  </w:r>
                </w:p>
              </w:tc>
              <w:tc>
                <w:tcPr>
                  <w:tcW w:w="562" w:type="pct"/>
                  <w:noWrap/>
                  <w:tcMar>
                    <w:left w:w="57" w:type="dxa"/>
                    <w:right w:w="57" w:type="dxa"/>
                  </w:tcMar>
                  <w:vAlign w:val="center"/>
                </w:tcPr>
                <w:p w14:paraId="5A193722">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晶体</w:t>
                  </w:r>
                </w:p>
              </w:tc>
              <w:tc>
                <w:tcPr>
                  <w:tcW w:w="724" w:type="pct"/>
                  <w:vAlign w:val="center"/>
                </w:tcPr>
                <w:p w14:paraId="18E7487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0.04 </w:t>
                  </w:r>
                </w:p>
              </w:tc>
              <w:tc>
                <w:tcPr>
                  <w:tcW w:w="529" w:type="pct"/>
                  <w:vAlign w:val="center"/>
                </w:tcPr>
                <w:p w14:paraId="3677992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0.0254</w:t>
                  </w:r>
                </w:p>
              </w:tc>
              <w:tc>
                <w:tcPr>
                  <w:tcW w:w="524" w:type="pct"/>
                  <w:noWrap/>
                  <w:tcMar>
                    <w:left w:w="57" w:type="dxa"/>
                    <w:right w:w="57" w:type="dxa"/>
                  </w:tcMar>
                  <w:vAlign w:val="center"/>
                </w:tcPr>
                <w:p w14:paraId="09F24905">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桶装，25 kg</w:t>
                  </w:r>
                </w:p>
              </w:tc>
              <w:tc>
                <w:tcPr>
                  <w:tcW w:w="518" w:type="pct"/>
                  <w:vMerge w:val="continue"/>
                  <w:noWrap/>
                  <w:tcMar>
                    <w:left w:w="57" w:type="dxa"/>
                    <w:right w:w="57" w:type="dxa"/>
                  </w:tcMar>
                  <w:vAlign w:val="center"/>
                </w:tcPr>
                <w:p w14:paraId="44EEAD2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59B6029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3E1D4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09328CFA">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color w:val="auto"/>
                    </w:rPr>
                    <w:t>8</w:t>
                  </w:r>
                </w:p>
              </w:tc>
              <w:tc>
                <w:tcPr>
                  <w:tcW w:w="712" w:type="pct"/>
                  <w:noWrap/>
                  <w:tcMar>
                    <w:left w:w="57" w:type="dxa"/>
                    <w:right w:w="57" w:type="dxa"/>
                  </w:tcMar>
                  <w:vAlign w:val="center"/>
                </w:tcPr>
                <w:p w14:paraId="5A1CACCB">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eastAsia="仿宋_GB2312" w:cs="Calibri"/>
                      <w:color w:val="auto"/>
                      <w:szCs w:val="21"/>
                      <w:lang w:val="en-US" w:eastAsia="zh-CN"/>
                    </w:rPr>
                  </w:pPr>
                  <w:r>
                    <w:rPr>
                      <w:rFonts w:hint="eastAsia" w:ascii="Times New Roman" w:hAnsi="Times New Roman" w:cs="Calibri"/>
                      <w:color w:val="auto"/>
                      <w:szCs w:val="21"/>
                      <w:lang w:val="en-US" w:eastAsia="zh-CN"/>
                    </w:rPr>
                    <w:t>柠檬酸二铵</w:t>
                  </w:r>
                </w:p>
              </w:tc>
              <w:tc>
                <w:tcPr>
                  <w:tcW w:w="584" w:type="pct"/>
                  <w:vAlign w:val="center"/>
                </w:tcPr>
                <w:p w14:paraId="145AD24A">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99%</w:t>
                  </w:r>
                </w:p>
              </w:tc>
              <w:tc>
                <w:tcPr>
                  <w:tcW w:w="562" w:type="pct"/>
                  <w:noWrap/>
                  <w:tcMar>
                    <w:left w:w="57" w:type="dxa"/>
                    <w:right w:w="57" w:type="dxa"/>
                  </w:tcMar>
                  <w:vAlign w:val="center"/>
                </w:tcPr>
                <w:p w14:paraId="2C7C6F1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晶体</w:t>
                  </w:r>
                </w:p>
              </w:tc>
              <w:tc>
                <w:tcPr>
                  <w:tcW w:w="724" w:type="pct"/>
                  <w:vAlign w:val="center"/>
                </w:tcPr>
                <w:p w14:paraId="44655C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0.25 </w:t>
                  </w:r>
                </w:p>
              </w:tc>
              <w:tc>
                <w:tcPr>
                  <w:tcW w:w="529" w:type="pct"/>
                  <w:vAlign w:val="center"/>
                </w:tcPr>
                <w:p w14:paraId="38283C0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0.152</w:t>
                  </w:r>
                </w:p>
              </w:tc>
              <w:tc>
                <w:tcPr>
                  <w:tcW w:w="524" w:type="pct"/>
                  <w:noWrap/>
                  <w:tcMar>
                    <w:left w:w="57" w:type="dxa"/>
                    <w:right w:w="57" w:type="dxa"/>
                  </w:tcMar>
                  <w:vAlign w:val="center"/>
                </w:tcPr>
                <w:p w14:paraId="0C3F219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桶装，25 kg</w:t>
                  </w:r>
                </w:p>
              </w:tc>
              <w:tc>
                <w:tcPr>
                  <w:tcW w:w="518" w:type="pct"/>
                  <w:vMerge w:val="continue"/>
                  <w:noWrap/>
                  <w:tcMar>
                    <w:left w:w="57" w:type="dxa"/>
                    <w:right w:w="57" w:type="dxa"/>
                  </w:tcMar>
                  <w:vAlign w:val="center"/>
                </w:tcPr>
                <w:p w14:paraId="0DCB20C1">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369BCD0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02880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521EE187">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color w:val="auto"/>
                    </w:rPr>
                    <w:t>9</w:t>
                  </w:r>
                </w:p>
              </w:tc>
              <w:tc>
                <w:tcPr>
                  <w:tcW w:w="712" w:type="pct"/>
                  <w:noWrap/>
                  <w:tcMar>
                    <w:left w:w="57" w:type="dxa"/>
                    <w:right w:w="57" w:type="dxa"/>
                  </w:tcMar>
                  <w:vAlign w:val="center"/>
                </w:tcPr>
                <w:p w14:paraId="46E7D73A">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硫酸镁</w:t>
                  </w:r>
                </w:p>
              </w:tc>
              <w:tc>
                <w:tcPr>
                  <w:tcW w:w="584" w:type="pct"/>
                  <w:vAlign w:val="center"/>
                </w:tcPr>
                <w:p w14:paraId="0452FEA2">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99%</w:t>
                  </w:r>
                </w:p>
              </w:tc>
              <w:tc>
                <w:tcPr>
                  <w:tcW w:w="562" w:type="pct"/>
                  <w:noWrap/>
                  <w:tcMar>
                    <w:left w:w="57" w:type="dxa"/>
                    <w:right w:w="57" w:type="dxa"/>
                  </w:tcMar>
                  <w:vAlign w:val="center"/>
                </w:tcPr>
                <w:p w14:paraId="49DD0C56">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晶体</w:t>
                  </w:r>
                </w:p>
              </w:tc>
              <w:tc>
                <w:tcPr>
                  <w:tcW w:w="724" w:type="pct"/>
                  <w:vAlign w:val="center"/>
                </w:tcPr>
                <w:p w14:paraId="19ACFF9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0.12 </w:t>
                  </w:r>
                </w:p>
              </w:tc>
              <w:tc>
                <w:tcPr>
                  <w:tcW w:w="529" w:type="pct"/>
                  <w:vAlign w:val="center"/>
                </w:tcPr>
                <w:p w14:paraId="231A9C7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0.073</w:t>
                  </w:r>
                </w:p>
              </w:tc>
              <w:tc>
                <w:tcPr>
                  <w:tcW w:w="524" w:type="pct"/>
                  <w:noWrap/>
                  <w:tcMar>
                    <w:left w:w="57" w:type="dxa"/>
                    <w:right w:w="57" w:type="dxa"/>
                  </w:tcMar>
                  <w:vAlign w:val="center"/>
                </w:tcPr>
                <w:p w14:paraId="79DE70B3">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桶装，5 kg</w:t>
                  </w:r>
                </w:p>
              </w:tc>
              <w:tc>
                <w:tcPr>
                  <w:tcW w:w="518" w:type="pct"/>
                  <w:vMerge w:val="continue"/>
                  <w:noWrap/>
                  <w:tcMar>
                    <w:left w:w="57" w:type="dxa"/>
                    <w:right w:w="57" w:type="dxa"/>
                  </w:tcMar>
                  <w:vAlign w:val="center"/>
                </w:tcPr>
                <w:p w14:paraId="233E633B">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4957DB9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07ED7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08CEC629">
                  <w:pPr>
                    <w:pStyle w:val="165"/>
                    <w:keepNext w:val="0"/>
                    <w:keepLines w:val="0"/>
                    <w:widowControl w:val="0"/>
                    <w:suppressLineNumbers w:val="0"/>
                    <w:snapToGrid w:val="0"/>
                    <w:spacing w:before="0" w:beforeAutospacing="0" w:after="0" w:afterAutospacing="0" w:line="320" w:lineRule="exact"/>
                    <w:ind w:left="0" w:leftChars="0" w:right="0" w:rightChars="0"/>
                    <w:rPr>
                      <w:rFonts w:hint="eastAsia" w:ascii="Times New Roman" w:hAnsi="Times New Roman" w:eastAsia="仿宋_GB2312" w:cs="Times New Roman"/>
                      <w:color w:val="auto"/>
                      <w:kern w:val="0"/>
                      <w:sz w:val="21"/>
                      <w:szCs w:val="20"/>
                      <w:lang w:val="en-US" w:eastAsia="zh-CN" w:bidi="ar-SA"/>
                    </w:rPr>
                  </w:pPr>
                  <w:r>
                    <w:rPr>
                      <w:rFonts w:hint="eastAsia" w:ascii="Times New Roman" w:hAnsi="Times New Roman"/>
                      <w:color w:val="auto"/>
                    </w:rPr>
                    <w:t>1</w:t>
                  </w:r>
                  <w:r>
                    <w:rPr>
                      <w:rFonts w:hint="eastAsia" w:ascii="Times New Roman" w:hAnsi="Times New Roman"/>
                      <w:color w:val="auto"/>
                      <w:lang w:val="en-US" w:eastAsia="zh-CN"/>
                    </w:rPr>
                    <w:t>0</w:t>
                  </w:r>
                </w:p>
              </w:tc>
              <w:tc>
                <w:tcPr>
                  <w:tcW w:w="712" w:type="pct"/>
                  <w:noWrap/>
                  <w:tcMar>
                    <w:left w:w="57" w:type="dxa"/>
                    <w:right w:w="57" w:type="dxa"/>
                  </w:tcMar>
                  <w:vAlign w:val="center"/>
                </w:tcPr>
                <w:p w14:paraId="4310BC34">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4"/>
                      <w:lang w:val="en-US" w:eastAsia="zh-CN" w:bidi="ar"/>
                    </w:rPr>
                  </w:pPr>
                  <w:r>
                    <w:rPr>
                      <w:rFonts w:hint="default" w:ascii="Times New Roman" w:hAnsi="Times New Roman" w:eastAsia="仿宋_GB2312" w:cs="Times New Roman"/>
                      <w:color w:val="auto"/>
                      <w:kern w:val="0"/>
                      <w:sz w:val="21"/>
                      <w:lang w:bidi="ar"/>
                    </w:rPr>
                    <w:t>氢氧化钠</w:t>
                  </w:r>
                </w:p>
              </w:tc>
              <w:tc>
                <w:tcPr>
                  <w:tcW w:w="584" w:type="pct"/>
                  <w:vAlign w:val="center"/>
                </w:tcPr>
                <w:p w14:paraId="576E82DC">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4"/>
                      <w:lang w:val="en-US" w:eastAsia="zh-CN" w:bidi="ar"/>
                    </w:rPr>
                  </w:pPr>
                  <w:r>
                    <w:rPr>
                      <w:rFonts w:hint="default" w:ascii="Times New Roman" w:hAnsi="Times New Roman" w:eastAsia="仿宋_GB2312" w:cs="Times New Roman"/>
                      <w:color w:val="auto"/>
                      <w:kern w:val="0"/>
                      <w:sz w:val="21"/>
                      <w:lang w:bidi="ar"/>
                    </w:rPr>
                    <w:t>99%</w:t>
                  </w:r>
                </w:p>
              </w:tc>
              <w:tc>
                <w:tcPr>
                  <w:tcW w:w="562" w:type="pct"/>
                  <w:noWrap/>
                  <w:tcMar>
                    <w:left w:w="57" w:type="dxa"/>
                    <w:right w:w="57" w:type="dxa"/>
                  </w:tcMar>
                  <w:vAlign w:val="center"/>
                </w:tcPr>
                <w:p w14:paraId="5261FAE2">
                  <w:pPr>
                    <w:keepNext w:val="0"/>
                    <w:keepLines w:val="0"/>
                    <w:widowControl w:val="0"/>
                    <w:suppressLineNumbers w:val="0"/>
                    <w:spacing w:before="0" w:beforeAutospacing="0" w:after="0" w:afterAutospacing="0" w:line="240" w:lineRule="exact"/>
                    <w:ind w:left="0" w:leftChars="0" w:right="0" w:rightChars="0"/>
                    <w:jc w:val="center"/>
                    <w:rPr>
                      <w:rFonts w:hint="eastAsia" w:ascii="Times New Roman" w:hAnsi="Times New Roman" w:eastAsia="仿宋_GB2312" w:cs="Times New Roman"/>
                      <w:color w:val="auto"/>
                      <w:kern w:val="0"/>
                      <w:sz w:val="21"/>
                      <w:szCs w:val="24"/>
                      <w:lang w:val="en-US" w:eastAsia="zh-CN" w:bidi="ar"/>
                    </w:rPr>
                  </w:pPr>
                  <w:r>
                    <w:rPr>
                      <w:rFonts w:hint="default" w:ascii="Times New Roman" w:hAnsi="Times New Roman" w:eastAsia="仿宋_GB2312" w:cs="Times New Roman"/>
                      <w:color w:val="auto"/>
                      <w:kern w:val="0"/>
                      <w:sz w:val="21"/>
                      <w:lang w:bidi="ar"/>
                    </w:rPr>
                    <w:t>粉状</w:t>
                  </w:r>
                </w:p>
              </w:tc>
              <w:tc>
                <w:tcPr>
                  <w:tcW w:w="724" w:type="pct"/>
                  <w:vAlign w:val="center"/>
                </w:tcPr>
                <w:p w14:paraId="69B45C06">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auto"/>
                      <w:kern w:val="0"/>
                      <w:sz w:val="21"/>
                      <w:szCs w:val="24"/>
                      <w:lang w:val="en-US" w:eastAsia="zh-CN" w:bidi="ar"/>
                    </w:rPr>
                  </w:pPr>
                  <w:r>
                    <w:rPr>
                      <w:rFonts w:hint="eastAsia" w:eastAsia="仿宋_GB2312" w:cs="Times New Roman"/>
                      <w:color w:val="auto"/>
                      <w:kern w:val="0"/>
                      <w:sz w:val="21"/>
                      <w:szCs w:val="24"/>
                      <w:lang w:val="en-US" w:eastAsia="zh-CN" w:bidi="ar"/>
                    </w:rPr>
                    <w:t>1.28</w:t>
                  </w:r>
                </w:p>
              </w:tc>
              <w:tc>
                <w:tcPr>
                  <w:tcW w:w="529" w:type="pct"/>
                  <w:vAlign w:val="center"/>
                </w:tcPr>
                <w:p w14:paraId="34A26A0A">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4"/>
                      <w:lang w:val="en-US" w:eastAsia="zh-CN" w:bidi="ar"/>
                    </w:rPr>
                  </w:pPr>
                  <w:r>
                    <w:rPr>
                      <w:rFonts w:hint="default" w:ascii="Times New Roman" w:hAnsi="Times New Roman" w:eastAsia="仿宋_GB2312" w:cs="Times New Roman"/>
                      <w:color w:val="auto"/>
                      <w:kern w:val="0"/>
                      <w:sz w:val="21"/>
                      <w:lang w:bidi="ar"/>
                    </w:rPr>
                    <w:t>0</w:t>
                  </w:r>
                  <w:r>
                    <w:rPr>
                      <w:rFonts w:hint="eastAsia" w:eastAsia="仿宋_GB2312" w:cs="Times New Roman"/>
                      <w:color w:val="auto"/>
                      <w:kern w:val="0"/>
                      <w:sz w:val="21"/>
                      <w:lang w:val="en-US" w:eastAsia="zh-CN" w:bidi="ar"/>
                    </w:rPr>
                    <w:t>.768</w:t>
                  </w:r>
                </w:p>
              </w:tc>
              <w:tc>
                <w:tcPr>
                  <w:tcW w:w="524" w:type="pct"/>
                  <w:noWrap/>
                  <w:tcMar>
                    <w:left w:w="57" w:type="dxa"/>
                    <w:right w:w="57" w:type="dxa"/>
                  </w:tcMar>
                  <w:vAlign w:val="center"/>
                </w:tcPr>
                <w:p w14:paraId="794B3B2D">
                  <w:pPr>
                    <w:keepNext w:val="0"/>
                    <w:keepLines w:val="0"/>
                    <w:widowControl w:val="0"/>
                    <w:suppressLineNumbers w:val="0"/>
                    <w:spacing w:before="0" w:beforeAutospacing="0" w:after="0" w:afterAutospacing="0" w:line="240" w:lineRule="exact"/>
                    <w:ind w:left="0" w:leftChars="0" w:right="0" w:rightChars="0"/>
                    <w:jc w:val="center"/>
                    <w:rPr>
                      <w:rFonts w:hint="eastAsia" w:ascii="Times New Roman" w:hAnsi="Times New Roman" w:eastAsia="仿宋_GB2312" w:cs="Times New Roman"/>
                      <w:color w:val="auto"/>
                      <w:kern w:val="0"/>
                      <w:sz w:val="21"/>
                      <w:szCs w:val="24"/>
                      <w:lang w:val="en-US" w:eastAsia="zh-CN" w:bidi="ar"/>
                    </w:rPr>
                  </w:pPr>
                  <w:r>
                    <w:rPr>
                      <w:rFonts w:hint="default" w:ascii="Times New Roman" w:hAnsi="Times New Roman" w:eastAsia="仿宋_GB2312" w:cs="Times New Roman"/>
                      <w:color w:val="auto"/>
                      <w:kern w:val="0"/>
                      <w:sz w:val="21"/>
                      <w:lang w:bidi="ar"/>
                    </w:rPr>
                    <w:t>桶装，10 kg</w:t>
                  </w:r>
                </w:p>
              </w:tc>
              <w:tc>
                <w:tcPr>
                  <w:tcW w:w="518" w:type="pct"/>
                  <w:vMerge w:val="continue"/>
                  <w:noWrap/>
                  <w:tcMar>
                    <w:left w:w="57" w:type="dxa"/>
                    <w:right w:w="57" w:type="dxa"/>
                  </w:tcMar>
                  <w:vAlign w:val="center"/>
                </w:tcPr>
                <w:p w14:paraId="08CC70F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66573F1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03C39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3C4F2E95">
                  <w:pPr>
                    <w:pStyle w:val="165"/>
                    <w:keepNext w:val="0"/>
                    <w:keepLines w:val="0"/>
                    <w:widowControl w:val="0"/>
                    <w:suppressLineNumbers w:val="0"/>
                    <w:snapToGrid w:val="0"/>
                    <w:spacing w:before="0" w:beforeAutospacing="0" w:after="0" w:afterAutospacing="0" w:line="320" w:lineRule="exact"/>
                    <w:ind w:left="0" w:leftChars="0" w:right="0" w:rightChars="0"/>
                    <w:rPr>
                      <w:rFonts w:hint="eastAsia" w:ascii="Times New Roman" w:hAnsi="Times New Roman" w:eastAsia="仿宋_GB2312" w:cs="Times New Roman"/>
                      <w:color w:val="auto"/>
                      <w:kern w:val="0"/>
                      <w:sz w:val="21"/>
                      <w:szCs w:val="20"/>
                      <w:lang w:val="en-US" w:eastAsia="zh-CN" w:bidi="ar-SA"/>
                    </w:rPr>
                  </w:pPr>
                  <w:r>
                    <w:rPr>
                      <w:rFonts w:hint="eastAsia" w:ascii="Times New Roman" w:hAnsi="Times New Roman"/>
                      <w:color w:val="auto"/>
                      <w:lang w:val="en-US" w:eastAsia="zh-CN"/>
                    </w:rPr>
                    <w:t>11</w:t>
                  </w:r>
                </w:p>
              </w:tc>
              <w:tc>
                <w:tcPr>
                  <w:tcW w:w="712" w:type="pct"/>
                  <w:noWrap/>
                  <w:tcMar>
                    <w:left w:w="57" w:type="dxa"/>
                    <w:right w:w="57" w:type="dxa"/>
                  </w:tcMar>
                  <w:vAlign w:val="center"/>
                </w:tcPr>
                <w:p w14:paraId="60449CC5">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eastAsia="仿宋_GB2312" w:cs="Calibri"/>
                      <w:color w:val="auto"/>
                      <w:szCs w:val="21"/>
                      <w:lang w:val="en-US" w:eastAsia="zh-CN"/>
                    </w:rPr>
                  </w:pPr>
                  <w:r>
                    <w:rPr>
                      <w:rFonts w:hint="eastAsia" w:ascii="Times New Roman" w:hAnsi="Times New Roman" w:cs="Calibri"/>
                      <w:color w:val="auto"/>
                      <w:szCs w:val="21"/>
                      <w:lang w:val="en-US" w:eastAsia="zh-CN"/>
                    </w:rPr>
                    <w:t>消泡剂</w:t>
                  </w:r>
                </w:p>
              </w:tc>
              <w:tc>
                <w:tcPr>
                  <w:tcW w:w="584" w:type="pct"/>
                  <w:vAlign w:val="center"/>
                </w:tcPr>
                <w:p w14:paraId="7DE6D06F">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default" w:ascii="Times New Roman" w:hAnsi="Times New Roman" w:cs="Calibri"/>
                      <w:color w:val="auto"/>
                      <w:szCs w:val="21"/>
                    </w:rPr>
                    <w:t>99%</w:t>
                  </w:r>
                </w:p>
              </w:tc>
              <w:tc>
                <w:tcPr>
                  <w:tcW w:w="562" w:type="pct"/>
                  <w:noWrap/>
                  <w:tcMar>
                    <w:left w:w="57" w:type="dxa"/>
                    <w:right w:w="57" w:type="dxa"/>
                  </w:tcMar>
                  <w:vAlign w:val="center"/>
                </w:tcPr>
                <w:p w14:paraId="34D6C079">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液体</w:t>
                  </w:r>
                </w:p>
              </w:tc>
              <w:tc>
                <w:tcPr>
                  <w:tcW w:w="724" w:type="pct"/>
                  <w:vAlign w:val="center"/>
                </w:tcPr>
                <w:p w14:paraId="5C0B1CC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0.01 </w:t>
                  </w:r>
                </w:p>
              </w:tc>
              <w:tc>
                <w:tcPr>
                  <w:tcW w:w="529" w:type="pct"/>
                  <w:vAlign w:val="center"/>
                </w:tcPr>
                <w:p w14:paraId="48B00C0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0.0073</w:t>
                  </w:r>
                </w:p>
              </w:tc>
              <w:tc>
                <w:tcPr>
                  <w:tcW w:w="524" w:type="pct"/>
                  <w:noWrap/>
                  <w:tcMar>
                    <w:left w:w="57" w:type="dxa"/>
                    <w:right w:w="57" w:type="dxa"/>
                  </w:tcMar>
                  <w:vAlign w:val="center"/>
                </w:tcPr>
                <w:p w14:paraId="104EB04F">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桶装，25 kg</w:t>
                  </w:r>
                </w:p>
              </w:tc>
              <w:tc>
                <w:tcPr>
                  <w:tcW w:w="518" w:type="pct"/>
                  <w:vMerge w:val="continue"/>
                  <w:noWrap/>
                  <w:tcMar>
                    <w:left w:w="57" w:type="dxa"/>
                    <w:right w:w="57" w:type="dxa"/>
                  </w:tcMar>
                  <w:vAlign w:val="center"/>
                </w:tcPr>
                <w:p w14:paraId="20948893">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Merge w:val="continue"/>
                  <w:vAlign w:val="center"/>
                </w:tcPr>
                <w:p w14:paraId="404545C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76C4C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687881FD">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12</w:t>
                  </w:r>
                </w:p>
              </w:tc>
              <w:tc>
                <w:tcPr>
                  <w:tcW w:w="712" w:type="pct"/>
                  <w:noWrap/>
                  <w:tcMar>
                    <w:left w:w="57" w:type="dxa"/>
                    <w:right w:w="57" w:type="dxa"/>
                  </w:tcMar>
                  <w:vAlign w:val="center"/>
                </w:tcPr>
                <w:p w14:paraId="4D7B85F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cs="Calibri"/>
                      <w:color w:val="auto"/>
                      <w:szCs w:val="21"/>
                      <w:lang w:val="en-US" w:eastAsia="zh-CN"/>
                    </w:rPr>
                  </w:pPr>
                  <w:r>
                    <w:rPr>
                      <w:rFonts w:hint="eastAsia" w:ascii="Times New Roman" w:hAnsi="Times New Roman" w:cs="Calibri"/>
                      <w:color w:val="auto"/>
                      <w:szCs w:val="21"/>
                      <w:lang w:val="en-US" w:eastAsia="zh-CN"/>
                    </w:rPr>
                    <w:t>盐酸</w:t>
                  </w:r>
                </w:p>
              </w:tc>
              <w:tc>
                <w:tcPr>
                  <w:tcW w:w="584" w:type="pct"/>
                  <w:vAlign w:val="center"/>
                </w:tcPr>
                <w:p w14:paraId="1776DC36">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eastAsia="仿宋_GB2312" w:cs="Calibri"/>
                      <w:color w:val="auto"/>
                      <w:szCs w:val="21"/>
                      <w:lang w:val="en-US" w:eastAsia="zh-CN"/>
                    </w:rPr>
                  </w:pPr>
                  <w:r>
                    <w:rPr>
                      <w:rFonts w:hint="eastAsia" w:ascii="Times New Roman" w:hAnsi="Times New Roman" w:cs="Calibri"/>
                      <w:color w:val="auto"/>
                      <w:szCs w:val="21"/>
                      <w:lang w:val="en-US" w:eastAsia="zh-CN"/>
                    </w:rPr>
                    <w:t>36%</w:t>
                  </w:r>
                </w:p>
              </w:tc>
              <w:tc>
                <w:tcPr>
                  <w:tcW w:w="562" w:type="pct"/>
                  <w:noWrap/>
                  <w:tcMar>
                    <w:left w:w="57" w:type="dxa"/>
                    <w:right w:w="57" w:type="dxa"/>
                  </w:tcMar>
                  <w:vAlign w:val="center"/>
                </w:tcPr>
                <w:p w14:paraId="147E5D2E">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cs="Calibri"/>
                      <w:color w:val="auto"/>
                      <w:szCs w:val="21"/>
                    </w:rPr>
                  </w:pPr>
                  <w:r>
                    <w:rPr>
                      <w:rFonts w:hint="eastAsia" w:ascii="Times New Roman" w:hAnsi="Times New Roman" w:cs="Calibri"/>
                      <w:color w:val="auto"/>
                      <w:szCs w:val="21"/>
                    </w:rPr>
                    <w:t>液体</w:t>
                  </w:r>
                </w:p>
              </w:tc>
              <w:tc>
                <w:tcPr>
                  <w:tcW w:w="724" w:type="pct"/>
                  <w:vAlign w:val="center"/>
                </w:tcPr>
                <w:p w14:paraId="7134C51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eastAsia"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2.22 </w:t>
                  </w:r>
                </w:p>
              </w:tc>
              <w:tc>
                <w:tcPr>
                  <w:tcW w:w="529" w:type="pct"/>
                  <w:vAlign w:val="center"/>
                </w:tcPr>
                <w:p w14:paraId="7E57602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ascii="Times New Roman" w:hAnsi="Times New Roman"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1.332</w:t>
                  </w:r>
                </w:p>
              </w:tc>
              <w:tc>
                <w:tcPr>
                  <w:tcW w:w="524" w:type="pct"/>
                  <w:noWrap/>
                  <w:tcMar>
                    <w:left w:w="57" w:type="dxa"/>
                    <w:right w:w="57" w:type="dxa"/>
                  </w:tcMar>
                  <w:vAlign w:val="center"/>
                </w:tcPr>
                <w:p w14:paraId="15C3C421">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cs="Calibri"/>
                      <w:color w:val="auto"/>
                      <w:szCs w:val="21"/>
                    </w:rPr>
                  </w:pPr>
                  <w:r>
                    <w:rPr>
                      <w:rFonts w:hint="eastAsia" w:ascii="Times New Roman" w:hAnsi="Times New Roman" w:cs="Calibri"/>
                      <w:color w:val="auto"/>
                      <w:szCs w:val="21"/>
                    </w:rPr>
                    <w:t>桶装，</w:t>
                  </w:r>
                  <w:r>
                    <w:rPr>
                      <w:rFonts w:hint="eastAsia" w:ascii="Times New Roman" w:hAnsi="Times New Roman" w:cs="Calibri"/>
                      <w:color w:val="auto"/>
                      <w:szCs w:val="21"/>
                      <w:lang w:val="en-US"/>
                    </w:rPr>
                    <w:t>25kg</w:t>
                  </w:r>
                </w:p>
              </w:tc>
              <w:tc>
                <w:tcPr>
                  <w:tcW w:w="518" w:type="pct"/>
                  <w:vMerge w:val="continue"/>
                  <w:noWrap/>
                  <w:tcMar>
                    <w:left w:w="57" w:type="dxa"/>
                    <w:right w:w="57" w:type="dxa"/>
                  </w:tcMar>
                  <w:vAlign w:val="center"/>
                </w:tcPr>
                <w:p w14:paraId="03B6CB32">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highlight w:val="yellow"/>
                    </w:rPr>
                  </w:pPr>
                </w:p>
              </w:tc>
              <w:tc>
                <w:tcPr>
                  <w:tcW w:w="602" w:type="pct"/>
                  <w:vAlign w:val="center"/>
                </w:tcPr>
                <w:p w14:paraId="31C80F49">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olor w:val="auto"/>
                      <w:highlight w:val="yellow"/>
                      <w:lang w:eastAsia="zh-CN"/>
                    </w:rPr>
                  </w:pPr>
                  <w:r>
                    <w:rPr>
                      <w:rFonts w:hint="eastAsia" w:ascii="Times New Roman" w:hAnsi="Times New Roman"/>
                      <w:color w:val="auto"/>
                      <w:highlight w:val="none"/>
                      <w:lang w:eastAsia="zh-CN"/>
                    </w:rPr>
                    <w:t>危化品储藏间</w:t>
                  </w:r>
                </w:p>
              </w:tc>
            </w:tr>
            <w:tr w14:paraId="349FB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41" w:type="pct"/>
                  <w:noWrap/>
                  <w:tcMar>
                    <w:left w:w="57" w:type="dxa"/>
                    <w:right w:w="57" w:type="dxa"/>
                  </w:tcMar>
                  <w:vAlign w:val="center"/>
                </w:tcPr>
                <w:p w14:paraId="30C1B82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13</w:t>
                  </w:r>
                </w:p>
              </w:tc>
              <w:tc>
                <w:tcPr>
                  <w:tcW w:w="712" w:type="pct"/>
                  <w:noWrap/>
                  <w:tcMar>
                    <w:left w:w="57" w:type="dxa"/>
                    <w:right w:w="57" w:type="dxa"/>
                  </w:tcMar>
                  <w:vAlign w:val="center"/>
                </w:tcPr>
                <w:p w14:paraId="3CA044F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纯水</w:t>
                  </w:r>
                </w:p>
              </w:tc>
              <w:tc>
                <w:tcPr>
                  <w:tcW w:w="584" w:type="pct"/>
                  <w:vAlign w:val="center"/>
                </w:tcPr>
                <w:p w14:paraId="087AC1B0">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w:t>
                  </w:r>
                </w:p>
              </w:tc>
              <w:tc>
                <w:tcPr>
                  <w:tcW w:w="562" w:type="pct"/>
                  <w:noWrap/>
                  <w:tcMar>
                    <w:left w:w="57" w:type="dxa"/>
                    <w:right w:w="57" w:type="dxa"/>
                  </w:tcMar>
                  <w:vAlign w:val="center"/>
                </w:tcPr>
                <w:p w14:paraId="3F8C03AA">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s="Calibri"/>
                      <w:color w:val="auto"/>
                      <w:szCs w:val="21"/>
                    </w:rPr>
                    <w:t>液体</w:t>
                  </w:r>
                </w:p>
              </w:tc>
              <w:tc>
                <w:tcPr>
                  <w:tcW w:w="724" w:type="pct"/>
                  <w:vAlign w:val="center"/>
                </w:tcPr>
                <w:p w14:paraId="28F0DAA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center"/>
                    <w:textAlignment w:val="auto"/>
                    <w:rPr>
                      <w:rFonts w:hint="default" w:eastAsia="等线" w:cs="Calibri"/>
                      <w:color w:val="auto"/>
                      <w:kern w:val="0"/>
                      <w:sz w:val="21"/>
                      <w:szCs w:val="21"/>
                      <w:lang w:val="en-US" w:eastAsia="zh-CN" w:bidi="ar-SA"/>
                    </w:rPr>
                  </w:pPr>
                  <w:r>
                    <w:rPr>
                      <w:rFonts w:hint="eastAsia" w:eastAsia="等线" w:cs="Calibri"/>
                      <w:color w:val="auto"/>
                      <w:kern w:val="0"/>
                      <w:sz w:val="21"/>
                      <w:szCs w:val="21"/>
                      <w:lang w:val="en-US" w:eastAsia="zh-CN" w:bidi="ar-SA"/>
                    </w:rPr>
                    <w:t xml:space="preserve">205.9 </w:t>
                  </w:r>
                </w:p>
              </w:tc>
              <w:tc>
                <w:tcPr>
                  <w:tcW w:w="529" w:type="pct"/>
                  <w:vAlign w:val="center"/>
                </w:tcPr>
                <w:p w14:paraId="28572B22">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eastAsia="仿宋_GB2312" w:cs="Calibri"/>
                      <w:color w:val="auto"/>
                      <w:szCs w:val="21"/>
                      <w:lang w:val="en-US" w:eastAsia="zh-CN"/>
                    </w:rPr>
                  </w:pPr>
                  <w:r>
                    <w:rPr>
                      <w:rFonts w:hint="eastAsia" w:ascii="Times New Roman" w:hAnsi="Times New Roman" w:cs="Calibri"/>
                      <w:color w:val="auto"/>
                      <w:szCs w:val="21"/>
                      <w:lang w:val="en-US" w:eastAsia="zh-CN"/>
                    </w:rPr>
                    <w:t>123.54</w:t>
                  </w:r>
                </w:p>
              </w:tc>
              <w:tc>
                <w:tcPr>
                  <w:tcW w:w="524" w:type="pct"/>
                  <w:noWrap/>
                  <w:tcMar>
                    <w:left w:w="57" w:type="dxa"/>
                    <w:right w:w="57" w:type="dxa"/>
                  </w:tcMar>
                  <w:vAlign w:val="center"/>
                </w:tcPr>
                <w:p w14:paraId="4268CFE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s="Calibri"/>
                      <w:color w:val="auto"/>
                      <w:szCs w:val="21"/>
                    </w:rPr>
                  </w:pPr>
                  <w:r>
                    <w:rPr>
                      <w:rFonts w:hint="eastAsia" w:ascii="Times New Roman" w:hAnsi="Times New Roman"/>
                      <w:color w:val="auto"/>
                      <w:lang w:val="en-US"/>
                    </w:rPr>
                    <w:t>/</w:t>
                  </w:r>
                </w:p>
              </w:tc>
              <w:tc>
                <w:tcPr>
                  <w:tcW w:w="518" w:type="pct"/>
                  <w:noWrap/>
                  <w:tcMar>
                    <w:left w:w="57" w:type="dxa"/>
                    <w:right w:w="57" w:type="dxa"/>
                  </w:tcMar>
                  <w:vAlign w:val="center"/>
                </w:tcPr>
                <w:p w14:paraId="7C8D17C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default" w:ascii="Times New Roman" w:hAnsi="Times New Roman"/>
                      <w:color w:val="auto"/>
                    </w:rPr>
                  </w:pPr>
                  <w:r>
                    <w:rPr>
                      <w:rFonts w:hint="eastAsia" w:ascii="Times New Roman" w:hAnsi="Times New Roman"/>
                      <w:color w:val="auto"/>
                    </w:rPr>
                    <w:t>自制</w:t>
                  </w:r>
                </w:p>
              </w:tc>
              <w:tc>
                <w:tcPr>
                  <w:tcW w:w="602" w:type="pct"/>
                  <w:vAlign w:val="center"/>
                </w:tcPr>
                <w:p w14:paraId="2F5B7AF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纯水间</w:t>
                  </w:r>
                </w:p>
              </w:tc>
            </w:tr>
            <w:bookmarkEnd w:id="15"/>
          </w:tbl>
          <w:p w14:paraId="6CE4BEF6">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fldChar w:fldCharType="begin"/>
            </w:r>
            <w:r>
              <w:rPr>
                <w:rFonts w:hint="default" w:eastAsia="仿宋_GB2312"/>
                <w:b/>
                <w:color w:val="auto"/>
                <w:sz w:val="24"/>
                <w:lang w:val="zh-CN"/>
              </w:rPr>
              <w:instrText xml:space="preserve"> = 2 \* GB3 </w:instrText>
            </w:r>
            <w:r>
              <w:rPr>
                <w:rFonts w:hint="default" w:eastAsia="仿宋_GB2312"/>
                <w:b/>
                <w:color w:val="auto"/>
                <w:sz w:val="24"/>
                <w:lang w:val="zh-CN"/>
              </w:rPr>
              <w:fldChar w:fldCharType="separate"/>
            </w:r>
            <w:r>
              <w:rPr>
                <w:rFonts w:hint="default"/>
                <w:b/>
                <w:color w:val="auto"/>
                <w:sz w:val="24"/>
                <w:lang w:val="zh-CN"/>
              </w:rPr>
              <w:t>②</w:t>
            </w:r>
            <w:r>
              <w:rPr>
                <w:rFonts w:hint="default" w:eastAsia="仿宋_GB2312"/>
                <w:b/>
                <w:color w:val="auto"/>
                <w:sz w:val="24"/>
                <w:lang w:val="zh-CN"/>
              </w:rPr>
              <w:fldChar w:fldCharType="end"/>
            </w:r>
            <w:r>
              <w:rPr>
                <w:rFonts w:hint="default" w:eastAsia="仿宋_GB2312"/>
                <w:b/>
                <w:color w:val="auto"/>
                <w:sz w:val="24"/>
                <w:lang w:val="zh-CN"/>
              </w:rPr>
              <w:t>物料平衡</w:t>
            </w:r>
          </w:p>
          <w:p w14:paraId="0FF294B3">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lang w:val="zh-CN"/>
              </w:rPr>
            </w:pPr>
            <w:r>
              <w:rPr>
                <w:rFonts w:hint="default" w:eastAsia="仿宋_GB2312"/>
                <w:color w:val="auto"/>
                <w:sz w:val="24"/>
                <w:lang w:val="zh-CN"/>
              </w:rPr>
              <w:t>食品用原料</w:t>
            </w:r>
            <w:bookmarkStart w:id="16" w:name="OLE_LINK8"/>
            <w:r>
              <w:rPr>
                <w:rFonts w:hint="eastAsia" w:eastAsia="仿宋_GB2312"/>
                <w:color w:val="auto"/>
                <w:sz w:val="24"/>
                <w:lang w:val="zh-CN"/>
              </w:rPr>
              <w:t>（</w:t>
            </w:r>
            <w:r>
              <w:rPr>
                <w:rFonts w:hint="default" w:eastAsia="仿宋_GB2312"/>
                <w:color w:val="auto"/>
                <w:sz w:val="24"/>
                <w:lang w:val="zh-CN"/>
              </w:rPr>
              <w:t>γ-氨基丁酸</w:t>
            </w:r>
            <w:r>
              <w:rPr>
                <w:rFonts w:hint="eastAsia" w:eastAsia="仿宋_GB2312"/>
                <w:color w:val="auto"/>
                <w:sz w:val="24"/>
                <w:lang w:val="zh-CN"/>
              </w:rPr>
              <w:t>）</w:t>
            </w:r>
            <w:bookmarkEnd w:id="16"/>
            <w:r>
              <w:rPr>
                <w:rFonts w:hint="default" w:eastAsia="仿宋_GB2312"/>
                <w:color w:val="auto"/>
                <w:sz w:val="24"/>
                <w:lang w:val="zh-CN"/>
              </w:rPr>
              <w:t>生产物料平衡表见下表。</w:t>
            </w:r>
          </w:p>
          <w:p w14:paraId="5C142D78">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12</w:t>
            </w:r>
            <w:r>
              <w:rPr>
                <w:rFonts w:hint="default" w:eastAsia="仿宋_GB2312"/>
                <w:b/>
                <w:color w:val="auto"/>
                <w:sz w:val="22"/>
                <w:szCs w:val="22"/>
              </w:rPr>
              <w:t xml:space="preserve">  本项目食品用原料（γ-氨基丁酸）生产物料平衡表（单位：kg/批次）</w:t>
            </w:r>
          </w:p>
          <w:tbl>
            <w:tblPr>
              <w:tblStyle w:val="88"/>
              <w:tblW w:w="4843"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1133"/>
              <w:gridCol w:w="844"/>
              <w:gridCol w:w="812"/>
              <w:gridCol w:w="1603"/>
              <w:gridCol w:w="1670"/>
              <w:gridCol w:w="1182"/>
            </w:tblGrid>
            <w:tr w14:paraId="6D2A79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3" w:hRule="atLeast"/>
              </w:trPr>
              <w:tc>
                <w:tcPr>
                  <w:tcW w:w="1250" w:type="pct"/>
                  <w:gridSpan w:val="2"/>
                  <w:vMerge w:val="restart"/>
                  <w:vAlign w:val="center"/>
                </w:tcPr>
                <w:p w14:paraId="69B353E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入方</w:t>
                  </w:r>
                </w:p>
              </w:tc>
              <w:tc>
                <w:tcPr>
                  <w:tcW w:w="3750" w:type="pct"/>
                  <w:gridSpan w:val="5"/>
                  <w:vAlign w:val="center"/>
                </w:tcPr>
                <w:p w14:paraId="3BDEA44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出方</w:t>
                  </w:r>
                </w:p>
              </w:tc>
            </w:tr>
            <w:tr w14:paraId="0159471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250" w:type="pct"/>
                  <w:gridSpan w:val="2"/>
                  <w:vMerge w:val="continue"/>
                  <w:vAlign w:val="top"/>
                </w:tcPr>
                <w:p w14:paraId="7A618E7F">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bCs/>
                      <w:color w:val="auto"/>
                      <w:sz w:val="21"/>
                    </w:rPr>
                  </w:pPr>
                </w:p>
              </w:tc>
              <w:tc>
                <w:tcPr>
                  <w:tcW w:w="1016" w:type="pct"/>
                  <w:gridSpan w:val="2"/>
                  <w:vAlign w:val="center"/>
                </w:tcPr>
                <w:p w14:paraId="3625EA2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产品</w:t>
                  </w:r>
                </w:p>
              </w:tc>
              <w:tc>
                <w:tcPr>
                  <w:tcW w:w="983" w:type="pct"/>
                  <w:vAlign w:val="center"/>
                </w:tcPr>
                <w:p w14:paraId="16B9E7D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废气</w:t>
                  </w:r>
                </w:p>
              </w:tc>
              <w:tc>
                <w:tcPr>
                  <w:tcW w:w="1024" w:type="pct"/>
                  <w:vAlign w:val="center"/>
                </w:tcPr>
                <w:p w14:paraId="11E0651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废水</w:t>
                  </w:r>
                </w:p>
              </w:tc>
              <w:tc>
                <w:tcPr>
                  <w:tcW w:w="725" w:type="pct"/>
                  <w:vAlign w:val="center"/>
                </w:tcPr>
                <w:p w14:paraId="2B71073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固废</w:t>
                  </w:r>
                </w:p>
              </w:tc>
            </w:tr>
            <w:tr w14:paraId="327D350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250" w:type="pct"/>
                  <w:gridSpan w:val="2"/>
                  <w:vAlign w:val="top"/>
                </w:tcPr>
                <w:p w14:paraId="5ABE0ACB">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酵母粉</w:t>
                  </w:r>
                  <w:r>
                    <w:rPr>
                      <w:rFonts w:hint="eastAsia" w:eastAsia="仿宋_GB2312" w:cs="Times New Roman"/>
                      <w:b w:val="0"/>
                      <w:bCs/>
                      <w:color w:val="auto"/>
                      <w:sz w:val="21"/>
                      <w:lang w:val="en-US" w:eastAsia="zh-CN"/>
                    </w:rPr>
                    <w:t xml:space="preserve"> 1.899</w:t>
                  </w:r>
                </w:p>
                <w:p w14:paraId="476D8246">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蛋白胨</w:t>
                  </w:r>
                  <w:r>
                    <w:rPr>
                      <w:rFonts w:hint="eastAsia" w:eastAsia="仿宋_GB2312" w:cs="Times New Roman"/>
                      <w:b w:val="0"/>
                      <w:bCs/>
                      <w:color w:val="auto"/>
                      <w:sz w:val="21"/>
                      <w:lang w:val="en-US" w:eastAsia="zh-CN"/>
                    </w:rPr>
                    <w:t xml:space="preserve"> 2.61</w:t>
                  </w:r>
                </w:p>
                <w:p w14:paraId="063194FF">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 xml:space="preserve">牛肉膏 </w:t>
                  </w:r>
                  <w:r>
                    <w:rPr>
                      <w:rFonts w:hint="eastAsia" w:eastAsia="仿宋_GB2312" w:cs="Times New Roman"/>
                      <w:b w:val="0"/>
                      <w:bCs/>
                      <w:color w:val="auto"/>
                      <w:sz w:val="21"/>
                      <w:lang w:val="en-US" w:eastAsia="zh-CN"/>
                    </w:rPr>
                    <w:t>2.876</w:t>
                  </w:r>
                </w:p>
                <w:p w14:paraId="047FFF7E">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柠檬酸二铵</w:t>
                  </w:r>
                  <w:r>
                    <w:rPr>
                      <w:rFonts w:hint="eastAsia" w:eastAsia="仿宋_GB2312" w:cs="Times New Roman"/>
                      <w:b w:val="0"/>
                      <w:bCs/>
                      <w:color w:val="auto"/>
                      <w:sz w:val="21"/>
                      <w:lang w:val="en-US" w:eastAsia="zh-CN"/>
                    </w:rPr>
                    <w:t xml:space="preserve"> 1.9</w:t>
                  </w:r>
                </w:p>
                <w:p w14:paraId="407C83B4">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 xml:space="preserve">乙酸钠 </w:t>
                  </w:r>
                  <w:r>
                    <w:rPr>
                      <w:rFonts w:hint="eastAsia" w:eastAsia="仿宋_GB2312" w:cs="Times New Roman"/>
                      <w:b w:val="0"/>
                      <w:bCs/>
                      <w:color w:val="auto"/>
                      <w:sz w:val="21"/>
                      <w:lang w:val="en-US" w:eastAsia="zh-CN"/>
                    </w:rPr>
                    <w:t>0.63</w:t>
                  </w:r>
                </w:p>
                <w:p w14:paraId="0B681861">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硫酸镁</w:t>
                  </w:r>
                  <w:r>
                    <w:rPr>
                      <w:rFonts w:hint="eastAsia" w:eastAsia="仿宋_GB2312" w:cs="Times New Roman"/>
                      <w:b w:val="0"/>
                      <w:bCs/>
                      <w:color w:val="auto"/>
                      <w:sz w:val="21"/>
                      <w:lang w:val="en-US" w:eastAsia="zh-CN"/>
                    </w:rPr>
                    <w:t xml:space="preserve"> 0.913</w:t>
                  </w:r>
                </w:p>
                <w:p w14:paraId="4356F82D">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 xml:space="preserve">磷酸氢二钾 </w:t>
                  </w:r>
                  <w:r>
                    <w:rPr>
                      <w:rFonts w:hint="eastAsia" w:eastAsia="仿宋_GB2312" w:cs="Times New Roman"/>
                      <w:b w:val="0"/>
                      <w:bCs/>
                      <w:color w:val="auto"/>
                      <w:sz w:val="21"/>
                      <w:lang w:val="en-US" w:eastAsia="zh-CN"/>
                    </w:rPr>
                    <w:t>0.3171</w:t>
                  </w:r>
                </w:p>
                <w:p w14:paraId="07C7CCF0">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eastAsia" w:eastAsia="仿宋_GB2312" w:cs="Times New Roman"/>
                      <w:b w:val="0"/>
                      <w:bCs/>
                      <w:color w:val="auto"/>
                      <w:sz w:val="21"/>
                      <w:lang w:eastAsia="zh-CN"/>
                    </w:rPr>
                    <w:t>氢氧化钠</w:t>
                  </w:r>
                  <w:r>
                    <w:rPr>
                      <w:rFonts w:hint="eastAsia" w:eastAsia="仿宋_GB2312" w:cs="Times New Roman"/>
                      <w:b w:val="0"/>
                      <w:bCs/>
                      <w:color w:val="auto"/>
                      <w:sz w:val="21"/>
                      <w:lang w:val="en-US" w:eastAsia="zh-CN"/>
                    </w:rPr>
                    <w:t>9.6</w:t>
                  </w:r>
                </w:p>
                <w:p w14:paraId="17369920">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 xml:space="preserve">消泡剂 </w:t>
                  </w:r>
                  <w:r>
                    <w:rPr>
                      <w:rFonts w:hint="eastAsia" w:eastAsia="仿宋_GB2312" w:cs="Times New Roman"/>
                      <w:b w:val="0"/>
                      <w:bCs/>
                      <w:color w:val="auto"/>
                      <w:sz w:val="21"/>
                      <w:lang w:val="en-US" w:eastAsia="zh-CN"/>
                    </w:rPr>
                    <w:t>0.0914</w:t>
                  </w:r>
                </w:p>
                <w:p w14:paraId="72EF5A27">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种子液0.6</w:t>
                  </w:r>
                  <w:r>
                    <w:rPr>
                      <w:rFonts w:hint="eastAsia" w:eastAsia="仿宋_GB2312" w:cs="Times New Roman"/>
                      <w:b w:val="0"/>
                      <w:bCs/>
                      <w:color w:val="auto"/>
                      <w:sz w:val="21"/>
                      <w:lang w:val="en-US" w:eastAsia="zh-CN"/>
                    </w:rPr>
                    <w:t>32</w:t>
                  </w:r>
                </w:p>
                <w:p w14:paraId="5E0C3B38">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 xml:space="preserve">36%盐酸 </w:t>
                  </w:r>
                  <w:r>
                    <w:rPr>
                      <w:rFonts w:hint="eastAsia" w:eastAsia="仿宋_GB2312" w:cs="Times New Roman"/>
                      <w:b w:val="0"/>
                      <w:bCs/>
                      <w:color w:val="auto"/>
                      <w:sz w:val="21"/>
                      <w:lang w:val="en-US" w:eastAsia="zh-CN"/>
                    </w:rPr>
                    <w:t>16.65</w:t>
                  </w:r>
                </w:p>
                <w:p w14:paraId="6572A90D">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灭菌空气</w:t>
                  </w:r>
                  <w:r>
                    <w:rPr>
                      <w:rFonts w:hint="eastAsia" w:eastAsia="仿宋_GB2312" w:cs="Times New Roman"/>
                      <w:b w:val="0"/>
                      <w:bCs/>
                      <w:color w:val="auto"/>
                      <w:sz w:val="21"/>
                      <w:lang w:val="en-US" w:eastAsia="zh-CN"/>
                    </w:rPr>
                    <w:t xml:space="preserve"> 478.2804</w:t>
                  </w:r>
                </w:p>
                <w:p w14:paraId="4E45D516">
                  <w:pPr>
                    <w:pStyle w:val="3"/>
                    <w:keepNext w:val="0"/>
                    <w:keepLines w:val="0"/>
                    <w:suppressLineNumbers w:val="0"/>
                    <w:spacing w:before="0" w:beforeAutospacing="0" w:after="0" w:afterAutospacing="0"/>
                    <w:ind w:left="0" w:leftChars="0" w:right="0" w:firstLine="0" w:firstLineChars="0"/>
                    <w:rPr>
                      <w:rFonts w:hint="default"/>
                      <w:b w:val="0"/>
                      <w:bCs/>
                      <w:color w:val="auto"/>
                      <w:lang w:val="en-US" w:eastAsia="zh-CN"/>
                    </w:rPr>
                  </w:pPr>
                  <w:r>
                    <w:rPr>
                      <w:rFonts w:hint="eastAsia" w:eastAsia="仿宋_GB2312" w:cs="Times New Roman"/>
                      <w:b w:val="0"/>
                      <w:bCs/>
                      <w:color w:val="auto"/>
                      <w:sz w:val="21"/>
                      <w:lang w:val="en-US" w:eastAsia="zh-CN"/>
                    </w:rPr>
                    <w:t>60%葡萄糖溶液26.535</w:t>
                  </w:r>
                </w:p>
                <w:p w14:paraId="0CAAF473">
                  <w:pPr>
                    <w:keepNext w:val="0"/>
                    <w:keepLines w:val="0"/>
                    <w:widowControl w:val="0"/>
                    <w:suppressLineNumbers w:val="0"/>
                    <w:spacing w:before="0" w:beforeAutospacing="0" w:after="0" w:afterAutospacing="0" w:line="240" w:lineRule="exact"/>
                    <w:ind w:left="0" w:right="0"/>
                    <w:jc w:val="both"/>
                    <w:rPr>
                      <w:rFonts w:hint="default"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纯水</w:t>
                  </w:r>
                  <w:r>
                    <w:rPr>
                      <w:rFonts w:hint="eastAsia" w:eastAsia="仿宋_GB2312" w:cs="Times New Roman"/>
                      <w:b w:val="0"/>
                      <w:bCs/>
                      <w:color w:val="auto"/>
                      <w:sz w:val="21"/>
                      <w:lang w:val="en-US" w:eastAsia="zh-CN"/>
                    </w:rPr>
                    <w:t xml:space="preserve"> 1534.65</w:t>
                  </w:r>
                </w:p>
                <w:p w14:paraId="567D33AB">
                  <w:pPr>
                    <w:keepNext w:val="0"/>
                    <w:keepLines w:val="0"/>
                    <w:widowControl w:val="0"/>
                    <w:suppressLineNumbers w:val="0"/>
                    <w:spacing w:before="0" w:beforeAutospacing="0" w:after="0" w:afterAutospacing="0" w:line="240" w:lineRule="exact"/>
                    <w:ind w:left="0" w:right="0"/>
                    <w:jc w:val="left"/>
                    <w:rPr>
                      <w:rFonts w:hint="default" w:ascii="Times New Roman" w:hAnsi="Times New Roman" w:eastAsia="仿宋_GB2312" w:cs="Times New Roman"/>
                      <w:b w:val="0"/>
                      <w:bCs/>
                      <w:color w:val="auto"/>
                      <w:sz w:val="21"/>
                    </w:rPr>
                  </w:pPr>
                </w:p>
              </w:tc>
              <w:tc>
                <w:tcPr>
                  <w:tcW w:w="517" w:type="pct"/>
                  <w:vAlign w:val="top"/>
                </w:tcPr>
                <w:p w14:paraId="32F2FCF4">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食品用原料γ-氨基丁酸</w:t>
                  </w:r>
                </w:p>
              </w:tc>
              <w:tc>
                <w:tcPr>
                  <w:tcW w:w="498" w:type="pct"/>
                  <w:vAlign w:val="top"/>
                </w:tcPr>
                <w:p w14:paraId="2E0569B7">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val="0"/>
                      <w:bCs/>
                      <w:color w:val="auto"/>
                      <w:sz w:val="21"/>
                      <w:lang w:val="en-US" w:eastAsia="zh-CN"/>
                    </w:rPr>
                  </w:pPr>
                  <w:r>
                    <w:rPr>
                      <w:rFonts w:hint="eastAsia" w:eastAsia="仿宋_GB2312" w:cs="Times New Roman"/>
                      <w:b w:val="0"/>
                      <w:bCs/>
                      <w:color w:val="auto"/>
                      <w:sz w:val="21"/>
                      <w:lang w:val="en-US" w:eastAsia="zh-CN"/>
                    </w:rPr>
                    <w:t>7.5</w:t>
                  </w:r>
                </w:p>
              </w:tc>
              <w:tc>
                <w:tcPr>
                  <w:tcW w:w="983" w:type="pct"/>
                  <w:vAlign w:val="top"/>
                </w:tcPr>
                <w:p w14:paraId="3FDAB71C">
                  <w:pPr>
                    <w:keepNext w:val="0"/>
                    <w:keepLines w:val="0"/>
                    <w:suppressLineNumbers w:val="0"/>
                    <w:spacing w:before="0" w:beforeAutospacing="0" w:after="0" w:afterAutospacing="0" w:line="240" w:lineRule="exact"/>
                    <w:ind w:left="0" w:right="0"/>
                    <w:jc w:val="both"/>
                    <w:rPr>
                      <w:rFonts w:hint="eastAsia" w:eastAsia="仿宋_GB2312" w:cs="Times New Roman"/>
                      <w:b w:val="0"/>
                      <w:bCs/>
                      <w:color w:val="auto"/>
                      <w:sz w:val="21"/>
                      <w:highlight w:val="none"/>
                      <w:lang w:val="en-US" w:eastAsia="zh-CN"/>
                    </w:rPr>
                  </w:pPr>
                  <w:r>
                    <w:rPr>
                      <w:rFonts w:hint="default" w:ascii="Times New Roman" w:hAnsi="Times New Roman" w:eastAsia="仿宋_GB2312" w:cs="Times New Roman"/>
                      <w:b w:val="0"/>
                      <w:bCs/>
                      <w:color w:val="auto"/>
                      <w:sz w:val="21"/>
                      <w:highlight w:val="none"/>
                    </w:rPr>
                    <w:t>G</w:t>
                  </w:r>
                  <w:r>
                    <w:rPr>
                      <w:rFonts w:hint="eastAsia" w:eastAsia="仿宋_GB2312" w:cs="Times New Roman"/>
                      <w:b w:val="0"/>
                      <w:bCs/>
                      <w:color w:val="auto"/>
                      <w:sz w:val="21"/>
                      <w:highlight w:val="none"/>
                      <w:lang w:val="en-US" w:eastAsia="zh-CN"/>
                    </w:rPr>
                    <w:t>1</w:t>
                  </w:r>
                  <w:r>
                    <w:rPr>
                      <w:rFonts w:hint="default" w:ascii="Times New Roman" w:hAnsi="Times New Roman" w:eastAsia="仿宋_GB2312" w:cs="Times New Roman"/>
                      <w:b w:val="0"/>
                      <w:bCs/>
                      <w:color w:val="auto"/>
                      <w:sz w:val="21"/>
                      <w:highlight w:val="none"/>
                    </w:rPr>
                    <w:t>-1</w:t>
                  </w:r>
                  <w:r>
                    <w:rPr>
                      <w:rFonts w:hint="default" w:ascii="Times New Roman" w:hAnsi="Times New Roman" w:eastAsia="仿宋_GB2312" w:cs="Times New Roman"/>
                      <w:b w:val="0"/>
                      <w:bCs/>
                      <w:color w:val="auto"/>
                      <w:sz w:val="21"/>
                      <w:highlight w:val="none"/>
                      <w:lang w:val="en-US" w:eastAsia="zh-CN"/>
                    </w:rPr>
                    <w:t xml:space="preserve"> </w:t>
                  </w:r>
                  <w:r>
                    <w:rPr>
                      <w:rFonts w:hint="eastAsia" w:eastAsia="仿宋_GB2312" w:cs="Times New Roman"/>
                      <w:b w:val="0"/>
                      <w:bCs/>
                      <w:color w:val="auto"/>
                      <w:sz w:val="21"/>
                      <w:highlight w:val="none"/>
                      <w:lang w:val="en-US" w:eastAsia="zh-CN"/>
                    </w:rPr>
                    <w:t>1.1909</w:t>
                  </w:r>
                </w:p>
                <w:p w14:paraId="20D5988A">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highlight w:val="none"/>
                    </w:rPr>
                  </w:pPr>
                  <w:r>
                    <w:rPr>
                      <w:rFonts w:hint="default" w:ascii="Times New Roman" w:hAnsi="Times New Roman" w:eastAsia="仿宋_GB2312" w:cs="Times New Roman"/>
                      <w:b w:val="0"/>
                      <w:bCs/>
                      <w:color w:val="auto"/>
                      <w:sz w:val="21"/>
                      <w:highlight w:val="none"/>
                    </w:rPr>
                    <w:t>G</w:t>
                  </w:r>
                  <w:r>
                    <w:rPr>
                      <w:rFonts w:hint="eastAsia" w:eastAsia="仿宋_GB2312" w:cs="Times New Roman"/>
                      <w:b w:val="0"/>
                      <w:bCs/>
                      <w:color w:val="auto"/>
                      <w:sz w:val="21"/>
                      <w:highlight w:val="none"/>
                      <w:lang w:val="en-US" w:eastAsia="zh-CN"/>
                    </w:rPr>
                    <w:t>1</w:t>
                  </w:r>
                  <w:r>
                    <w:rPr>
                      <w:rFonts w:hint="default" w:ascii="Times New Roman" w:hAnsi="Times New Roman" w:eastAsia="仿宋_GB2312" w:cs="Times New Roman"/>
                      <w:b w:val="0"/>
                      <w:bCs/>
                      <w:color w:val="auto"/>
                      <w:sz w:val="21"/>
                      <w:highlight w:val="none"/>
                    </w:rPr>
                    <w:t>-2</w:t>
                  </w:r>
                  <w:r>
                    <w:rPr>
                      <w:rFonts w:hint="default" w:ascii="Times New Roman" w:hAnsi="Times New Roman" w:eastAsia="仿宋_GB2312" w:cs="Times New Roman"/>
                      <w:b w:val="0"/>
                      <w:bCs/>
                      <w:color w:val="auto"/>
                      <w:sz w:val="21"/>
                      <w:highlight w:val="none"/>
                      <w:lang w:val="en-US" w:eastAsia="zh-CN"/>
                    </w:rPr>
                    <w:t xml:space="preserve"> </w:t>
                  </w:r>
                  <w:r>
                    <w:rPr>
                      <w:rFonts w:hint="default" w:ascii="Times New Roman" w:hAnsi="Times New Roman" w:eastAsia="仿宋_GB2312" w:cs="Times New Roman"/>
                      <w:b w:val="0"/>
                      <w:bCs/>
                      <w:color w:val="auto"/>
                      <w:sz w:val="21"/>
                      <w:highlight w:val="none"/>
                    </w:rPr>
                    <w:t>11.9119</w:t>
                  </w:r>
                </w:p>
                <w:p w14:paraId="316C985B">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highlight w:val="none"/>
                      <w:lang w:val="en-US" w:eastAsia="zh-CN"/>
                    </w:rPr>
                  </w:pPr>
                  <w:r>
                    <w:rPr>
                      <w:rFonts w:hint="default" w:ascii="Times New Roman" w:hAnsi="Times New Roman" w:eastAsia="仿宋_GB2312" w:cs="Times New Roman"/>
                      <w:b w:val="0"/>
                      <w:bCs/>
                      <w:color w:val="auto"/>
                      <w:sz w:val="21"/>
                      <w:highlight w:val="none"/>
                    </w:rPr>
                    <w:t>G</w:t>
                  </w:r>
                  <w:r>
                    <w:rPr>
                      <w:rFonts w:hint="eastAsia" w:eastAsia="仿宋_GB2312" w:cs="Times New Roman"/>
                      <w:b w:val="0"/>
                      <w:bCs/>
                      <w:color w:val="auto"/>
                      <w:sz w:val="21"/>
                      <w:highlight w:val="none"/>
                      <w:lang w:val="en-US" w:eastAsia="zh-CN"/>
                    </w:rPr>
                    <w:t>1</w:t>
                  </w:r>
                  <w:r>
                    <w:rPr>
                      <w:rFonts w:hint="default" w:ascii="Times New Roman" w:hAnsi="Times New Roman" w:eastAsia="仿宋_GB2312" w:cs="Times New Roman"/>
                      <w:b w:val="0"/>
                      <w:bCs/>
                      <w:color w:val="auto"/>
                      <w:sz w:val="21"/>
                      <w:highlight w:val="none"/>
                    </w:rPr>
                    <w:t>-3</w:t>
                  </w:r>
                  <w:r>
                    <w:rPr>
                      <w:rFonts w:hint="default" w:ascii="Times New Roman" w:hAnsi="Times New Roman" w:eastAsia="仿宋_GB2312" w:cs="Times New Roman"/>
                      <w:b w:val="0"/>
                      <w:bCs/>
                      <w:color w:val="auto"/>
                      <w:sz w:val="21"/>
                      <w:highlight w:val="none"/>
                      <w:lang w:val="en-US" w:eastAsia="zh-CN"/>
                    </w:rPr>
                    <w:t xml:space="preserve"> </w:t>
                  </w:r>
                  <w:r>
                    <w:rPr>
                      <w:rFonts w:hint="eastAsia" w:eastAsia="仿宋_GB2312" w:cs="Times New Roman"/>
                      <w:b w:val="0"/>
                      <w:bCs/>
                      <w:color w:val="auto"/>
                      <w:sz w:val="21"/>
                      <w:highlight w:val="none"/>
                      <w:lang w:val="en-US" w:eastAsia="zh-CN"/>
                    </w:rPr>
                    <w:t>478.1679</w:t>
                  </w:r>
                </w:p>
                <w:p w14:paraId="11FB2E13">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highlight w:val="none"/>
                      <w:lang w:val="en-US" w:eastAsia="zh-CN"/>
                    </w:rPr>
                  </w:pPr>
                  <w:r>
                    <w:rPr>
                      <w:rFonts w:hint="default" w:ascii="Times New Roman" w:hAnsi="Times New Roman" w:eastAsia="仿宋_GB2312" w:cs="Times New Roman"/>
                      <w:b w:val="0"/>
                      <w:bCs/>
                      <w:color w:val="auto"/>
                      <w:sz w:val="21"/>
                      <w:highlight w:val="none"/>
                    </w:rPr>
                    <w:t>G</w:t>
                  </w:r>
                  <w:r>
                    <w:rPr>
                      <w:rFonts w:hint="eastAsia" w:eastAsia="仿宋_GB2312" w:cs="Times New Roman"/>
                      <w:b w:val="0"/>
                      <w:bCs/>
                      <w:color w:val="auto"/>
                      <w:sz w:val="21"/>
                      <w:highlight w:val="none"/>
                      <w:lang w:val="en-US" w:eastAsia="zh-CN"/>
                    </w:rPr>
                    <w:t>1</w:t>
                  </w:r>
                  <w:r>
                    <w:rPr>
                      <w:rFonts w:hint="default" w:ascii="Times New Roman" w:hAnsi="Times New Roman" w:eastAsia="仿宋_GB2312" w:cs="Times New Roman"/>
                      <w:b w:val="0"/>
                      <w:bCs/>
                      <w:color w:val="auto"/>
                      <w:sz w:val="21"/>
                      <w:highlight w:val="none"/>
                    </w:rPr>
                    <w:t>-4</w:t>
                  </w:r>
                  <w:r>
                    <w:rPr>
                      <w:rFonts w:hint="default" w:ascii="Times New Roman" w:hAnsi="Times New Roman" w:eastAsia="仿宋_GB2312" w:cs="Times New Roman"/>
                      <w:b w:val="0"/>
                      <w:bCs/>
                      <w:color w:val="auto"/>
                      <w:sz w:val="21"/>
                      <w:highlight w:val="none"/>
                      <w:lang w:val="en-US" w:eastAsia="zh-CN"/>
                    </w:rPr>
                    <w:t xml:space="preserve"> </w:t>
                  </w:r>
                  <w:r>
                    <w:rPr>
                      <w:rFonts w:hint="eastAsia" w:eastAsia="仿宋_GB2312" w:cs="Times New Roman"/>
                      <w:b w:val="0"/>
                      <w:bCs/>
                      <w:color w:val="auto"/>
                      <w:sz w:val="21"/>
                      <w:highlight w:val="none"/>
                      <w:lang w:val="en-US" w:eastAsia="zh-CN"/>
                    </w:rPr>
                    <w:t>3.957</w:t>
                  </w:r>
                </w:p>
                <w:p w14:paraId="17817011">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highlight w:val="yellow"/>
                      <w:lang w:val="en-US" w:eastAsia="zh-CN"/>
                    </w:rPr>
                  </w:pPr>
                  <w:r>
                    <w:rPr>
                      <w:rFonts w:hint="default" w:ascii="Times New Roman" w:hAnsi="Times New Roman" w:eastAsia="仿宋_GB2312" w:cs="Times New Roman"/>
                      <w:b w:val="0"/>
                      <w:bCs/>
                      <w:color w:val="auto"/>
                      <w:sz w:val="21"/>
                      <w:highlight w:val="none"/>
                    </w:rPr>
                    <w:t>G</w:t>
                  </w:r>
                  <w:r>
                    <w:rPr>
                      <w:rFonts w:hint="eastAsia" w:eastAsia="仿宋_GB2312" w:cs="Times New Roman"/>
                      <w:b w:val="0"/>
                      <w:bCs/>
                      <w:color w:val="auto"/>
                      <w:sz w:val="21"/>
                      <w:highlight w:val="none"/>
                      <w:lang w:val="en-US" w:eastAsia="zh-CN"/>
                    </w:rPr>
                    <w:t>1</w:t>
                  </w:r>
                  <w:r>
                    <w:rPr>
                      <w:rFonts w:hint="default" w:ascii="Times New Roman" w:hAnsi="Times New Roman" w:eastAsia="仿宋_GB2312" w:cs="Times New Roman"/>
                      <w:b w:val="0"/>
                      <w:bCs/>
                      <w:color w:val="auto"/>
                      <w:sz w:val="21"/>
                      <w:highlight w:val="none"/>
                    </w:rPr>
                    <w:t>-5</w:t>
                  </w:r>
                  <w:r>
                    <w:rPr>
                      <w:rFonts w:hint="default" w:ascii="Times New Roman" w:hAnsi="Times New Roman" w:eastAsia="仿宋_GB2312" w:cs="Times New Roman"/>
                      <w:b w:val="0"/>
                      <w:bCs/>
                      <w:color w:val="auto"/>
                      <w:sz w:val="21"/>
                      <w:highlight w:val="none"/>
                      <w:lang w:val="en-US" w:eastAsia="zh-CN"/>
                    </w:rPr>
                    <w:t xml:space="preserve"> </w:t>
                  </w:r>
                  <w:r>
                    <w:rPr>
                      <w:rFonts w:hint="default" w:ascii="Times New Roman" w:hAnsi="Times New Roman" w:eastAsia="仿宋_GB2312" w:cs="Times New Roman"/>
                      <w:b w:val="0"/>
                      <w:bCs/>
                      <w:color w:val="auto"/>
                      <w:sz w:val="21"/>
                      <w:highlight w:val="none"/>
                    </w:rPr>
                    <w:t>0.0</w:t>
                  </w:r>
                  <w:r>
                    <w:rPr>
                      <w:rFonts w:hint="eastAsia" w:eastAsia="仿宋_GB2312" w:cs="Times New Roman"/>
                      <w:b w:val="0"/>
                      <w:bCs/>
                      <w:color w:val="auto"/>
                      <w:sz w:val="21"/>
                      <w:highlight w:val="none"/>
                      <w:lang w:val="en-US" w:eastAsia="zh-CN"/>
                    </w:rPr>
                    <w:t>76</w:t>
                  </w:r>
                </w:p>
              </w:tc>
              <w:tc>
                <w:tcPr>
                  <w:tcW w:w="1024" w:type="pct"/>
                  <w:vAlign w:val="top"/>
                </w:tcPr>
                <w:p w14:paraId="061AEAD0">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highlight w:val="none"/>
                      <w:lang w:val="en-US" w:eastAsia="zh-CN"/>
                    </w:rPr>
                  </w:pPr>
                  <w:r>
                    <w:rPr>
                      <w:rFonts w:hint="default" w:ascii="Times New Roman" w:hAnsi="Times New Roman" w:eastAsia="仿宋_GB2312" w:cs="Times New Roman"/>
                      <w:b w:val="0"/>
                      <w:bCs/>
                      <w:color w:val="auto"/>
                      <w:sz w:val="21"/>
                      <w:highlight w:val="none"/>
                    </w:rPr>
                    <w:t>W</w:t>
                  </w:r>
                  <w:r>
                    <w:rPr>
                      <w:rFonts w:hint="eastAsia" w:eastAsia="仿宋_GB2312" w:cs="Times New Roman"/>
                      <w:b w:val="0"/>
                      <w:bCs/>
                      <w:color w:val="auto"/>
                      <w:sz w:val="21"/>
                      <w:highlight w:val="none"/>
                      <w:lang w:val="en-US" w:eastAsia="zh-CN"/>
                    </w:rPr>
                    <w:t>1</w:t>
                  </w:r>
                  <w:r>
                    <w:rPr>
                      <w:rFonts w:hint="default" w:ascii="Times New Roman" w:hAnsi="Times New Roman" w:eastAsia="仿宋_GB2312" w:cs="Times New Roman"/>
                      <w:b w:val="0"/>
                      <w:bCs/>
                      <w:color w:val="auto"/>
                      <w:sz w:val="21"/>
                      <w:highlight w:val="none"/>
                    </w:rPr>
                    <w:t>-1</w:t>
                  </w:r>
                  <w:r>
                    <w:rPr>
                      <w:rFonts w:hint="default" w:ascii="Times New Roman" w:hAnsi="Times New Roman" w:eastAsia="仿宋_GB2312" w:cs="Times New Roman"/>
                      <w:b w:val="0"/>
                      <w:bCs/>
                      <w:color w:val="auto"/>
                      <w:sz w:val="21"/>
                      <w:highlight w:val="none"/>
                      <w:lang w:val="en-US" w:eastAsia="zh-CN"/>
                    </w:rPr>
                    <w:t xml:space="preserve"> </w:t>
                  </w:r>
                  <w:r>
                    <w:rPr>
                      <w:rFonts w:hint="eastAsia" w:eastAsia="仿宋_GB2312" w:cs="Times New Roman"/>
                      <w:b w:val="0"/>
                      <w:bCs/>
                      <w:color w:val="auto"/>
                      <w:sz w:val="21"/>
                      <w:highlight w:val="none"/>
                      <w:lang w:val="en-US" w:eastAsia="zh-CN"/>
                    </w:rPr>
                    <w:t>275.5297</w:t>
                  </w:r>
                </w:p>
                <w:p w14:paraId="5FC842FC">
                  <w:pPr>
                    <w:keepNext w:val="0"/>
                    <w:keepLines w:val="0"/>
                    <w:suppressLineNumbers w:val="0"/>
                    <w:spacing w:before="0" w:beforeAutospacing="0" w:after="0" w:afterAutospacing="0" w:line="240" w:lineRule="exact"/>
                    <w:ind w:left="0" w:right="0"/>
                    <w:jc w:val="both"/>
                    <w:rPr>
                      <w:rFonts w:hint="default" w:eastAsia="仿宋_GB2312" w:cs="Times New Roman"/>
                      <w:b w:val="0"/>
                      <w:bCs/>
                      <w:color w:val="auto"/>
                      <w:sz w:val="21"/>
                      <w:highlight w:val="none"/>
                      <w:lang w:val="en-US" w:eastAsia="zh-CN"/>
                    </w:rPr>
                  </w:pPr>
                  <w:r>
                    <w:rPr>
                      <w:rFonts w:hint="eastAsia" w:eastAsia="仿宋_GB2312" w:cs="Times New Roman"/>
                      <w:b w:val="0"/>
                      <w:bCs/>
                      <w:color w:val="auto"/>
                      <w:sz w:val="21"/>
                      <w:highlight w:val="none"/>
                      <w:lang w:val="en-US" w:eastAsia="zh-CN"/>
                    </w:rPr>
                    <w:t>W1-2 1067.6815</w:t>
                  </w:r>
                </w:p>
                <w:p w14:paraId="4CCC820D">
                  <w:pPr>
                    <w:keepNext w:val="0"/>
                    <w:keepLines w:val="0"/>
                    <w:suppressLineNumbers w:val="0"/>
                    <w:spacing w:before="0" w:beforeAutospacing="0" w:after="0" w:afterAutospacing="0" w:line="240" w:lineRule="exact"/>
                    <w:ind w:left="0" w:right="0"/>
                    <w:jc w:val="both"/>
                    <w:rPr>
                      <w:rFonts w:hint="default" w:eastAsia="仿宋_GB2312" w:cs="Times New Roman"/>
                      <w:b w:val="0"/>
                      <w:bCs/>
                      <w:color w:val="auto"/>
                      <w:sz w:val="21"/>
                      <w:highlight w:val="none"/>
                      <w:lang w:val="en-US" w:eastAsia="zh-CN"/>
                    </w:rPr>
                  </w:pPr>
                  <w:r>
                    <w:rPr>
                      <w:rFonts w:hint="default" w:ascii="Times New Roman" w:hAnsi="Times New Roman" w:eastAsia="仿宋_GB2312" w:cs="Times New Roman"/>
                      <w:b w:val="0"/>
                      <w:bCs/>
                      <w:color w:val="auto"/>
                      <w:sz w:val="21"/>
                      <w:highlight w:val="none"/>
                    </w:rPr>
                    <w:t>W</w:t>
                  </w:r>
                  <w:r>
                    <w:rPr>
                      <w:rFonts w:hint="eastAsia" w:eastAsia="仿宋_GB2312" w:cs="Times New Roman"/>
                      <w:b w:val="0"/>
                      <w:bCs/>
                      <w:color w:val="auto"/>
                      <w:sz w:val="21"/>
                      <w:highlight w:val="none"/>
                      <w:lang w:val="en-US" w:eastAsia="zh-CN"/>
                    </w:rPr>
                    <w:t>1</w:t>
                  </w:r>
                  <w:r>
                    <w:rPr>
                      <w:rFonts w:hint="default" w:ascii="Times New Roman" w:hAnsi="Times New Roman" w:eastAsia="仿宋_GB2312" w:cs="Times New Roman"/>
                      <w:b w:val="0"/>
                      <w:bCs/>
                      <w:color w:val="auto"/>
                      <w:sz w:val="21"/>
                      <w:highlight w:val="none"/>
                    </w:rPr>
                    <w:t>-</w:t>
                  </w:r>
                  <w:r>
                    <w:rPr>
                      <w:rFonts w:hint="eastAsia" w:eastAsia="仿宋_GB2312" w:cs="Times New Roman"/>
                      <w:b w:val="0"/>
                      <w:bCs/>
                      <w:color w:val="auto"/>
                      <w:sz w:val="21"/>
                      <w:highlight w:val="none"/>
                      <w:lang w:val="en-US" w:eastAsia="zh-CN"/>
                    </w:rPr>
                    <w:t>3 201.3113</w:t>
                  </w:r>
                </w:p>
                <w:p w14:paraId="3A0A19EA">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highlight w:val="none"/>
                      <w:lang w:val="en-US" w:eastAsia="zh-CN"/>
                    </w:rPr>
                  </w:pPr>
                  <w:r>
                    <w:rPr>
                      <w:rFonts w:hint="default" w:ascii="Times New Roman" w:hAnsi="Times New Roman" w:eastAsia="仿宋_GB2312" w:cs="Times New Roman"/>
                      <w:b w:val="0"/>
                      <w:bCs/>
                      <w:color w:val="auto"/>
                      <w:sz w:val="21"/>
                      <w:highlight w:val="none"/>
                    </w:rPr>
                    <w:t>W</w:t>
                  </w:r>
                  <w:r>
                    <w:rPr>
                      <w:rFonts w:hint="eastAsia" w:eastAsia="仿宋_GB2312" w:cs="Times New Roman"/>
                      <w:b w:val="0"/>
                      <w:bCs/>
                      <w:color w:val="auto"/>
                      <w:sz w:val="21"/>
                      <w:highlight w:val="none"/>
                      <w:lang w:val="en-US" w:eastAsia="zh-CN"/>
                    </w:rPr>
                    <w:t>1</w:t>
                  </w:r>
                  <w:r>
                    <w:rPr>
                      <w:rFonts w:hint="default" w:ascii="Times New Roman" w:hAnsi="Times New Roman" w:eastAsia="仿宋_GB2312" w:cs="Times New Roman"/>
                      <w:b w:val="0"/>
                      <w:bCs/>
                      <w:color w:val="auto"/>
                      <w:sz w:val="21"/>
                      <w:highlight w:val="none"/>
                    </w:rPr>
                    <w:t>-</w:t>
                  </w:r>
                  <w:r>
                    <w:rPr>
                      <w:rFonts w:hint="eastAsia" w:eastAsia="仿宋_GB2312" w:cs="Times New Roman"/>
                      <w:b w:val="0"/>
                      <w:bCs/>
                      <w:color w:val="auto"/>
                      <w:sz w:val="21"/>
                      <w:highlight w:val="none"/>
                      <w:lang w:val="en-US" w:eastAsia="zh-CN"/>
                    </w:rPr>
                    <w:t>4</w:t>
                  </w:r>
                  <w:r>
                    <w:rPr>
                      <w:rFonts w:hint="default" w:ascii="Times New Roman" w:hAnsi="Times New Roman" w:eastAsia="仿宋_GB2312" w:cs="Times New Roman"/>
                      <w:b w:val="0"/>
                      <w:bCs/>
                      <w:color w:val="auto"/>
                      <w:sz w:val="21"/>
                      <w:highlight w:val="none"/>
                      <w:lang w:val="en-US" w:eastAsia="zh-CN"/>
                    </w:rPr>
                    <w:t xml:space="preserve"> </w:t>
                  </w:r>
                  <w:r>
                    <w:rPr>
                      <w:rFonts w:hint="eastAsia" w:eastAsia="仿宋_GB2312" w:cs="Times New Roman"/>
                      <w:b w:val="0"/>
                      <w:bCs/>
                      <w:color w:val="auto"/>
                      <w:sz w:val="21"/>
                      <w:highlight w:val="none"/>
                      <w:lang w:val="en-US" w:eastAsia="zh-CN"/>
                    </w:rPr>
                    <w:t>26.243</w:t>
                  </w:r>
                </w:p>
                <w:p w14:paraId="5F8BA1E4">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highlight w:val="yellow"/>
                    </w:rPr>
                  </w:pPr>
                </w:p>
              </w:tc>
              <w:tc>
                <w:tcPr>
                  <w:tcW w:w="725" w:type="pct"/>
                  <w:vAlign w:val="top"/>
                </w:tcPr>
                <w:p w14:paraId="0E5EBEA4">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val="0"/>
                      <w:bCs/>
                      <w:color w:val="auto"/>
                      <w:sz w:val="21"/>
                      <w:highlight w:val="yellow"/>
                      <w:lang w:val="en-US" w:eastAsia="zh-CN"/>
                    </w:rPr>
                  </w:pPr>
                  <w:r>
                    <w:rPr>
                      <w:rFonts w:hint="default" w:ascii="Times New Roman" w:hAnsi="Times New Roman" w:eastAsia="仿宋_GB2312" w:cs="Times New Roman"/>
                      <w:b w:val="0"/>
                      <w:bCs/>
                      <w:color w:val="auto"/>
                      <w:kern w:val="0"/>
                      <w:sz w:val="21"/>
                      <w:highlight w:val="none"/>
                    </w:rPr>
                    <w:t>S</w:t>
                  </w:r>
                  <w:r>
                    <w:rPr>
                      <w:rFonts w:hint="eastAsia" w:eastAsia="仿宋_GB2312" w:cs="Times New Roman"/>
                      <w:b w:val="0"/>
                      <w:bCs/>
                      <w:color w:val="auto"/>
                      <w:kern w:val="0"/>
                      <w:sz w:val="21"/>
                      <w:highlight w:val="none"/>
                      <w:lang w:val="en-US" w:eastAsia="zh-CN"/>
                    </w:rPr>
                    <w:t>1</w:t>
                  </w:r>
                  <w:r>
                    <w:rPr>
                      <w:rFonts w:hint="default" w:ascii="Times New Roman" w:hAnsi="Times New Roman" w:eastAsia="仿宋_GB2312" w:cs="Times New Roman"/>
                      <w:b w:val="0"/>
                      <w:bCs/>
                      <w:color w:val="auto"/>
                      <w:kern w:val="0"/>
                      <w:sz w:val="21"/>
                      <w:highlight w:val="none"/>
                    </w:rPr>
                    <w:t xml:space="preserve">-1 </w:t>
                  </w:r>
                  <w:r>
                    <w:rPr>
                      <w:rFonts w:hint="eastAsia" w:eastAsia="仿宋_GB2312" w:cs="Times New Roman"/>
                      <w:b w:val="0"/>
                      <w:bCs/>
                      <w:color w:val="auto"/>
                      <w:kern w:val="0"/>
                      <w:sz w:val="21"/>
                      <w:highlight w:val="none"/>
                      <w:lang w:val="en-US" w:eastAsia="zh-CN"/>
                    </w:rPr>
                    <w:t>4.0147</w:t>
                  </w:r>
                </w:p>
              </w:tc>
            </w:tr>
            <w:tr w14:paraId="4669E1B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554" w:type="pct"/>
                  <w:vMerge w:val="restart"/>
                  <w:vAlign w:val="center"/>
                </w:tcPr>
                <w:p w14:paraId="478BABB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kern w:val="0"/>
                      <w:sz w:val="21"/>
                    </w:rPr>
                    <w:t>合计</w:t>
                  </w:r>
                </w:p>
              </w:tc>
              <w:tc>
                <w:tcPr>
                  <w:tcW w:w="695" w:type="pct"/>
                  <w:vMerge w:val="restart"/>
                  <w:vAlign w:val="center"/>
                </w:tcPr>
                <w:p w14:paraId="2BC4053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lang w:val="en-US" w:eastAsia="zh-CN"/>
                    </w:rPr>
                  </w:pPr>
                  <w:r>
                    <w:rPr>
                      <w:rFonts w:hint="eastAsia" w:eastAsia="仿宋_GB2312" w:cs="Times New Roman"/>
                      <w:b w:val="0"/>
                      <w:bCs/>
                      <w:color w:val="auto"/>
                      <w:sz w:val="21"/>
                      <w:lang w:val="en-US" w:eastAsia="zh-CN"/>
                    </w:rPr>
                    <w:t>2077.5839</w:t>
                  </w:r>
                </w:p>
              </w:tc>
              <w:tc>
                <w:tcPr>
                  <w:tcW w:w="517" w:type="pct"/>
                  <w:vAlign w:val="center"/>
                </w:tcPr>
                <w:p w14:paraId="3C532F4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小计</w:t>
                  </w:r>
                </w:p>
              </w:tc>
              <w:tc>
                <w:tcPr>
                  <w:tcW w:w="498" w:type="pct"/>
                  <w:vAlign w:val="center"/>
                </w:tcPr>
                <w:p w14:paraId="50A38C7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lang w:val="en-US" w:eastAsia="zh-CN"/>
                    </w:rPr>
                  </w:pPr>
                  <w:r>
                    <w:rPr>
                      <w:rFonts w:hint="eastAsia" w:eastAsia="仿宋_GB2312" w:cs="Times New Roman"/>
                      <w:b w:val="0"/>
                      <w:bCs/>
                      <w:color w:val="auto"/>
                      <w:sz w:val="21"/>
                      <w:lang w:val="en-US" w:eastAsia="zh-CN"/>
                    </w:rPr>
                    <w:t>7.5</w:t>
                  </w:r>
                </w:p>
              </w:tc>
              <w:tc>
                <w:tcPr>
                  <w:tcW w:w="983" w:type="pct"/>
                  <w:vAlign w:val="center"/>
                </w:tcPr>
                <w:p w14:paraId="21BC62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小计</w:t>
                  </w:r>
                </w:p>
                <w:p w14:paraId="502D9F5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lang w:val="en-US" w:eastAsia="zh-CN"/>
                    </w:rPr>
                  </w:pPr>
                  <w:r>
                    <w:rPr>
                      <w:rFonts w:hint="eastAsia" w:eastAsia="仿宋_GB2312" w:cs="Times New Roman"/>
                      <w:b w:val="0"/>
                      <w:bCs/>
                      <w:color w:val="auto"/>
                      <w:sz w:val="21"/>
                      <w:lang w:val="en-US" w:eastAsia="zh-CN"/>
                    </w:rPr>
                    <w:t>495.3037</w:t>
                  </w:r>
                </w:p>
              </w:tc>
              <w:tc>
                <w:tcPr>
                  <w:tcW w:w="1024" w:type="pct"/>
                  <w:vAlign w:val="center"/>
                </w:tcPr>
                <w:p w14:paraId="0E2707B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小计</w:t>
                  </w:r>
                </w:p>
                <w:p w14:paraId="47B7811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lang w:val="en-US" w:eastAsia="zh-CN"/>
                    </w:rPr>
                  </w:pPr>
                  <w:r>
                    <w:rPr>
                      <w:rFonts w:hint="eastAsia" w:eastAsia="仿宋_GB2312" w:cs="Times New Roman"/>
                      <w:b w:val="0"/>
                      <w:bCs/>
                      <w:color w:val="auto"/>
                      <w:sz w:val="21"/>
                      <w:lang w:val="en-US" w:eastAsia="zh-CN"/>
                    </w:rPr>
                    <w:t>1570.7655</w:t>
                  </w:r>
                </w:p>
              </w:tc>
              <w:tc>
                <w:tcPr>
                  <w:tcW w:w="725" w:type="pct"/>
                  <w:vAlign w:val="center"/>
                </w:tcPr>
                <w:p w14:paraId="0EA5F3E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小计</w:t>
                  </w:r>
                </w:p>
                <w:p w14:paraId="1F035D5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lang w:val="en-US"/>
                    </w:rPr>
                  </w:pPr>
                  <w:r>
                    <w:rPr>
                      <w:rFonts w:hint="eastAsia" w:eastAsia="仿宋_GB2312" w:cs="Times New Roman"/>
                      <w:b w:val="0"/>
                      <w:bCs/>
                      <w:color w:val="auto"/>
                      <w:kern w:val="0"/>
                      <w:sz w:val="21"/>
                      <w:highlight w:val="none"/>
                      <w:lang w:val="en-US" w:eastAsia="zh-CN"/>
                    </w:rPr>
                    <w:t>4.0147</w:t>
                  </w:r>
                </w:p>
              </w:tc>
            </w:tr>
            <w:tr w14:paraId="4533B6A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554" w:type="pct"/>
                  <w:vMerge w:val="continue"/>
                  <w:vAlign w:val="top"/>
                </w:tcPr>
                <w:p w14:paraId="5F27AD37">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val="0"/>
                      <w:bCs/>
                      <w:color w:val="auto"/>
                      <w:sz w:val="21"/>
                    </w:rPr>
                  </w:pPr>
                </w:p>
              </w:tc>
              <w:tc>
                <w:tcPr>
                  <w:tcW w:w="695" w:type="pct"/>
                  <w:vMerge w:val="continue"/>
                  <w:vAlign w:val="center"/>
                </w:tcPr>
                <w:p w14:paraId="44D52EE1">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val="0"/>
                      <w:bCs/>
                      <w:color w:val="auto"/>
                      <w:sz w:val="21"/>
                    </w:rPr>
                  </w:pPr>
                </w:p>
              </w:tc>
              <w:tc>
                <w:tcPr>
                  <w:tcW w:w="517" w:type="pct"/>
                  <w:vAlign w:val="center"/>
                </w:tcPr>
                <w:p w14:paraId="4D8E480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合计</w:t>
                  </w:r>
                </w:p>
              </w:tc>
              <w:tc>
                <w:tcPr>
                  <w:tcW w:w="3232" w:type="pct"/>
                  <w:gridSpan w:val="4"/>
                  <w:vAlign w:val="center"/>
                </w:tcPr>
                <w:p w14:paraId="545F129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eastAsia" w:eastAsia="仿宋_GB2312" w:cs="Times New Roman"/>
                      <w:b w:val="0"/>
                      <w:bCs/>
                      <w:color w:val="auto"/>
                      <w:sz w:val="21"/>
                      <w:lang w:val="en-US" w:eastAsia="zh-CN"/>
                    </w:rPr>
                    <w:t>2077.5839</w:t>
                  </w:r>
                </w:p>
              </w:tc>
            </w:tr>
          </w:tbl>
          <w:p w14:paraId="2DF061DE">
            <w:pPr>
              <w:keepNext w:val="0"/>
              <w:keepLines w:val="0"/>
              <w:suppressLineNumbers w:val="0"/>
              <w:spacing w:before="0" w:beforeAutospacing="0" w:after="0" w:afterAutospacing="0" w:line="320" w:lineRule="exact"/>
              <w:ind w:left="0" w:right="0"/>
              <w:rPr>
                <w:rFonts w:hint="eastAsia"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lang w:val="zh-CN"/>
              </w:rPr>
              <w:t>注：1、种子液制备过程的原料消耗量极小，不计入物料平衡中。2、本项目盐酸计量、投料、配制过程产生的废气在公辅工程废气中统一核算不计入物料平衡。</w:t>
            </w:r>
            <w:r>
              <w:rPr>
                <w:rFonts w:hint="eastAsia" w:eastAsia="仿宋_GB2312" w:cs="Times New Roman"/>
                <w:color w:val="auto"/>
                <w:sz w:val="21"/>
                <w:lang w:val="en-US" w:eastAsia="zh-CN"/>
              </w:rPr>
              <w:t>3、食品用原料的生产线物料平衡数据，均是以上海光玥生物科技有限公司（母公司）研发试验数据（小试）为基础，同时结合本项目的产品产能和相关主要设备参数而得出</w:t>
            </w:r>
          </w:p>
          <w:p w14:paraId="31A6F0EB">
            <w:pPr>
              <w:pStyle w:val="3"/>
              <w:keepNext w:val="0"/>
              <w:keepLines w:val="0"/>
              <w:suppressLineNumbers w:val="0"/>
              <w:spacing w:before="0" w:beforeAutospacing="0" w:after="0" w:afterAutospacing="0"/>
              <w:ind w:right="0"/>
              <w:rPr>
                <w:rFonts w:hint="default" w:eastAsia="仿宋_GB2312"/>
                <w:b/>
                <w:color w:val="auto"/>
                <w:sz w:val="22"/>
                <w:szCs w:val="22"/>
              </w:rPr>
            </w:pPr>
          </w:p>
          <w:p w14:paraId="3A5211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_GB2312"/>
                <w:b/>
                <w:color w:val="auto"/>
                <w:sz w:val="22"/>
                <w:szCs w:val="22"/>
              </w:rPr>
            </w:pPr>
            <w:r>
              <w:rPr>
                <w:rFonts w:hint="default" w:ascii="Times New Roman" w:hAnsi="Times New Roman"/>
                <w:color w:val="auto"/>
                <w:sz w:val="21"/>
              </w:rPr>
              <w:object>
                <v:shape id="_x0000_i1026" o:spt="75" type="#_x0000_t75" style="height:666.75pt;width:419.6pt;" o:ole="t" filled="f" o:preferrelative="t" stroked="f" coordsize="21600,21600">
                  <v:path/>
                  <v:fill on="f" focussize="0,0"/>
                  <v:stroke on="f"/>
                  <v:imagedata r:id="rId13" o:title=""/>
                  <o:lock v:ext="edit" aspectratio="t"/>
                  <w10:wrap type="none"/>
                  <w10:anchorlock/>
                </v:shape>
                <o:OLEObject Type="Embed" ProgID="Visio.Drawing.15" ShapeID="_x0000_i1026" DrawAspect="Content" ObjectID="_1468075726" r:id="rId12">
                  <o:LockedField>false</o:LockedField>
                </o:OLEObject>
              </w:object>
            </w:r>
          </w:p>
          <w:p w14:paraId="587C7B04">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图2-</w:t>
            </w:r>
            <w:r>
              <w:rPr>
                <w:rFonts w:hint="eastAsia" w:eastAsia="仿宋_GB2312"/>
                <w:b/>
                <w:color w:val="auto"/>
                <w:sz w:val="22"/>
                <w:szCs w:val="22"/>
                <w:lang w:val="en-US" w:eastAsia="zh-CN"/>
              </w:rPr>
              <w:t>2</w:t>
            </w:r>
            <w:r>
              <w:rPr>
                <w:rFonts w:hint="default" w:eastAsia="仿宋_GB2312"/>
                <w:b/>
                <w:color w:val="auto"/>
                <w:sz w:val="22"/>
                <w:szCs w:val="22"/>
              </w:rPr>
              <w:t xml:space="preserve">  本项目食品用原料</w:t>
            </w:r>
            <w:r>
              <w:rPr>
                <w:rFonts w:hint="eastAsia" w:eastAsia="仿宋_GB2312"/>
                <w:b/>
                <w:color w:val="auto"/>
                <w:sz w:val="22"/>
                <w:szCs w:val="22"/>
                <w:lang w:eastAsia="zh-CN"/>
              </w:rPr>
              <w:t>（</w:t>
            </w:r>
            <w:r>
              <w:rPr>
                <w:rFonts w:hint="default" w:eastAsia="仿宋_GB2312"/>
                <w:b/>
                <w:color w:val="auto"/>
                <w:sz w:val="22"/>
                <w:szCs w:val="22"/>
              </w:rPr>
              <w:t>γ-氨基丁酸</w:t>
            </w:r>
            <w:r>
              <w:rPr>
                <w:rFonts w:hint="eastAsia" w:eastAsia="仿宋_GB2312"/>
                <w:b/>
                <w:color w:val="auto"/>
                <w:sz w:val="22"/>
                <w:szCs w:val="22"/>
                <w:lang w:eastAsia="zh-CN"/>
              </w:rPr>
              <w:t>）</w:t>
            </w:r>
            <w:r>
              <w:rPr>
                <w:rFonts w:hint="default" w:eastAsia="仿宋_GB2312"/>
                <w:b/>
                <w:color w:val="auto"/>
                <w:sz w:val="22"/>
                <w:szCs w:val="22"/>
              </w:rPr>
              <w:t>生产物料平衡图（kg/批次）</w:t>
            </w:r>
          </w:p>
          <w:p w14:paraId="36BD525C">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fldChar w:fldCharType="begin"/>
            </w:r>
            <w:r>
              <w:rPr>
                <w:rFonts w:hint="default" w:eastAsia="仿宋_GB2312"/>
                <w:b/>
                <w:color w:val="auto"/>
                <w:sz w:val="24"/>
                <w:lang w:val="zh-CN"/>
              </w:rPr>
              <w:instrText xml:space="preserve"> = 3 \* GB3 </w:instrText>
            </w:r>
            <w:r>
              <w:rPr>
                <w:rFonts w:hint="default" w:eastAsia="仿宋_GB2312"/>
                <w:b/>
                <w:color w:val="auto"/>
                <w:sz w:val="24"/>
                <w:lang w:val="zh-CN"/>
              </w:rPr>
              <w:fldChar w:fldCharType="separate"/>
            </w:r>
            <w:r>
              <w:rPr>
                <w:rFonts w:hint="default"/>
                <w:b/>
                <w:color w:val="auto"/>
                <w:sz w:val="24"/>
                <w:lang w:val="zh-CN"/>
              </w:rPr>
              <w:t>③</w:t>
            </w:r>
            <w:r>
              <w:rPr>
                <w:rFonts w:hint="default" w:eastAsia="仿宋_GB2312"/>
                <w:b/>
                <w:color w:val="auto"/>
                <w:sz w:val="24"/>
                <w:lang w:val="zh-CN"/>
              </w:rPr>
              <w:fldChar w:fldCharType="end"/>
            </w:r>
            <w:r>
              <w:rPr>
                <w:rFonts w:hint="default" w:eastAsia="仿宋_GB2312"/>
                <w:b/>
                <w:color w:val="auto"/>
                <w:sz w:val="24"/>
                <w:lang w:val="zh-CN"/>
              </w:rPr>
              <w:t>污染物产生情况</w:t>
            </w:r>
          </w:p>
          <w:p w14:paraId="4965F5FA">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bCs/>
                <w:color w:val="auto"/>
                <w:sz w:val="24"/>
                <w:lang w:eastAsia="zh-CN"/>
              </w:rPr>
            </w:pPr>
            <w:r>
              <w:rPr>
                <w:rFonts w:hint="default" w:eastAsia="仿宋_GB2312"/>
                <w:bCs/>
                <w:color w:val="auto"/>
                <w:sz w:val="24"/>
              </w:rPr>
              <w:t>（1）有组织废气产生情况</w:t>
            </w:r>
            <w:r>
              <w:rPr>
                <w:rFonts w:hint="eastAsia" w:eastAsia="仿宋_GB2312"/>
                <w:bCs/>
                <w:color w:val="auto"/>
                <w:sz w:val="24"/>
                <w:lang w:eastAsia="zh-CN"/>
              </w:rPr>
              <w:t>见下表</w:t>
            </w:r>
          </w:p>
          <w:p w14:paraId="5AFE0433">
            <w:pPr>
              <w:keepNext w:val="0"/>
              <w:keepLines w:val="0"/>
              <w:suppressLineNumbers w:val="0"/>
              <w:adjustRightInd w:val="0"/>
              <w:snapToGrid w:val="0"/>
              <w:spacing w:before="0" w:beforeAutospacing="0" w:after="0" w:afterAutospacing="0" w:line="500" w:lineRule="exact"/>
              <w:ind w:left="0" w:right="0" w:firstLine="442" w:firstLineChars="200"/>
              <w:jc w:val="center"/>
              <w:rPr>
                <w:rFonts w:hint="default" w:eastAsia="仿宋_GB2312"/>
                <w:b/>
                <w:color w:val="auto"/>
                <w:sz w:val="22"/>
                <w:szCs w:val="22"/>
              </w:rPr>
            </w:pPr>
            <w:r>
              <w:rPr>
                <w:rFonts w:hint="default" w:eastAsia="仿宋_GB2312"/>
                <w:b/>
                <w:color w:val="auto"/>
                <w:sz w:val="22"/>
                <w:szCs w:val="22"/>
              </w:rPr>
              <w:t>表2-1</w:t>
            </w:r>
            <w:r>
              <w:rPr>
                <w:rFonts w:hint="eastAsia" w:eastAsia="仿宋_GB2312"/>
                <w:b/>
                <w:color w:val="auto"/>
                <w:sz w:val="22"/>
                <w:szCs w:val="22"/>
                <w:lang w:val="en-US" w:eastAsia="zh-CN"/>
              </w:rPr>
              <w:t>3</w:t>
            </w:r>
            <w:r>
              <w:rPr>
                <w:rFonts w:hint="default" w:eastAsia="仿宋_GB2312"/>
                <w:b/>
                <w:color w:val="auto"/>
                <w:sz w:val="22"/>
                <w:szCs w:val="22"/>
              </w:rPr>
              <w:t xml:space="preserve">  有组织废气产生情况表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239"/>
              <w:gridCol w:w="1584"/>
              <w:gridCol w:w="1037"/>
              <w:gridCol w:w="1510"/>
              <w:gridCol w:w="1387"/>
              <w:gridCol w:w="847"/>
              <w:gridCol w:w="808"/>
            </w:tblGrid>
            <w:tr w14:paraId="4AB3B7A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736" w:type="pct"/>
                  <w:vAlign w:val="center"/>
                </w:tcPr>
                <w:p w14:paraId="6F06259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编号</w:t>
                  </w:r>
                </w:p>
              </w:tc>
              <w:tc>
                <w:tcPr>
                  <w:tcW w:w="941" w:type="pct"/>
                  <w:vAlign w:val="center"/>
                </w:tcPr>
                <w:p w14:paraId="50EFD5C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污染源位置及名称</w:t>
                  </w:r>
                </w:p>
              </w:tc>
              <w:tc>
                <w:tcPr>
                  <w:tcW w:w="616" w:type="pct"/>
                  <w:vAlign w:val="center"/>
                </w:tcPr>
                <w:p w14:paraId="797CFBE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897" w:type="pct"/>
                  <w:vAlign w:val="center"/>
                </w:tcPr>
                <w:p w14:paraId="3A830B6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产生量（t/a）</w:t>
                  </w:r>
                </w:p>
              </w:tc>
              <w:tc>
                <w:tcPr>
                  <w:tcW w:w="824" w:type="pct"/>
                  <w:vAlign w:val="center"/>
                </w:tcPr>
                <w:p w14:paraId="1D9C31E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拟采取的处理方式</w:t>
                  </w:r>
                </w:p>
              </w:tc>
              <w:tc>
                <w:tcPr>
                  <w:tcW w:w="503" w:type="pct"/>
                  <w:vAlign w:val="center"/>
                </w:tcPr>
                <w:p w14:paraId="128E231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排气筒编号</w:t>
                  </w:r>
                </w:p>
              </w:tc>
              <w:tc>
                <w:tcPr>
                  <w:tcW w:w="480" w:type="pct"/>
                  <w:vAlign w:val="center"/>
                </w:tcPr>
                <w:p w14:paraId="6C563CC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排放高度</w:t>
                  </w:r>
                </w:p>
              </w:tc>
            </w:tr>
            <w:tr w14:paraId="2E5C3FC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736" w:type="pct"/>
                  <w:vAlign w:val="center"/>
                </w:tcPr>
                <w:p w14:paraId="624B0639">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bCs/>
                      <w:color w:val="auto"/>
                      <w:sz w:val="21"/>
                      <w:lang w:val="en-US" w:eastAsia="zh-CN"/>
                    </w:rPr>
                  </w:pPr>
                  <w:r>
                    <w:rPr>
                      <w:rFonts w:hint="default" w:ascii="Times New Roman" w:hAnsi="Times New Roman" w:eastAsia="仿宋_GB2312" w:cs="Times New Roman"/>
                      <w:color w:val="auto"/>
                      <w:szCs w:val="21"/>
                    </w:rPr>
                    <w:t>G</w:t>
                  </w:r>
                  <w:r>
                    <w:rPr>
                      <w:rFonts w:hint="eastAsia" w:ascii="Times New Roman" w:hAnsi="Times New Roman" w:cs="Times New Roman"/>
                      <w:color w:val="auto"/>
                      <w:szCs w:val="21"/>
                      <w:lang w:val="en-US" w:eastAsia="zh-CN"/>
                    </w:rPr>
                    <w:t>1</w:t>
                  </w:r>
                  <w:r>
                    <w:rPr>
                      <w:rFonts w:hint="default" w:ascii="Times New Roman" w:hAnsi="Times New Roman" w:eastAsia="仿宋_GB2312" w:cs="Times New Roman"/>
                      <w:color w:val="auto"/>
                      <w:szCs w:val="21"/>
                    </w:rPr>
                    <w:t>-</w:t>
                  </w:r>
                  <w:r>
                    <w:rPr>
                      <w:rFonts w:hint="eastAsia" w:eastAsia="仿宋_GB2312" w:cs="Times New Roman"/>
                      <w:color w:val="auto"/>
                      <w:szCs w:val="21"/>
                      <w:lang w:val="en-US" w:eastAsia="zh-CN"/>
                    </w:rPr>
                    <w:t>1</w:t>
                  </w:r>
                </w:p>
              </w:tc>
              <w:tc>
                <w:tcPr>
                  <w:tcW w:w="941" w:type="pct"/>
                  <w:vAlign w:val="center"/>
                </w:tcPr>
                <w:p w14:paraId="5A47C98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Cs w:val="21"/>
                      <w:lang w:val="zh-CN" w:eastAsia="zh-CN"/>
                    </w:rPr>
                  </w:pPr>
                  <w:r>
                    <w:rPr>
                      <w:rFonts w:hint="eastAsia" w:ascii="Times New Roman" w:hAnsi="Times New Roman" w:eastAsia="仿宋_GB2312" w:cs="Times New Roman"/>
                      <w:color w:val="auto"/>
                      <w:szCs w:val="21"/>
                      <w:lang w:val="en-US" w:eastAsia="zh-CN"/>
                    </w:rPr>
                    <w:t>种子培养废气</w:t>
                  </w:r>
                </w:p>
              </w:tc>
              <w:tc>
                <w:tcPr>
                  <w:tcW w:w="616" w:type="pct"/>
                  <w:vAlign w:val="center"/>
                </w:tcPr>
                <w:p w14:paraId="4F2A08E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CO</w:t>
                  </w:r>
                  <w:r>
                    <w:rPr>
                      <w:rFonts w:hint="eastAsia" w:eastAsia="仿宋_GB2312" w:cs="Times New Roman"/>
                      <w:color w:val="auto"/>
                      <w:kern w:val="0"/>
                      <w:sz w:val="21"/>
                      <w:szCs w:val="21"/>
                      <w:vertAlign w:val="subscript"/>
                      <w:lang w:val="en-US" w:eastAsia="zh-CN" w:bidi="ar-SA"/>
                    </w:rPr>
                    <w:t>2</w:t>
                  </w:r>
                </w:p>
              </w:tc>
              <w:tc>
                <w:tcPr>
                  <w:tcW w:w="897" w:type="pct"/>
                  <w:vAlign w:val="center"/>
                </w:tcPr>
                <w:p w14:paraId="56F642B9">
                  <w:pPr>
                    <w:keepNext w:val="0"/>
                    <w:keepLines w:val="0"/>
                    <w:suppressLineNumbers w:val="0"/>
                    <w:spacing w:before="0" w:beforeAutospacing="0" w:after="0" w:afterAutospacing="0" w:line="240" w:lineRule="exact"/>
                    <w:ind w:left="0" w:right="0"/>
                    <w:jc w:val="center"/>
                    <w:rPr>
                      <w:rFonts w:hint="default"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0.0024</w:t>
                  </w:r>
                </w:p>
              </w:tc>
              <w:tc>
                <w:tcPr>
                  <w:tcW w:w="824" w:type="pct"/>
                  <w:vMerge w:val="restart"/>
                  <w:vAlign w:val="center"/>
                </w:tcPr>
                <w:p w14:paraId="7252B00A">
                  <w:pPr>
                    <w:keepNext w:val="0"/>
                    <w:keepLines w:val="0"/>
                    <w:suppressLineNumbers w:val="0"/>
                    <w:spacing w:before="0" w:beforeAutospacing="0" w:after="0" w:afterAutospacing="0" w:line="240" w:lineRule="exact"/>
                    <w:ind w:left="0" w:right="0"/>
                    <w:jc w:val="center"/>
                    <w:rPr>
                      <w:rFonts w:hint="default" w:eastAsia="仿宋_GB2312" w:cs="Times New Roman"/>
                      <w:color w:val="auto"/>
                      <w:kern w:val="0"/>
                      <w:sz w:val="21"/>
                      <w:szCs w:val="21"/>
                      <w:lang w:val="zh-CN" w:eastAsia="zh-CN" w:bidi="ar-SA"/>
                    </w:rPr>
                  </w:pPr>
                  <w:r>
                    <w:rPr>
                      <w:rFonts w:hint="eastAsia" w:eastAsia="仿宋_GB2312" w:cs="Times New Roman"/>
                      <w:color w:val="auto"/>
                      <w:kern w:val="0"/>
                      <w:sz w:val="21"/>
                      <w:szCs w:val="21"/>
                      <w:lang w:val="en-US" w:eastAsia="zh-CN" w:bidi="ar-SA"/>
                    </w:rPr>
                    <w:t>酸吸收+碱吸收+除雾器+两级活性炭吸附</w:t>
                  </w:r>
                </w:p>
              </w:tc>
              <w:tc>
                <w:tcPr>
                  <w:tcW w:w="503" w:type="pct"/>
                  <w:vMerge w:val="restart"/>
                  <w:vAlign w:val="center"/>
                </w:tcPr>
                <w:p w14:paraId="1AE3A52D">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Cs/>
                      <w:color w:val="auto"/>
                      <w:sz w:val="21"/>
                      <w:lang w:val="en-US" w:eastAsia="zh-CN"/>
                    </w:rPr>
                  </w:pPr>
                  <w:r>
                    <w:rPr>
                      <w:rFonts w:hint="default" w:ascii="Times New Roman" w:hAnsi="Times New Roman" w:eastAsia="仿宋_GB2312" w:cs="Times New Roman"/>
                      <w:bCs/>
                      <w:color w:val="auto"/>
                      <w:sz w:val="21"/>
                    </w:rPr>
                    <w:t>DA00</w:t>
                  </w:r>
                  <w:r>
                    <w:rPr>
                      <w:rFonts w:hint="eastAsia" w:eastAsia="仿宋_GB2312" w:cs="Times New Roman"/>
                      <w:bCs/>
                      <w:color w:val="auto"/>
                      <w:sz w:val="21"/>
                      <w:lang w:val="en-US" w:eastAsia="zh-CN"/>
                    </w:rPr>
                    <w:t>2</w:t>
                  </w:r>
                </w:p>
              </w:tc>
              <w:tc>
                <w:tcPr>
                  <w:tcW w:w="480" w:type="pct"/>
                  <w:vMerge w:val="restart"/>
                  <w:vAlign w:val="center"/>
                </w:tcPr>
                <w:p w14:paraId="580F5C4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lang w:val="en-US" w:eastAsia="zh-CN"/>
                    </w:rPr>
                  </w:pPr>
                  <w:r>
                    <w:rPr>
                      <w:rFonts w:hint="eastAsia" w:eastAsia="仿宋_GB2312" w:cs="Times New Roman"/>
                      <w:bCs/>
                      <w:color w:val="auto"/>
                      <w:sz w:val="21"/>
                      <w:lang w:val="en-US" w:eastAsia="zh-CN"/>
                    </w:rPr>
                    <w:t>15m</w:t>
                  </w:r>
                </w:p>
              </w:tc>
            </w:tr>
            <w:tr w14:paraId="3449DA7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736" w:type="pct"/>
                  <w:vAlign w:val="center"/>
                </w:tcPr>
                <w:p w14:paraId="41937A1E">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bCs/>
                      <w:color w:val="auto"/>
                      <w:sz w:val="21"/>
                      <w:lang w:val="en-US" w:eastAsia="zh-CN"/>
                    </w:rPr>
                  </w:pPr>
                  <w:r>
                    <w:rPr>
                      <w:rFonts w:hint="default" w:ascii="Times New Roman" w:hAnsi="Times New Roman" w:eastAsia="仿宋_GB2312" w:cs="Times New Roman"/>
                      <w:color w:val="auto"/>
                      <w:szCs w:val="21"/>
                    </w:rPr>
                    <w:t>G</w:t>
                  </w:r>
                  <w:r>
                    <w:rPr>
                      <w:rFonts w:hint="eastAsia" w:ascii="Times New Roman" w:hAnsi="Times New Roman" w:cs="Times New Roman"/>
                      <w:color w:val="auto"/>
                      <w:szCs w:val="21"/>
                      <w:lang w:val="en-US" w:eastAsia="zh-CN"/>
                    </w:rPr>
                    <w:t>1</w:t>
                  </w:r>
                  <w:r>
                    <w:rPr>
                      <w:rFonts w:hint="default" w:ascii="Times New Roman" w:hAnsi="Times New Roman" w:eastAsia="仿宋_GB2312" w:cs="Times New Roman"/>
                      <w:color w:val="auto"/>
                      <w:szCs w:val="21"/>
                    </w:rPr>
                    <w:t>-</w:t>
                  </w:r>
                  <w:r>
                    <w:rPr>
                      <w:rFonts w:hint="eastAsia" w:eastAsia="仿宋_GB2312" w:cs="Times New Roman"/>
                      <w:color w:val="auto"/>
                      <w:szCs w:val="21"/>
                      <w:lang w:val="en-US" w:eastAsia="zh-CN"/>
                    </w:rPr>
                    <w:t>2</w:t>
                  </w:r>
                </w:p>
              </w:tc>
              <w:tc>
                <w:tcPr>
                  <w:tcW w:w="941" w:type="pct"/>
                  <w:vAlign w:val="center"/>
                </w:tcPr>
                <w:p w14:paraId="54D8D92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Cs w:val="21"/>
                      <w:lang w:val="zh-CN" w:eastAsia="zh-CN"/>
                    </w:rPr>
                  </w:pPr>
                  <w:r>
                    <w:rPr>
                      <w:rFonts w:hint="eastAsia" w:ascii="Times New Roman" w:hAnsi="Times New Roman" w:eastAsia="仿宋_GB2312" w:cs="Times New Roman"/>
                      <w:color w:val="auto"/>
                      <w:szCs w:val="21"/>
                      <w:lang w:val="en-US" w:eastAsia="zh-CN"/>
                    </w:rPr>
                    <w:t>种子培养废气</w:t>
                  </w:r>
                </w:p>
              </w:tc>
              <w:tc>
                <w:tcPr>
                  <w:tcW w:w="616" w:type="pct"/>
                  <w:vAlign w:val="center"/>
                </w:tcPr>
                <w:p w14:paraId="6D4E352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r>
                    <w:rPr>
                      <w:rFonts w:hint="eastAsia" w:eastAsia="仿宋_GB2312" w:cs="Times New Roman"/>
                      <w:color w:val="auto"/>
                      <w:kern w:val="0"/>
                      <w:sz w:val="21"/>
                      <w:szCs w:val="21"/>
                      <w:lang w:val="en-US" w:eastAsia="zh-CN" w:bidi="ar-SA"/>
                    </w:rPr>
                    <w:t>CO</w:t>
                  </w:r>
                  <w:r>
                    <w:rPr>
                      <w:rFonts w:hint="eastAsia" w:eastAsia="仿宋_GB2312" w:cs="Times New Roman"/>
                      <w:color w:val="auto"/>
                      <w:kern w:val="0"/>
                      <w:sz w:val="21"/>
                      <w:szCs w:val="21"/>
                      <w:vertAlign w:val="subscript"/>
                      <w:lang w:val="en-US" w:eastAsia="zh-CN" w:bidi="ar-SA"/>
                    </w:rPr>
                    <w:t>2</w:t>
                  </w:r>
                </w:p>
              </w:tc>
              <w:tc>
                <w:tcPr>
                  <w:tcW w:w="897" w:type="pct"/>
                  <w:vAlign w:val="center"/>
                </w:tcPr>
                <w:p w14:paraId="4218223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0.027</w:t>
                  </w:r>
                </w:p>
              </w:tc>
              <w:tc>
                <w:tcPr>
                  <w:tcW w:w="824" w:type="pct"/>
                  <w:vMerge w:val="continue"/>
                  <w:vAlign w:val="center"/>
                </w:tcPr>
                <w:p w14:paraId="5C689D9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p>
              </w:tc>
              <w:tc>
                <w:tcPr>
                  <w:tcW w:w="503" w:type="pct"/>
                  <w:vMerge w:val="continue"/>
                  <w:vAlign w:val="center"/>
                </w:tcPr>
                <w:p w14:paraId="750F73E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p>
              </w:tc>
              <w:tc>
                <w:tcPr>
                  <w:tcW w:w="480" w:type="pct"/>
                  <w:vMerge w:val="continue"/>
                  <w:vAlign w:val="center"/>
                </w:tcPr>
                <w:p w14:paraId="2481100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p>
              </w:tc>
            </w:tr>
            <w:tr w14:paraId="64D790A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736" w:type="pct"/>
                  <w:vAlign w:val="center"/>
                </w:tcPr>
                <w:p w14:paraId="7BB6D72B">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b/>
                      <w:bCs/>
                      <w:color w:val="auto"/>
                      <w:sz w:val="21"/>
                      <w:lang w:val="en-US" w:eastAsia="zh-CN"/>
                    </w:rPr>
                  </w:pPr>
                  <w:r>
                    <w:rPr>
                      <w:rFonts w:hint="default" w:ascii="Times New Roman" w:hAnsi="Times New Roman" w:eastAsia="仿宋_GB2312" w:cs="Times New Roman"/>
                      <w:color w:val="auto"/>
                      <w:szCs w:val="21"/>
                    </w:rPr>
                    <w:t>G</w:t>
                  </w:r>
                  <w:r>
                    <w:rPr>
                      <w:rFonts w:hint="eastAsia" w:ascii="Times New Roman" w:hAnsi="Times New Roman" w:cs="Times New Roman"/>
                      <w:color w:val="auto"/>
                      <w:szCs w:val="21"/>
                      <w:lang w:val="en-US" w:eastAsia="zh-CN"/>
                    </w:rPr>
                    <w:t>1</w:t>
                  </w:r>
                  <w:r>
                    <w:rPr>
                      <w:rFonts w:hint="default" w:ascii="Times New Roman" w:hAnsi="Times New Roman" w:eastAsia="仿宋_GB2312" w:cs="Times New Roman"/>
                      <w:color w:val="auto"/>
                      <w:szCs w:val="21"/>
                    </w:rPr>
                    <w:t>-</w:t>
                  </w:r>
                  <w:r>
                    <w:rPr>
                      <w:rFonts w:hint="eastAsia" w:eastAsia="仿宋_GB2312" w:cs="Times New Roman"/>
                      <w:color w:val="auto"/>
                      <w:szCs w:val="21"/>
                      <w:lang w:val="en-US" w:eastAsia="zh-CN"/>
                    </w:rPr>
                    <w:t>3</w:t>
                  </w:r>
                </w:p>
              </w:tc>
              <w:tc>
                <w:tcPr>
                  <w:tcW w:w="941" w:type="pct"/>
                  <w:vAlign w:val="center"/>
                </w:tcPr>
                <w:p w14:paraId="33D6337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Cs w:val="21"/>
                      <w:lang w:val="zh-CN" w:eastAsia="zh-CN"/>
                    </w:rPr>
                  </w:pPr>
                  <w:r>
                    <w:rPr>
                      <w:rFonts w:hint="eastAsia" w:ascii="Times New Roman" w:hAnsi="Times New Roman" w:eastAsia="仿宋_GB2312" w:cs="Times New Roman"/>
                      <w:color w:val="auto"/>
                      <w:szCs w:val="21"/>
                      <w:lang w:val="en-US" w:eastAsia="zh-CN"/>
                    </w:rPr>
                    <w:t>发酵废气</w:t>
                  </w:r>
                </w:p>
              </w:tc>
              <w:tc>
                <w:tcPr>
                  <w:tcW w:w="616" w:type="pct"/>
                  <w:vAlign w:val="center"/>
                </w:tcPr>
                <w:p w14:paraId="320DAC0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r>
                    <w:rPr>
                      <w:rFonts w:hint="eastAsia" w:eastAsia="仿宋_GB2312" w:cs="Times New Roman"/>
                      <w:color w:val="auto"/>
                      <w:kern w:val="0"/>
                      <w:sz w:val="21"/>
                      <w:szCs w:val="21"/>
                      <w:lang w:val="en-US" w:eastAsia="zh-CN" w:bidi="ar-SA"/>
                    </w:rPr>
                    <w:t>CO</w:t>
                  </w:r>
                  <w:r>
                    <w:rPr>
                      <w:rFonts w:hint="eastAsia" w:eastAsia="仿宋_GB2312" w:cs="Times New Roman"/>
                      <w:color w:val="auto"/>
                      <w:kern w:val="0"/>
                      <w:sz w:val="21"/>
                      <w:szCs w:val="21"/>
                      <w:vertAlign w:val="subscript"/>
                      <w:lang w:val="en-US" w:eastAsia="zh-CN" w:bidi="ar-SA"/>
                    </w:rPr>
                    <w:t>2</w:t>
                  </w:r>
                </w:p>
              </w:tc>
              <w:tc>
                <w:tcPr>
                  <w:tcW w:w="897" w:type="pct"/>
                  <w:vAlign w:val="center"/>
                </w:tcPr>
                <w:p w14:paraId="71E857A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0.7525</w:t>
                  </w:r>
                </w:p>
              </w:tc>
              <w:tc>
                <w:tcPr>
                  <w:tcW w:w="824" w:type="pct"/>
                  <w:vMerge w:val="continue"/>
                  <w:vAlign w:val="center"/>
                </w:tcPr>
                <w:p w14:paraId="03079A3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p>
              </w:tc>
              <w:tc>
                <w:tcPr>
                  <w:tcW w:w="503" w:type="pct"/>
                  <w:vMerge w:val="continue"/>
                  <w:vAlign w:val="center"/>
                </w:tcPr>
                <w:p w14:paraId="685E71B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p>
              </w:tc>
              <w:tc>
                <w:tcPr>
                  <w:tcW w:w="480" w:type="pct"/>
                  <w:vMerge w:val="continue"/>
                  <w:vAlign w:val="center"/>
                </w:tcPr>
                <w:p w14:paraId="6936963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p>
              </w:tc>
            </w:tr>
            <w:tr w14:paraId="1F67D9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736" w:type="pct"/>
                  <w:vAlign w:val="center"/>
                </w:tcPr>
                <w:p w14:paraId="650C440F">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rPr>
                    <w:t>G</w:t>
                  </w:r>
                  <w:r>
                    <w:rPr>
                      <w:rFonts w:hint="eastAsia" w:ascii="Times New Roman" w:hAnsi="Times New Roman" w:cs="Times New Roman"/>
                      <w:color w:val="auto"/>
                      <w:szCs w:val="21"/>
                      <w:lang w:val="en-US" w:eastAsia="zh-CN"/>
                    </w:rPr>
                    <w:t>1</w:t>
                  </w:r>
                  <w:r>
                    <w:rPr>
                      <w:rFonts w:hint="default" w:ascii="Times New Roman" w:hAnsi="Times New Roman" w:eastAsia="仿宋_GB2312" w:cs="Times New Roman"/>
                      <w:color w:val="auto"/>
                      <w:szCs w:val="21"/>
                    </w:rPr>
                    <w:t>-</w:t>
                  </w:r>
                  <w:r>
                    <w:rPr>
                      <w:rFonts w:hint="eastAsia" w:eastAsia="仿宋_GB2312" w:cs="Times New Roman"/>
                      <w:color w:val="auto"/>
                      <w:szCs w:val="21"/>
                      <w:lang w:val="en-US" w:eastAsia="zh-CN"/>
                    </w:rPr>
                    <w:t>4</w:t>
                  </w:r>
                </w:p>
              </w:tc>
              <w:tc>
                <w:tcPr>
                  <w:tcW w:w="941" w:type="pct"/>
                  <w:vAlign w:val="center"/>
                </w:tcPr>
                <w:p w14:paraId="40DBFA93">
                  <w:pPr>
                    <w:keepNext w:val="0"/>
                    <w:keepLines w:val="0"/>
                    <w:suppressLineNumbers w:val="0"/>
                    <w:spacing w:before="0" w:beforeAutospacing="0" w:after="0" w:afterAutospacing="0" w:line="240" w:lineRule="exact"/>
                    <w:ind w:left="0" w:right="0"/>
                    <w:jc w:val="center"/>
                    <w:rPr>
                      <w:rFonts w:hint="eastAsia" w:eastAsia="仿宋_GB2312" w:cs="Times New Roman"/>
                      <w:color w:val="auto"/>
                      <w:kern w:val="0"/>
                      <w:sz w:val="21"/>
                      <w:szCs w:val="21"/>
                      <w:lang w:val="zh-CN" w:eastAsia="zh-CN" w:bidi="ar-SA"/>
                    </w:rPr>
                  </w:pPr>
                  <w:r>
                    <w:rPr>
                      <w:rFonts w:hint="eastAsia" w:eastAsia="仿宋_GB2312" w:cs="Times New Roman"/>
                      <w:color w:val="auto"/>
                      <w:kern w:val="0"/>
                      <w:sz w:val="21"/>
                      <w:szCs w:val="21"/>
                      <w:lang w:val="zh-CN" w:eastAsia="zh-CN" w:bidi="ar-SA"/>
                    </w:rPr>
                    <w:t>干燥</w:t>
                  </w:r>
                </w:p>
              </w:tc>
              <w:tc>
                <w:tcPr>
                  <w:tcW w:w="616" w:type="pct"/>
                  <w:vAlign w:val="center"/>
                </w:tcPr>
                <w:p w14:paraId="7CEACF65">
                  <w:pPr>
                    <w:keepNext w:val="0"/>
                    <w:keepLines w:val="0"/>
                    <w:suppressLineNumbers w:val="0"/>
                    <w:spacing w:before="0" w:beforeAutospacing="0" w:after="0" w:afterAutospacing="0" w:line="240" w:lineRule="exact"/>
                    <w:ind w:left="0" w:right="0"/>
                    <w:jc w:val="center"/>
                    <w:rPr>
                      <w:rFonts w:hint="default" w:eastAsia="仿宋_GB2312" w:cs="Times New Roman"/>
                      <w:color w:val="auto"/>
                      <w:kern w:val="0"/>
                      <w:sz w:val="21"/>
                      <w:szCs w:val="21"/>
                      <w:lang w:val="zh-CN" w:eastAsia="zh-CN" w:bidi="ar-SA"/>
                    </w:rPr>
                  </w:pPr>
                  <w:r>
                    <w:rPr>
                      <w:rFonts w:hint="eastAsia" w:eastAsia="仿宋_GB2312" w:cs="Times New Roman"/>
                      <w:color w:val="auto"/>
                      <w:kern w:val="0"/>
                      <w:sz w:val="21"/>
                      <w:szCs w:val="21"/>
                      <w:lang w:val="en-US" w:eastAsia="zh-CN" w:bidi="ar-SA"/>
                    </w:rPr>
                    <w:t>水汽</w:t>
                  </w:r>
                </w:p>
              </w:tc>
              <w:tc>
                <w:tcPr>
                  <w:tcW w:w="897" w:type="pct"/>
                  <w:vAlign w:val="center"/>
                </w:tcPr>
                <w:p w14:paraId="37ABF435">
                  <w:pPr>
                    <w:keepNext w:val="0"/>
                    <w:keepLines w:val="0"/>
                    <w:suppressLineNumbers w:val="0"/>
                    <w:spacing w:before="0" w:beforeAutospacing="0" w:after="0" w:afterAutospacing="0" w:line="240" w:lineRule="exact"/>
                    <w:ind w:left="0" w:right="0"/>
                    <w:jc w:val="center"/>
                    <w:rPr>
                      <w:rFonts w:hint="default" w:eastAsia="仿宋_GB2312" w:cs="Times New Roman"/>
                      <w:color w:val="auto"/>
                      <w:kern w:val="0"/>
                      <w:sz w:val="21"/>
                      <w:szCs w:val="21"/>
                      <w:lang w:val="zh-CN" w:eastAsia="zh-CN" w:bidi="ar-SA"/>
                    </w:rPr>
                  </w:pPr>
                  <w:r>
                    <w:rPr>
                      <w:rFonts w:hint="eastAsia" w:eastAsia="仿宋_GB2312" w:cs="Times New Roman"/>
                      <w:color w:val="auto"/>
                      <w:kern w:val="0"/>
                      <w:sz w:val="21"/>
                      <w:szCs w:val="21"/>
                      <w:lang w:val="en-US" w:eastAsia="zh-CN" w:bidi="ar-SA"/>
                    </w:rPr>
                    <w:t>0.317</w:t>
                  </w:r>
                </w:p>
              </w:tc>
              <w:tc>
                <w:tcPr>
                  <w:tcW w:w="824" w:type="pct"/>
                  <w:vAlign w:val="center"/>
                </w:tcPr>
                <w:p w14:paraId="0D57F10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kern w:val="0"/>
                      <w:sz w:val="21"/>
                      <w:szCs w:val="21"/>
                      <w:lang w:val="en-US" w:eastAsia="zh-CN" w:bidi="ar-SA"/>
                    </w:rPr>
                    <w:t>/</w:t>
                  </w:r>
                </w:p>
              </w:tc>
              <w:tc>
                <w:tcPr>
                  <w:tcW w:w="503" w:type="pct"/>
                  <w:vMerge w:val="continue"/>
                  <w:vAlign w:val="center"/>
                </w:tcPr>
                <w:p w14:paraId="4454379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en-US" w:eastAsia="zh-CN" w:bidi="ar-SA"/>
                    </w:rPr>
                  </w:pPr>
                </w:p>
              </w:tc>
              <w:tc>
                <w:tcPr>
                  <w:tcW w:w="480" w:type="pct"/>
                  <w:vMerge w:val="continue"/>
                  <w:vAlign w:val="center"/>
                </w:tcPr>
                <w:p w14:paraId="7ACE2F2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lang w:val="zh-CN" w:eastAsia="zh-CN" w:bidi="ar-SA"/>
                    </w:rPr>
                  </w:pPr>
                </w:p>
              </w:tc>
            </w:tr>
            <w:tr w14:paraId="14C6EFA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Align w:val="center"/>
                </w:tcPr>
                <w:p w14:paraId="3BA8593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G</w:t>
                  </w:r>
                  <w:r>
                    <w:rPr>
                      <w:rFonts w:hint="eastAsia" w:ascii="Times New Roman" w:hAnsi="Times New Roman" w:cs="Times New Roman"/>
                      <w:color w:val="auto"/>
                      <w:szCs w:val="21"/>
                      <w:lang w:val="en-US" w:eastAsia="zh-CN"/>
                    </w:rPr>
                    <w:t>1</w:t>
                  </w:r>
                  <w:r>
                    <w:rPr>
                      <w:rFonts w:hint="default" w:ascii="Times New Roman" w:hAnsi="Times New Roman" w:eastAsia="仿宋_GB2312" w:cs="Times New Roman"/>
                      <w:color w:val="auto"/>
                      <w:szCs w:val="21"/>
                    </w:rPr>
                    <w:t>-</w:t>
                  </w:r>
                  <w:r>
                    <w:rPr>
                      <w:rFonts w:hint="default" w:ascii="Times New Roman" w:hAnsi="Times New Roman" w:eastAsia="仿宋_GB2312" w:cs="Times New Roman"/>
                      <w:color w:val="auto"/>
                      <w:szCs w:val="21"/>
                      <w:lang w:val="en-US"/>
                    </w:rPr>
                    <w:t>5</w:t>
                  </w:r>
                </w:p>
              </w:tc>
              <w:tc>
                <w:tcPr>
                  <w:tcW w:w="941" w:type="pct"/>
                  <w:vAlign w:val="center"/>
                </w:tcPr>
                <w:p w14:paraId="6F77DB5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包装废气</w:t>
                  </w:r>
                </w:p>
              </w:tc>
              <w:tc>
                <w:tcPr>
                  <w:tcW w:w="616" w:type="pct"/>
                  <w:vAlign w:val="center"/>
                </w:tcPr>
                <w:p w14:paraId="138F886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颗粒物</w:t>
                  </w:r>
                </w:p>
              </w:tc>
              <w:tc>
                <w:tcPr>
                  <w:tcW w:w="897" w:type="pct"/>
                  <w:vAlign w:val="center"/>
                </w:tcPr>
                <w:p w14:paraId="19E4EA6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等线"/>
                      <w:color w:val="auto"/>
                      <w:kern w:val="0"/>
                      <w:sz w:val="21"/>
                    </w:rPr>
                    <w:t>0.0</w:t>
                  </w:r>
                  <w:r>
                    <w:rPr>
                      <w:rFonts w:hint="eastAsia" w:ascii="Times New Roman" w:hAnsi="Times New Roman" w:eastAsia="等线"/>
                      <w:color w:val="auto"/>
                      <w:kern w:val="0"/>
                      <w:sz w:val="21"/>
                    </w:rPr>
                    <w:t>054</w:t>
                  </w:r>
                </w:p>
              </w:tc>
              <w:tc>
                <w:tcPr>
                  <w:tcW w:w="824" w:type="pct"/>
                  <w:vAlign w:val="center"/>
                </w:tcPr>
                <w:p w14:paraId="6487DB1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布袋除尘</w:t>
                  </w:r>
                </w:p>
              </w:tc>
              <w:tc>
                <w:tcPr>
                  <w:tcW w:w="503" w:type="pct"/>
                  <w:vAlign w:val="center"/>
                </w:tcPr>
                <w:p w14:paraId="32FCB40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DA001</w:t>
                  </w:r>
                </w:p>
              </w:tc>
              <w:tc>
                <w:tcPr>
                  <w:tcW w:w="480" w:type="pct"/>
                  <w:vMerge w:val="continue"/>
                  <w:vAlign w:val="center"/>
                </w:tcPr>
                <w:p w14:paraId="68946B3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lang w:val="en-US" w:eastAsia="zh-CN"/>
                    </w:rPr>
                  </w:pPr>
                </w:p>
              </w:tc>
            </w:tr>
          </w:tbl>
          <w:p w14:paraId="453EF7FE">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20" w:firstLineChars="200"/>
              <w:jc w:val="left"/>
              <w:textAlignment w:val="auto"/>
              <w:rPr>
                <w:rFonts w:hint="eastAsia" w:ascii="Times New Roman" w:hAnsi="Times New Roman" w:eastAsia="仿宋_GB2312" w:cs="Times New Roman"/>
                <w:bCs/>
                <w:color w:val="auto"/>
                <w:sz w:val="24"/>
                <w:lang w:eastAsia="zh-CN"/>
              </w:rPr>
            </w:pPr>
            <w:r>
              <w:rPr>
                <w:rFonts w:hint="default" w:ascii="Times New Roman" w:hAnsi="Times New Roman" w:eastAsia="仿宋_GB2312" w:cs="Times New Roman"/>
                <w:color w:val="auto"/>
                <w:sz w:val="21"/>
              </w:rPr>
              <w:t>注：</w:t>
            </w:r>
            <w:r>
              <w:rPr>
                <w:rFonts w:hint="eastAsia" w:ascii="Times New Roman" w:hAnsi="Times New Roman" w:cs="Times New Roman"/>
                <w:color w:val="auto"/>
                <w:sz w:val="21"/>
                <w:lang w:eastAsia="zh-CN"/>
              </w:rPr>
              <w:t>（</w:t>
            </w:r>
            <w:r>
              <w:rPr>
                <w:rFonts w:hint="eastAsia" w:ascii="Times New Roman" w:hAnsi="Times New Roman" w:cs="Times New Roman"/>
                <w:color w:val="auto"/>
                <w:sz w:val="21"/>
                <w:lang w:val="en-US" w:eastAsia="zh-CN"/>
              </w:rPr>
              <w:t>1</w:t>
            </w:r>
            <w:r>
              <w:rPr>
                <w:rFonts w:hint="eastAsia" w:ascii="Times New Roman" w:hAnsi="Times New Roman" w:cs="Times New Roman"/>
                <w:color w:val="auto"/>
                <w:sz w:val="21"/>
                <w:lang w:eastAsia="zh-CN"/>
              </w:rPr>
              <w:t>）</w:t>
            </w:r>
            <w:r>
              <w:rPr>
                <w:rFonts w:hint="default" w:ascii="Times New Roman" w:hAnsi="Times New Roman" w:eastAsia="仿宋_GB2312" w:cs="Times New Roman"/>
                <w:color w:val="auto"/>
                <w:sz w:val="21"/>
              </w:rPr>
              <w:t>内包间</w:t>
            </w:r>
            <w:r>
              <w:rPr>
                <w:rFonts w:hint="default" w:ascii="Times New Roman" w:hAnsi="Times New Roman" w:eastAsia="仿宋_GB2312" w:cs="Times New Roman"/>
                <w:color w:val="auto"/>
                <w:szCs w:val="21"/>
              </w:rPr>
              <w:t>整体</w:t>
            </w:r>
            <w:r>
              <w:rPr>
                <w:rFonts w:hint="default" w:ascii="Times New Roman" w:hAnsi="Times New Roman" w:eastAsia="仿宋_GB2312" w:cs="Times New Roman"/>
                <w:color w:val="auto"/>
                <w:sz w:val="21"/>
              </w:rPr>
              <w:t>换风，捕集率按90%计，颗粒物有组织按90%，无组织按10%</w:t>
            </w:r>
            <w:r>
              <w:rPr>
                <w:rFonts w:hint="eastAsia" w:ascii="Times New Roman" w:hAnsi="Times New Roman" w:cs="Times New Roman"/>
                <w:color w:val="auto"/>
                <w:sz w:val="21"/>
                <w:lang w:eastAsia="zh-CN"/>
              </w:rPr>
              <w:t>；（</w:t>
            </w:r>
            <w:r>
              <w:rPr>
                <w:rFonts w:hint="eastAsia" w:ascii="Times New Roman" w:hAnsi="Times New Roman" w:cs="Times New Roman"/>
                <w:color w:val="auto"/>
                <w:sz w:val="21"/>
                <w:lang w:val="en-US" w:eastAsia="zh-CN"/>
              </w:rPr>
              <w:t>2</w:t>
            </w:r>
            <w:r>
              <w:rPr>
                <w:rFonts w:hint="eastAsia" w:ascii="Times New Roman" w:hAnsi="Times New Roman" w:cs="Times New Roman"/>
                <w:color w:val="auto"/>
                <w:sz w:val="21"/>
                <w:lang w:eastAsia="zh-CN"/>
              </w:rPr>
              <w:t>）本项目食品用原料（γ-氨基丁酸）采用生物发酵法制备，所以种子培养废气和发酵废气中主要为CO</w:t>
            </w:r>
            <w:r>
              <w:rPr>
                <w:rFonts w:hint="eastAsia" w:ascii="Times New Roman" w:hAnsi="Times New Roman" w:cs="Times New Roman"/>
                <w:color w:val="auto"/>
                <w:sz w:val="21"/>
                <w:vertAlign w:val="subscript"/>
                <w:lang w:eastAsia="zh-CN"/>
              </w:rPr>
              <w:t>2</w:t>
            </w:r>
            <w:r>
              <w:rPr>
                <w:rFonts w:hint="eastAsia" w:ascii="Times New Roman" w:hAnsi="Times New Roman" w:cs="Times New Roman"/>
                <w:color w:val="auto"/>
                <w:sz w:val="21"/>
                <w:lang w:eastAsia="zh-CN"/>
              </w:rPr>
              <w:t>。同时，在种子培养和发酵过程中可能产生异味，所以食品用原料生产过程中产生的种子培养废气和发酵废气正常收集，并经酸吸收+碱吸收+除雾器+两级活性炭吸附处理后，通过DA002排放。</w:t>
            </w:r>
          </w:p>
          <w:p w14:paraId="7CA4EA3C">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（2）无组织废气产生情况见下表。</w:t>
            </w:r>
          </w:p>
          <w:p w14:paraId="67F80379">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14</w:t>
            </w:r>
            <w:r>
              <w:rPr>
                <w:rFonts w:hint="default" w:eastAsia="仿宋_GB2312"/>
                <w:b/>
                <w:color w:val="auto"/>
                <w:sz w:val="22"/>
                <w:szCs w:val="22"/>
              </w:rPr>
              <w:t xml:space="preserve">  无组织废气产生情况表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1015"/>
              <w:gridCol w:w="1641"/>
              <w:gridCol w:w="1641"/>
              <w:gridCol w:w="1643"/>
              <w:gridCol w:w="1319"/>
            </w:tblGrid>
            <w:tr w14:paraId="7FAC16A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85" w:type="pct"/>
                  <w:vMerge w:val="restart"/>
                  <w:vAlign w:val="center"/>
                </w:tcPr>
                <w:p w14:paraId="2C5A2217">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车间</w:t>
                  </w:r>
                </w:p>
              </w:tc>
              <w:tc>
                <w:tcPr>
                  <w:tcW w:w="603" w:type="pct"/>
                  <w:vMerge w:val="restart"/>
                  <w:vAlign w:val="center"/>
                </w:tcPr>
                <w:p w14:paraId="463EBC8C">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编号</w:t>
                  </w:r>
                </w:p>
              </w:tc>
              <w:tc>
                <w:tcPr>
                  <w:tcW w:w="975" w:type="pct"/>
                  <w:vMerge w:val="restart"/>
                  <w:vAlign w:val="center"/>
                </w:tcPr>
                <w:p w14:paraId="341BF582">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污染源位置</w:t>
                  </w:r>
                </w:p>
              </w:tc>
              <w:tc>
                <w:tcPr>
                  <w:tcW w:w="1951" w:type="pct"/>
                  <w:gridSpan w:val="2"/>
                  <w:vAlign w:val="center"/>
                </w:tcPr>
                <w:p w14:paraId="390FB43D">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污染物产生情况</w:t>
                  </w:r>
                </w:p>
              </w:tc>
              <w:tc>
                <w:tcPr>
                  <w:tcW w:w="783" w:type="pct"/>
                  <w:vMerge w:val="restart"/>
                  <w:vAlign w:val="center"/>
                </w:tcPr>
                <w:p w14:paraId="0A9FE5FB">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拟采取的处理方式</w:t>
                  </w:r>
                </w:p>
              </w:tc>
            </w:tr>
            <w:tr w14:paraId="0F4E047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85" w:type="pct"/>
                  <w:vMerge w:val="continue"/>
                  <w:vAlign w:val="center"/>
                </w:tcPr>
                <w:p w14:paraId="6198B84C">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p>
              </w:tc>
              <w:tc>
                <w:tcPr>
                  <w:tcW w:w="603" w:type="pct"/>
                  <w:vMerge w:val="continue"/>
                  <w:vAlign w:val="center"/>
                </w:tcPr>
                <w:p w14:paraId="13D03D36">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p>
              </w:tc>
              <w:tc>
                <w:tcPr>
                  <w:tcW w:w="975" w:type="pct"/>
                  <w:vMerge w:val="continue"/>
                  <w:vAlign w:val="center"/>
                </w:tcPr>
                <w:p w14:paraId="4C811860">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p>
              </w:tc>
              <w:tc>
                <w:tcPr>
                  <w:tcW w:w="975" w:type="pct"/>
                  <w:vAlign w:val="center"/>
                </w:tcPr>
                <w:p w14:paraId="38958E2C">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污染物名称</w:t>
                  </w:r>
                </w:p>
              </w:tc>
              <w:tc>
                <w:tcPr>
                  <w:tcW w:w="976" w:type="pct"/>
                  <w:vAlign w:val="center"/>
                </w:tcPr>
                <w:p w14:paraId="2EA6D7A7">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color w:val="auto"/>
                      <w:kern w:val="0"/>
                      <w:sz w:val="21"/>
                    </w:rPr>
                    <w:t>产生量（t/a）</w:t>
                  </w:r>
                </w:p>
              </w:tc>
              <w:tc>
                <w:tcPr>
                  <w:tcW w:w="783" w:type="pct"/>
                  <w:vMerge w:val="continue"/>
                  <w:vAlign w:val="center"/>
                </w:tcPr>
                <w:p w14:paraId="5925D845">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p>
              </w:tc>
            </w:tr>
            <w:tr w14:paraId="0401A6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85" w:type="pct"/>
                  <w:vAlign w:val="center"/>
                </w:tcPr>
                <w:p w14:paraId="0E620C40">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内包间</w:t>
                  </w:r>
                </w:p>
              </w:tc>
              <w:tc>
                <w:tcPr>
                  <w:tcW w:w="603" w:type="pct"/>
                  <w:vAlign w:val="top"/>
                </w:tcPr>
                <w:p w14:paraId="552839C0">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G’</w:t>
                  </w:r>
                  <w:r>
                    <w:rPr>
                      <w:rFonts w:hint="eastAsia" w:eastAsia="仿宋_GB2312" w:cs="Times New Roman"/>
                      <w:color w:val="auto"/>
                      <w:sz w:val="21"/>
                      <w:lang w:val="en-US" w:eastAsia="zh-CN"/>
                    </w:rPr>
                    <w:t>1</w:t>
                  </w:r>
                  <w:r>
                    <w:rPr>
                      <w:rFonts w:hint="default" w:ascii="Times New Roman" w:hAnsi="Times New Roman" w:eastAsia="仿宋_GB2312" w:cs="Times New Roman"/>
                      <w:color w:val="auto"/>
                      <w:sz w:val="21"/>
                    </w:rPr>
                    <w:t>-5</w:t>
                  </w:r>
                </w:p>
              </w:tc>
              <w:tc>
                <w:tcPr>
                  <w:tcW w:w="975" w:type="pct"/>
                  <w:vAlign w:val="center"/>
                </w:tcPr>
                <w:p w14:paraId="28630A05">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包装</w:t>
                  </w:r>
                </w:p>
              </w:tc>
              <w:tc>
                <w:tcPr>
                  <w:tcW w:w="975" w:type="pct"/>
                  <w:vAlign w:val="center"/>
                </w:tcPr>
                <w:p w14:paraId="51BA7384">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976" w:type="pct"/>
                  <w:vAlign w:val="center"/>
                </w:tcPr>
                <w:p w14:paraId="5082F11C">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color w:val="auto"/>
                      <w:sz w:val="21"/>
                      <w:lang w:eastAsia="zh-CN"/>
                    </w:rPr>
                  </w:pPr>
                  <w:r>
                    <w:rPr>
                      <w:rFonts w:hint="default" w:ascii="Times New Roman" w:hAnsi="Times New Roman" w:eastAsia="仿宋_GB2312" w:cs="Times New Roman"/>
                      <w:color w:val="auto"/>
                      <w:sz w:val="21"/>
                    </w:rPr>
                    <w:t>0.000</w:t>
                  </w:r>
                  <w:r>
                    <w:rPr>
                      <w:rFonts w:hint="eastAsia" w:eastAsia="仿宋_GB2312" w:cs="Times New Roman"/>
                      <w:color w:val="auto"/>
                      <w:sz w:val="21"/>
                      <w:lang w:val="en-US" w:eastAsia="zh-CN"/>
                    </w:rPr>
                    <w:t>6</w:t>
                  </w:r>
                </w:p>
              </w:tc>
              <w:tc>
                <w:tcPr>
                  <w:tcW w:w="783" w:type="pct"/>
                  <w:vAlign w:val="center"/>
                </w:tcPr>
                <w:p w14:paraId="55176992">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r>
          </w:tbl>
          <w:p w14:paraId="221FBB27">
            <w:pPr>
              <w:keepNext w:val="0"/>
              <w:keepLines w:val="0"/>
              <w:suppressLineNumbers w:val="0"/>
              <w:spacing w:before="0" w:beforeAutospacing="0" w:after="0" w:afterAutospacing="0" w:line="320" w:lineRule="exact"/>
              <w:ind w:left="0" w:right="0" w:firstLine="420" w:firstLineChars="200"/>
              <w:jc w:val="both"/>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eastAsia="仿宋_GB2312" w:cs="Times New Roman"/>
                <w:color w:val="auto"/>
                <w:kern w:val="0"/>
                <w:sz w:val="21"/>
                <w:szCs w:val="20"/>
                <w:lang w:val="zh-CN" w:eastAsia="zh-CN" w:bidi="ar-SA"/>
              </w:rPr>
              <w:t>注：内包间整体换风，捕集率按90%计，颗粒物有组织按90%，无组织按10%。</w:t>
            </w:r>
          </w:p>
          <w:p w14:paraId="2CB91183">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bCs/>
                <w:color w:val="auto"/>
                <w:sz w:val="24"/>
                <w:lang w:eastAsia="zh-CN"/>
              </w:rPr>
            </w:pPr>
            <w:r>
              <w:rPr>
                <w:rFonts w:hint="eastAsia" w:eastAsia="仿宋_GB2312"/>
                <w:bCs/>
                <w:color w:val="auto"/>
                <w:sz w:val="24"/>
                <w:lang w:eastAsia="zh-CN"/>
              </w:rPr>
              <w:t>（</w:t>
            </w:r>
            <w:r>
              <w:rPr>
                <w:rFonts w:hint="eastAsia" w:eastAsia="仿宋_GB2312"/>
                <w:bCs/>
                <w:color w:val="auto"/>
                <w:sz w:val="24"/>
                <w:lang w:val="en-US" w:eastAsia="zh-CN"/>
              </w:rPr>
              <w:t>3</w:t>
            </w:r>
            <w:r>
              <w:rPr>
                <w:rFonts w:hint="eastAsia" w:eastAsia="仿宋_GB2312"/>
                <w:bCs/>
                <w:color w:val="auto"/>
                <w:sz w:val="24"/>
                <w:lang w:eastAsia="zh-CN"/>
              </w:rPr>
              <w:t>）废水</w:t>
            </w:r>
            <w:r>
              <w:rPr>
                <w:rFonts w:hint="default" w:eastAsia="仿宋_GB2312"/>
                <w:bCs/>
                <w:color w:val="auto"/>
                <w:sz w:val="24"/>
              </w:rPr>
              <w:t>产生情况见下表</w:t>
            </w:r>
          </w:p>
          <w:p w14:paraId="30E1B9D0">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15</w:t>
            </w:r>
            <w:r>
              <w:rPr>
                <w:rFonts w:hint="default" w:eastAsia="仿宋_GB2312"/>
                <w:b/>
                <w:color w:val="auto"/>
                <w:sz w:val="22"/>
                <w:szCs w:val="22"/>
              </w:rPr>
              <w:t xml:space="preserve">  </w:t>
            </w:r>
            <w:r>
              <w:rPr>
                <w:rFonts w:hint="eastAsia" w:eastAsia="仿宋_GB2312"/>
                <w:b/>
                <w:color w:val="auto"/>
                <w:sz w:val="22"/>
                <w:szCs w:val="22"/>
                <w:lang w:eastAsia="zh-CN"/>
              </w:rPr>
              <w:t>废水</w:t>
            </w:r>
            <w:r>
              <w:rPr>
                <w:rFonts w:hint="default" w:eastAsia="仿宋_GB2312"/>
                <w:b/>
                <w:color w:val="auto"/>
                <w:sz w:val="22"/>
                <w:szCs w:val="22"/>
              </w:rPr>
              <w:t>产生源强一览表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786"/>
              <w:gridCol w:w="1388"/>
              <w:gridCol w:w="1018"/>
              <w:gridCol w:w="1285"/>
              <w:gridCol w:w="1443"/>
              <w:gridCol w:w="1123"/>
              <w:gridCol w:w="1369"/>
            </w:tblGrid>
            <w:tr w14:paraId="6CB2E9F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48" w:hRule="atLeast"/>
              </w:trPr>
              <w:tc>
                <w:tcPr>
                  <w:tcW w:w="467" w:type="pct"/>
                  <w:vAlign w:val="center"/>
                </w:tcPr>
                <w:p w14:paraId="49FF3A5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编号</w:t>
                  </w:r>
                </w:p>
              </w:tc>
              <w:tc>
                <w:tcPr>
                  <w:tcW w:w="825" w:type="pct"/>
                  <w:vAlign w:val="center"/>
                </w:tcPr>
                <w:p w14:paraId="45FB27A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废水名称</w:t>
                  </w:r>
                </w:p>
              </w:tc>
              <w:tc>
                <w:tcPr>
                  <w:tcW w:w="605" w:type="pct"/>
                  <w:vAlign w:val="center"/>
                </w:tcPr>
                <w:p w14:paraId="66ED2C3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废水量</w:t>
                  </w:r>
                  <w:r>
                    <w:rPr>
                      <w:rFonts w:hint="eastAsia" w:ascii="Times New Roman" w:hAnsi="Times New Roman" w:cs="宋体"/>
                      <w:b/>
                      <w:bCs/>
                      <w:color w:val="auto"/>
                      <w:kern w:val="0"/>
                      <w:sz w:val="21"/>
                    </w:rPr>
                    <w:t>（m</w:t>
                  </w:r>
                  <w:r>
                    <w:rPr>
                      <w:rFonts w:hint="eastAsia" w:ascii="Times New Roman" w:hAnsi="Times New Roman" w:cs="宋体"/>
                      <w:b/>
                      <w:bCs/>
                      <w:color w:val="auto"/>
                      <w:kern w:val="0"/>
                      <w:sz w:val="21"/>
                      <w:vertAlign w:val="superscript"/>
                    </w:rPr>
                    <w:t>3</w:t>
                  </w:r>
                  <w:r>
                    <w:rPr>
                      <w:rFonts w:hint="default" w:ascii="Times New Roman" w:hAnsi="Times New Roman"/>
                      <w:b/>
                      <w:bCs/>
                      <w:color w:val="auto"/>
                      <w:kern w:val="0"/>
                      <w:sz w:val="21"/>
                    </w:rPr>
                    <w:t>/a</w:t>
                  </w:r>
                  <w:r>
                    <w:rPr>
                      <w:rFonts w:hint="eastAsia" w:ascii="Times New Roman" w:hAnsi="Times New Roman" w:cs="宋体"/>
                      <w:b/>
                      <w:bCs/>
                      <w:color w:val="auto"/>
                      <w:kern w:val="0"/>
                      <w:sz w:val="21"/>
                    </w:rPr>
                    <w:t>）</w:t>
                  </w:r>
                </w:p>
              </w:tc>
              <w:tc>
                <w:tcPr>
                  <w:tcW w:w="763" w:type="pct"/>
                  <w:vAlign w:val="center"/>
                </w:tcPr>
                <w:p w14:paraId="0CF2D9D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857" w:type="pct"/>
                  <w:vAlign w:val="center"/>
                </w:tcPr>
                <w:p w14:paraId="72B70A8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产生浓度（mg/L）</w:t>
                  </w:r>
                </w:p>
              </w:tc>
              <w:tc>
                <w:tcPr>
                  <w:tcW w:w="667" w:type="pct"/>
                  <w:vAlign w:val="center"/>
                </w:tcPr>
                <w:p w14:paraId="7CA9464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产生量（t/a）</w:t>
                  </w:r>
                </w:p>
              </w:tc>
              <w:tc>
                <w:tcPr>
                  <w:tcW w:w="813" w:type="pct"/>
                  <w:vAlign w:val="center"/>
                </w:tcPr>
                <w:p w14:paraId="23EF0E3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拟采取的处理方式及排放去向</w:t>
                  </w:r>
                </w:p>
              </w:tc>
            </w:tr>
            <w:tr w14:paraId="22B7732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restart"/>
                  <w:vAlign w:val="center"/>
                </w:tcPr>
                <w:p w14:paraId="7AD90AF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rPr>
                    <w:t>W</w:t>
                  </w:r>
                  <w:r>
                    <w:rPr>
                      <w:rFonts w:hint="eastAsia" w:eastAsia="仿宋_GB2312" w:cs="Times New Roman"/>
                      <w:color w:val="auto"/>
                      <w:sz w:val="21"/>
                      <w:lang w:val="en-US" w:eastAsia="zh-CN"/>
                    </w:rPr>
                    <w:t>1-1</w:t>
                  </w:r>
                </w:p>
              </w:tc>
              <w:tc>
                <w:tcPr>
                  <w:tcW w:w="825" w:type="pct"/>
                  <w:vMerge w:val="restart"/>
                  <w:vAlign w:val="center"/>
                </w:tcPr>
                <w:p w14:paraId="667ABCA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脱色树脂再生废水</w:t>
                  </w:r>
                </w:p>
              </w:tc>
              <w:tc>
                <w:tcPr>
                  <w:tcW w:w="605" w:type="pct"/>
                  <w:vMerge w:val="restart"/>
                  <w:vAlign w:val="center"/>
                </w:tcPr>
                <w:p w14:paraId="0EF38E9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21.76</w:t>
                  </w:r>
                </w:p>
              </w:tc>
              <w:tc>
                <w:tcPr>
                  <w:tcW w:w="763" w:type="pct"/>
                  <w:vAlign w:val="center"/>
                </w:tcPr>
                <w:p w14:paraId="0C41A41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1443" w:type="dxa"/>
                  <w:vAlign w:val="center"/>
                </w:tcPr>
                <w:p w14:paraId="1783C8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229.8 </w:t>
                  </w:r>
                </w:p>
              </w:tc>
              <w:tc>
                <w:tcPr>
                  <w:tcW w:w="1123" w:type="dxa"/>
                  <w:vAlign w:val="center"/>
                </w:tcPr>
                <w:p w14:paraId="2F370A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yellow"/>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813" w:type="pct"/>
                  <w:vMerge w:val="restart"/>
                  <w:vAlign w:val="center"/>
                </w:tcPr>
                <w:p w14:paraId="268E4B3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i w:val="0"/>
                      <w:iCs w:val="0"/>
                      <w:color w:val="auto"/>
                      <w:kern w:val="0"/>
                      <w:sz w:val="21"/>
                      <w:szCs w:val="21"/>
                      <w:u w:val="none"/>
                      <w:lang w:val="en-US" w:eastAsia="zh-CN" w:bidi="ar"/>
                    </w:rPr>
                    <w:t>污水站处理后回用至循环冷却系统</w:t>
                  </w:r>
                </w:p>
              </w:tc>
            </w:tr>
            <w:tr w14:paraId="392BCB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7656BBE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6AC3289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79CCAA1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59F7EB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1443" w:type="dxa"/>
                  <w:vAlign w:val="center"/>
                </w:tcPr>
                <w:p w14:paraId="7B5953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1123" w:type="dxa"/>
                  <w:vAlign w:val="center"/>
                </w:tcPr>
                <w:p w14:paraId="271089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yellow"/>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0.00007</w:t>
                  </w:r>
                </w:p>
              </w:tc>
              <w:tc>
                <w:tcPr>
                  <w:tcW w:w="813" w:type="pct"/>
                  <w:vMerge w:val="continue"/>
                  <w:vAlign w:val="center"/>
                </w:tcPr>
                <w:p w14:paraId="657A7CE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8EA7CF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34354D2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285F4DB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652F594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08F6F2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1443" w:type="dxa"/>
                  <w:vAlign w:val="center"/>
                </w:tcPr>
                <w:p w14:paraId="0BF333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1123" w:type="dxa"/>
                  <w:vAlign w:val="center"/>
                </w:tcPr>
                <w:p w14:paraId="592824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yellow"/>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813" w:type="pct"/>
                  <w:vMerge w:val="continue"/>
                  <w:vAlign w:val="center"/>
                </w:tcPr>
                <w:p w14:paraId="1FEBFB7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4D3A85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72C2C01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60D9D6A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4EBBF00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0CDFC91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1443" w:type="dxa"/>
                  <w:vAlign w:val="center"/>
                </w:tcPr>
                <w:p w14:paraId="47E5FD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22058.8 </w:t>
                  </w:r>
                </w:p>
              </w:tc>
              <w:tc>
                <w:tcPr>
                  <w:tcW w:w="1123" w:type="dxa"/>
                  <w:vAlign w:val="center"/>
                </w:tcPr>
                <w:p w14:paraId="2E73A4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813" w:type="pct"/>
                  <w:vMerge w:val="continue"/>
                  <w:vAlign w:val="center"/>
                </w:tcPr>
                <w:p w14:paraId="1A2D526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7253A88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restart"/>
                  <w:vAlign w:val="center"/>
                </w:tcPr>
                <w:p w14:paraId="6693F21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lang w:val="en-US"/>
                    </w:rPr>
                  </w:pPr>
                  <w:r>
                    <w:rPr>
                      <w:rFonts w:hint="default" w:ascii="Times New Roman" w:hAnsi="Times New Roman" w:eastAsia="仿宋_GB2312" w:cs="Times New Roman"/>
                      <w:color w:val="auto"/>
                      <w:sz w:val="21"/>
                    </w:rPr>
                    <w:t>W</w:t>
                  </w:r>
                  <w:r>
                    <w:rPr>
                      <w:rFonts w:hint="eastAsia" w:eastAsia="仿宋_GB2312" w:cs="Times New Roman"/>
                      <w:color w:val="auto"/>
                      <w:sz w:val="21"/>
                      <w:lang w:val="en-US" w:eastAsia="zh-CN"/>
                    </w:rPr>
                    <w:t>1-2</w:t>
                  </w:r>
                </w:p>
              </w:tc>
              <w:tc>
                <w:tcPr>
                  <w:tcW w:w="825" w:type="pct"/>
                  <w:vMerge w:val="restart"/>
                  <w:vAlign w:val="center"/>
                </w:tcPr>
                <w:p w14:paraId="1CD6937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eastAsia" w:eastAsia="仿宋_GB2312" w:cs="Times New Roman"/>
                      <w:color w:val="auto"/>
                      <w:sz w:val="21"/>
                      <w:lang w:eastAsia="zh-CN"/>
                    </w:rPr>
                    <w:t>层析</w:t>
                  </w:r>
                  <w:r>
                    <w:rPr>
                      <w:rFonts w:hint="default" w:ascii="Times New Roman" w:hAnsi="Times New Roman" w:eastAsia="仿宋_GB2312" w:cs="Times New Roman"/>
                      <w:color w:val="auto"/>
                      <w:sz w:val="21"/>
                    </w:rPr>
                    <w:t>树脂再生废水</w:t>
                  </w:r>
                </w:p>
              </w:tc>
              <w:tc>
                <w:tcPr>
                  <w:tcW w:w="605" w:type="pct"/>
                  <w:vMerge w:val="restart"/>
                  <w:vAlign w:val="center"/>
                </w:tcPr>
                <w:p w14:paraId="5107976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val="0"/>
                      <w:bCs w:val="0"/>
                      <w:color w:val="auto"/>
                      <w:sz w:val="21"/>
                      <w:lang w:val="en-US" w:eastAsia="zh-CN"/>
                    </w:rPr>
                  </w:pPr>
                  <w:r>
                    <w:rPr>
                      <w:rFonts w:hint="eastAsia" w:eastAsia="仿宋_GB2312" w:cs="Times New Roman"/>
                      <w:b w:val="0"/>
                      <w:bCs w:val="0"/>
                      <w:color w:val="auto"/>
                      <w:sz w:val="21"/>
                      <w:lang w:val="en-US" w:eastAsia="zh-CN"/>
                    </w:rPr>
                    <w:t>84.16</w:t>
                  </w:r>
                </w:p>
              </w:tc>
              <w:tc>
                <w:tcPr>
                  <w:tcW w:w="763" w:type="pct"/>
                  <w:vAlign w:val="center"/>
                </w:tcPr>
                <w:p w14:paraId="244BCB8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b w:val="0"/>
                      <w:bCs w:val="0"/>
                      <w:color w:val="auto"/>
                      <w:kern w:val="2"/>
                      <w:sz w:val="21"/>
                      <w:szCs w:val="24"/>
                      <w:lang w:val="en-US" w:eastAsia="zh-CN" w:bidi="ar-SA"/>
                    </w:rPr>
                  </w:pPr>
                  <w:r>
                    <w:rPr>
                      <w:rFonts w:hint="default" w:ascii="Times New Roman" w:hAnsi="Times New Roman" w:eastAsia="仿宋_GB2312" w:cs="Times New Roman"/>
                      <w:b w:val="0"/>
                      <w:bCs w:val="0"/>
                      <w:color w:val="auto"/>
                      <w:sz w:val="21"/>
                    </w:rPr>
                    <w:t>COD</w:t>
                  </w:r>
                </w:p>
              </w:tc>
              <w:tc>
                <w:tcPr>
                  <w:tcW w:w="1443" w:type="dxa"/>
                  <w:vAlign w:val="center"/>
                </w:tcPr>
                <w:p w14:paraId="0FCE43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1936.8 </w:t>
                  </w:r>
                </w:p>
              </w:tc>
              <w:tc>
                <w:tcPr>
                  <w:tcW w:w="667" w:type="pct"/>
                  <w:vAlign w:val="center"/>
                </w:tcPr>
                <w:p w14:paraId="67C7E869">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color w:val="auto"/>
                      <w:kern w:val="0"/>
                      <w:sz w:val="21"/>
                      <w:szCs w:val="24"/>
                      <w:lang w:val="en-US" w:eastAsia="zh-CN" w:bidi="ar"/>
                    </w:rPr>
                  </w:pPr>
                  <w:r>
                    <w:rPr>
                      <w:rFonts w:hint="eastAsia" w:eastAsia="仿宋_GB2312" w:cs="Times New Roman"/>
                      <w:color w:val="auto"/>
                      <w:kern w:val="0"/>
                      <w:sz w:val="21"/>
                      <w:lang w:val="en-US" w:eastAsia="zh-CN" w:bidi="ar"/>
                    </w:rPr>
                    <w:t>0.163</w:t>
                  </w:r>
                </w:p>
              </w:tc>
              <w:tc>
                <w:tcPr>
                  <w:tcW w:w="813" w:type="pct"/>
                  <w:vMerge w:val="continue"/>
                  <w:vAlign w:val="center"/>
                </w:tcPr>
                <w:p w14:paraId="5FE01C4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03C4FE6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1B00936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622B872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09C4984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val="0"/>
                      <w:bCs w:val="0"/>
                      <w:color w:val="auto"/>
                      <w:sz w:val="21"/>
                    </w:rPr>
                  </w:pPr>
                </w:p>
              </w:tc>
              <w:tc>
                <w:tcPr>
                  <w:tcW w:w="763" w:type="pct"/>
                  <w:vAlign w:val="center"/>
                </w:tcPr>
                <w:p w14:paraId="26F00EC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b w:val="0"/>
                      <w:bCs w:val="0"/>
                      <w:color w:val="auto"/>
                      <w:kern w:val="2"/>
                      <w:sz w:val="21"/>
                      <w:szCs w:val="24"/>
                      <w:lang w:val="en-US" w:eastAsia="zh-CN" w:bidi="ar-SA"/>
                    </w:rPr>
                  </w:pPr>
                  <w:r>
                    <w:rPr>
                      <w:rFonts w:hint="default" w:ascii="Times New Roman" w:hAnsi="Times New Roman" w:eastAsia="仿宋_GB2312" w:cs="Times New Roman"/>
                      <w:b w:val="0"/>
                      <w:bCs w:val="0"/>
                      <w:color w:val="auto"/>
                      <w:sz w:val="21"/>
                    </w:rPr>
                    <w:t>NH</w:t>
                  </w:r>
                  <w:r>
                    <w:rPr>
                      <w:rFonts w:hint="default" w:ascii="Times New Roman" w:hAnsi="Times New Roman" w:eastAsia="仿宋_GB2312" w:cs="Times New Roman"/>
                      <w:b w:val="0"/>
                      <w:bCs w:val="0"/>
                      <w:color w:val="auto"/>
                      <w:sz w:val="21"/>
                      <w:vertAlign w:val="subscript"/>
                    </w:rPr>
                    <w:t>3</w:t>
                  </w:r>
                  <w:r>
                    <w:rPr>
                      <w:rFonts w:hint="default" w:ascii="Times New Roman" w:hAnsi="Times New Roman" w:eastAsia="仿宋_GB2312" w:cs="Times New Roman"/>
                      <w:b w:val="0"/>
                      <w:bCs w:val="0"/>
                      <w:color w:val="auto"/>
                      <w:sz w:val="21"/>
                    </w:rPr>
                    <w:t>-N</w:t>
                  </w:r>
                </w:p>
              </w:tc>
              <w:tc>
                <w:tcPr>
                  <w:tcW w:w="1443" w:type="dxa"/>
                  <w:vAlign w:val="center"/>
                </w:tcPr>
                <w:p w14:paraId="751C5B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142.6 </w:t>
                  </w:r>
                </w:p>
              </w:tc>
              <w:tc>
                <w:tcPr>
                  <w:tcW w:w="667" w:type="pct"/>
                  <w:vAlign w:val="center"/>
                </w:tcPr>
                <w:p w14:paraId="69B0462E">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color w:val="auto"/>
                      <w:kern w:val="0"/>
                      <w:sz w:val="21"/>
                      <w:szCs w:val="24"/>
                      <w:lang w:val="en-US" w:eastAsia="zh-CN" w:bidi="ar"/>
                    </w:rPr>
                  </w:pPr>
                  <w:r>
                    <w:rPr>
                      <w:rFonts w:hint="default" w:ascii="Times New Roman" w:hAnsi="Times New Roman" w:eastAsia="仿宋_GB2312" w:cs="Times New Roman"/>
                      <w:color w:val="auto"/>
                      <w:kern w:val="0"/>
                      <w:sz w:val="21"/>
                      <w:lang w:bidi="ar"/>
                    </w:rPr>
                    <w:t>0.0</w:t>
                  </w:r>
                  <w:r>
                    <w:rPr>
                      <w:rFonts w:hint="eastAsia" w:eastAsia="仿宋_GB2312" w:cs="Times New Roman"/>
                      <w:color w:val="auto"/>
                      <w:kern w:val="0"/>
                      <w:sz w:val="21"/>
                      <w:lang w:val="en-US" w:eastAsia="zh-CN" w:bidi="ar"/>
                    </w:rPr>
                    <w:t>12</w:t>
                  </w:r>
                </w:p>
              </w:tc>
              <w:tc>
                <w:tcPr>
                  <w:tcW w:w="813" w:type="pct"/>
                  <w:vMerge w:val="continue"/>
                  <w:vAlign w:val="center"/>
                </w:tcPr>
                <w:p w14:paraId="6B073D3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BE8ADE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28D4823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089D3FA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5209254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val="0"/>
                      <w:bCs w:val="0"/>
                      <w:color w:val="auto"/>
                      <w:sz w:val="21"/>
                    </w:rPr>
                  </w:pPr>
                </w:p>
              </w:tc>
              <w:tc>
                <w:tcPr>
                  <w:tcW w:w="763" w:type="pct"/>
                  <w:vAlign w:val="center"/>
                </w:tcPr>
                <w:p w14:paraId="06D0D16E">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b w:val="0"/>
                      <w:bCs w:val="0"/>
                      <w:color w:val="auto"/>
                      <w:kern w:val="2"/>
                      <w:sz w:val="21"/>
                      <w:szCs w:val="24"/>
                      <w:lang w:val="en-US" w:eastAsia="zh-CN" w:bidi="ar-SA"/>
                    </w:rPr>
                  </w:pPr>
                  <w:r>
                    <w:rPr>
                      <w:rFonts w:hint="default" w:ascii="Times New Roman" w:hAnsi="Times New Roman" w:eastAsia="仿宋_GB2312" w:cs="Times New Roman"/>
                      <w:b w:val="0"/>
                      <w:bCs w:val="0"/>
                      <w:color w:val="auto"/>
                      <w:sz w:val="21"/>
                    </w:rPr>
                    <w:t>TN</w:t>
                  </w:r>
                </w:p>
              </w:tc>
              <w:tc>
                <w:tcPr>
                  <w:tcW w:w="1443" w:type="dxa"/>
                  <w:vAlign w:val="center"/>
                </w:tcPr>
                <w:p w14:paraId="63ED72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213.9 </w:t>
                  </w:r>
                </w:p>
              </w:tc>
              <w:tc>
                <w:tcPr>
                  <w:tcW w:w="667" w:type="pct"/>
                  <w:vAlign w:val="center"/>
                </w:tcPr>
                <w:p w14:paraId="081756B3">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color w:val="auto"/>
                      <w:kern w:val="0"/>
                      <w:sz w:val="21"/>
                      <w:szCs w:val="24"/>
                      <w:lang w:val="en-US" w:eastAsia="zh-CN" w:bidi="ar"/>
                    </w:rPr>
                  </w:pPr>
                  <w:r>
                    <w:rPr>
                      <w:rFonts w:hint="eastAsia" w:eastAsia="仿宋_GB2312" w:cs="Times New Roman"/>
                      <w:color w:val="auto"/>
                      <w:kern w:val="0"/>
                      <w:sz w:val="21"/>
                      <w:lang w:val="en-US" w:eastAsia="zh-CN" w:bidi="ar"/>
                    </w:rPr>
                    <w:t>0.018</w:t>
                  </w:r>
                </w:p>
              </w:tc>
              <w:tc>
                <w:tcPr>
                  <w:tcW w:w="813" w:type="pct"/>
                  <w:vMerge w:val="continue"/>
                  <w:vAlign w:val="center"/>
                </w:tcPr>
                <w:p w14:paraId="562E6CE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078B5B7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6D59E38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04BC9A9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5FFA1D1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val="0"/>
                      <w:bCs w:val="0"/>
                      <w:color w:val="auto"/>
                      <w:sz w:val="21"/>
                    </w:rPr>
                  </w:pPr>
                </w:p>
              </w:tc>
              <w:tc>
                <w:tcPr>
                  <w:tcW w:w="763" w:type="pct"/>
                  <w:vAlign w:val="center"/>
                </w:tcPr>
                <w:p w14:paraId="53D8D68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b w:val="0"/>
                      <w:bCs w:val="0"/>
                      <w:color w:val="auto"/>
                      <w:kern w:val="2"/>
                      <w:sz w:val="21"/>
                      <w:szCs w:val="24"/>
                      <w:lang w:val="en-US" w:eastAsia="zh-CN" w:bidi="ar-SA"/>
                    </w:rPr>
                  </w:pPr>
                  <w:r>
                    <w:rPr>
                      <w:rFonts w:hint="eastAsia" w:eastAsia="仿宋_GB2312" w:cs="Times New Roman"/>
                      <w:b w:val="0"/>
                      <w:bCs w:val="0"/>
                      <w:color w:val="auto"/>
                      <w:sz w:val="21"/>
                      <w:lang w:val="en-US" w:eastAsia="zh-CN"/>
                    </w:rPr>
                    <w:t>TP</w:t>
                  </w:r>
                </w:p>
              </w:tc>
              <w:tc>
                <w:tcPr>
                  <w:tcW w:w="1443" w:type="dxa"/>
                  <w:vAlign w:val="center"/>
                </w:tcPr>
                <w:p w14:paraId="7452B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47.5 </w:t>
                  </w:r>
                </w:p>
              </w:tc>
              <w:tc>
                <w:tcPr>
                  <w:tcW w:w="667" w:type="pct"/>
                  <w:vAlign w:val="center"/>
                </w:tcPr>
                <w:p w14:paraId="5DD3D2D5">
                  <w:pPr>
                    <w:keepNext w:val="0"/>
                    <w:keepLines w:val="0"/>
                    <w:suppressLineNumbers w:val="0"/>
                    <w:spacing w:before="0" w:beforeAutospacing="0" w:after="0" w:afterAutospacing="0" w:line="320" w:lineRule="exact"/>
                    <w:ind w:left="0" w:leftChars="0" w:right="0" w:rightChars="0"/>
                    <w:jc w:val="center"/>
                    <w:textAlignment w:val="center"/>
                    <w:rPr>
                      <w:rFonts w:hint="eastAsia" w:ascii="Times New Roman" w:hAnsi="Times New Roman" w:eastAsia="仿宋_GB2312" w:cs="Times New Roman"/>
                      <w:color w:val="auto"/>
                      <w:kern w:val="0"/>
                      <w:sz w:val="21"/>
                      <w:szCs w:val="24"/>
                      <w:lang w:val="en-US" w:eastAsia="zh-CN" w:bidi="ar"/>
                    </w:rPr>
                  </w:pPr>
                  <w:r>
                    <w:rPr>
                      <w:rFonts w:hint="eastAsia" w:eastAsia="仿宋_GB2312" w:cs="Times New Roman"/>
                      <w:color w:val="auto"/>
                      <w:kern w:val="0"/>
                      <w:sz w:val="21"/>
                      <w:lang w:val="en-US" w:eastAsia="zh-CN" w:bidi="ar"/>
                    </w:rPr>
                    <w:t>0.004</w:t>
                  </w:r>
                </w:p>
              </w:tc>
              <w:tc>
                <w:tcPr>
                  <w:tcW w:w="813" w:type="pct"/>
                  <w:vMerge w:val="continue"/>
                  <w:vAlign w:val="center"/>
                </w:tcPr>
                <w:p w14:paraId="3242BB1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635E41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5BB41AC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403FC5B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4598B0A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val="0"/>
                      <w:bCs w:val="0"/>
                      <w:color w:val="auto"/>
                      <w:sz w:val="21"/>
                    </w:rPr>
                  </w:pPr>
                </w:p>
              </w:tc>
              <w:tc>
                <w:tcPr>
                  <w:tcW w:w="763" w:type="pct"/>
                  <w:vAlign w:val="center"/>
                </w:tcPr>
                <w:p w14:paraId="48466C6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b w:val="0"/>
                      <w:bCs w:val="0"/>
                      <w:color w:val="auto"/>
                      <w:kern w:val="2"/>
                      <w:sz w:val="21"/>
                      <w:szCs w:val="24"/>
                      <w:lang w:val="en-US" w:eastAsia="zh-CN" w:bidi="ar-SA"/>
                    </w:rPr>
                  </w:pPr>
                  <w:r>
                    <w:rPr>
                      <w:rFonts w:hint="default" w:ascii="Times New Roman" w:hAnsi="Times New Roman" w:eastAsia="仿宋_GB2312" w:cs="Times New Roman"/>
                      <w:b w:val="0"/>
                      <w:bCs w:val="0"/>
                      <w:color w:val="auto"/>
                      <w:sz w:val="21"/>
                    </w:rPr>
                    <w:t>盐分</w:t>
                  </w:r>
                </w:p>
              </w:tc>
              <w:tc>
                <w:tcPr>
                  <w:tcW w:w="1443" w:type="dxa"/>
                  <w:vAlign w:val="center"/>
                </w:tcPr>
                <w:p w14:paraId="4BC512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14852.7 </w:t>
                  </w:r>
                </w:p>
              </w:tc>
              <w:tc>
                <w:tcPr>
                  <w:tcW w:w="667" w:type="pct"/>
                  <w:vAlign w:val="center"/>
                </w:tcPr>
                <w:p w14:paraId="04F5DEFE">
                  <w:pPr>
                    <w:keepNext w:val="0"/>
                    <w:keepLines w:val="0"/>
                    <w:suppressLineNumbers w:val="0"/>
                    <w:spacing w:before="0" w:beforeAutospacing="0" w:after="0" w:afterAutospacing="0" w:line="320" w:lineRule="exact"/>
                    <w:ind w:left="0" w:leftChars="0" w:right="0" w:rightChars="0"/>
                    <w:jc w:val="center"/>
                    <w:textAlignment w:val="center"/>
                    <w:rPr>
                      <w:rFonts w:hint="default" w:ascii="Times New Roman" w:hAnsi="Times New Roman" w:eastAsia="仿宋_GB2312" w:cs="Times New Roman"/>
                      <w:color w:val="auto"/>
                      <w:kern w:val="0"/>
                      <w:sz w:val="21"/>
                      <w:szCs w:val="24"/>
                      <w:lang w:val="en-US" w:eastAsia="zh-CN" w:bidi="ar"/>
                    </w:rPr>
                  </w:pPr>
                  <w:r>
                    <w:rPr>
                      <w:rFonts w:hint="eastAsia" w:eastAsia="仿宋_GB2312" w:cs="Times New Roman"/>
                      <w:color w:val="auto"/>
                      <w:kern w:val="0"/>
                      <w:sz w:val="21"/>
                      <w:lang w:val="en-US" w:eastAsia="zh-CN" w:bidi="ar"/>
                    </w:rPr>
                    <w:t>1.25</w:t>
                  </w:r>
                </w:p>
              </w:tc>
              <w:tc>
                <w:tcPr>
                  <w:tcW w:w="813" w:type="pct"/>
                  <w:vMerge w:val="continue"/>
                  <w:vAlign w:val="center"/>
                </w:tcPr>
                <w:p w14:paraId="52AE214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125DEE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restart"/>
                  <w:vAlign w:val="center"/>
                </w:tcPr>
                <w:p w14:paraId="0833A4E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lang w:val="en-US"/>
                    </w:rPr>
                  </w:pPr>
                  <w:r>
                    <w:rPr>
                      <w:rFonts w:hint="default" w:ascii="Times New Roman" w:hAnsi="Times New Roman" w:eastAsia="仿宋_GB2312" w:cs="Times New Roman"/>
                      <w:color w:val="auto"/>
                      <w:sz w:val="21"/>
                    </w:rPr>
                    <w:t>W</w:t>
                  </w:r>
                  <w:r>
                    <w:rPr>
                      <w:rFonts w:hint="eastAsia" w:eastAsia="仿宋_GB2312" w:cs="Times New Roman"/>
                      <w:color w:val="auto"/>
                      <w:sz w:val="21"/>
                      <w:lang w:val="en-US" w:eastAsia="zh-CN"/>
                    </w:rPr>
                    <w:t>1-3</w:t>
                  </w:r>
                </w:p>
              </w:tc>
              <w:tc>
                <w:tcPr>
                  <w:tcW w:w="825" w:type="pct"/>
                  <w:vMerge w:val="restart"/>
                  <w:vAlign w:val="center"/>
                </w:tcPr>
                <w:p w14:paraId="2315F2C2">
                  <w:pPr>
                    <w:keepNext w:val="0"/>
                    <w:keepLines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sz w:val="21"/>
                      <w:lang w:eastAsia="zh-CN"/>
                    </w:rPr>
                  </w:pPr>
                  <w:r>
                    <w:rPr>
                      <w:rFonts w:hint="eastAsia" w:eastAsia="仿宋_GB2312" w:cs="Times New Roman"/>
                      <w:color w:val="auto"/>
                      <w:sz w:val="21"/>
                      <w:lang w:eastAsia="zh-CN"/>
                    </w:rPr>
                    <w:t>结晶废水</w:t>
                  </w:r>
                </w:p>
              </w:tc>
              <w:tc>
                <w:tcPr>
                  <w:tcW w:w="605" w:type="pct"/>
                  <w:vMerge w:val="restart"/>
                  <w:vAlign w:val="center"/>
                </w:tcPr>
                <w:p w14:paraId="6494DAC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16.06</w:t>
                  </w:r>
                </w:p>
              </w:tc>
              <w:tc>
                <w:tcPr>
                  <w:tcW w:w="763" w:type="pct"/>
                  <w:vAlign w:val="center"/>
                </w:tcPr>
                <w:p w14:paraId="344C5672">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olor w:val="auto"/>
                      <w:kern w:val="0"/>
                      <w:sz w:val="21"/>
                      <w:lang w:bidi="ar"/>
                    </w:rPr>
                    <w:t>COD</w:t>
                  </w:r>
                </w:p>
              </w:tc>
              <w:tc>
                <w:tcPr>
                  <w:tcW w:w="1443" w:type="dxa"/>
                  <w:vAlign w:val="center"/>
                </w:tcPr>
                <w:p w14:paraId="3D74D6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311.3 </w:t>
                  </w:r>
                </w:p>
              </w:tc>
              <w:tc>
                <w:tcPr>
                  <w:tcW w:w="1123" w:type="dxa"/>
                  <w:vAlign w:val="center"/>
                </w:tcPr>
                <w:p w14:paraId="0A106D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813" w:type="pct"/>
                  <w:vMerge w:val="continue"/>
                  <w:vAlign w:val="center"/>
                </w:tcPr>
                <w:p w14:paraId="1931211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3401B1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627F87F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54EE07E1">
                  <w:pPr>
                    <w:keepNext w:val="0"/>
                    <w:keepLines w:val="0"/>
                    <w:suppressLineNumbers w:val="0"/>
                    <w:spacing w:before="0" w:beforeAutospacing="0" w:after="0" w:afterAutospacing="0" w:line="240" w:lineRule="exact"/>
                    <w:ind w:left="0" w:right="0"/>
                    <w:jc w:val="center"/>
                    <w:rPr>
                      <w:rFonts w:hint="eastAsia" w:eastAsia="仿宋_GB2312" w:cs="Times New Roman"/>
                      <w:color w:val="auto"/>
                      <w:sz w:val="21"/>
                      <w:lang w:eastAsia="zh-CN"/>
                    </w:rPr>
                  </w:pPr>
                </w:p>
              </w:tc>
              <w:tc>
                <w:tcPr>
                  <w:tcW w:w="605" w:type="pct"/>
                  <w:vMerge w:val="continue"/>
                  <w:vAlign w:val="center"/>
                </w:tcPr>
                <w:p w14:paraId="2E907F7E">
                  <w:pPr>
                    <w:keepNext w:val="0"/>
                    <w:keepLines w:val="0"/>
                    <w:suppressLineNumbers w:val="0"/>
                    <w:spacing w:before="0" w:beforeAutospacing="0" w:after="0" w:afterAutospacing="0" w:line="240" w:lineRule="exact"/>
                    <w:ind w:left="0" w:right="0"/>
                    <w:jc w:val="center"/>
                    <w:rPr>
                      <w:rFonts w:hint="eastAsia" w:eastAsia="仿宋_GB2312" w:cs="Times New Roman"/>
                      <w:color w:val="auto"/>
                      <w:sz w:val="21"/>
                      <w:lang w:val="en-US" w:eastAsia="zh-CN"/>
                    </w:rPr>
                  </w:pPr>
                </w:p>
              </w:tc>
              <w:tc>
                <w:tcPr>
                  <w:tcW w:w="763" w:type="pct"/>
                  <w:vAlign w:val="center"/>
                </w:tcPr>
                <w:p w14:paraId="186CA043">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olor w:val="auto"/>
                      <w:kern w:val="0"/>
                      <w:sz w:val="21"/>
                      <w:lang w:bidi="ar"/>
                    </w:rPr>
                    <w:t>NH</w:t>
                  </w:r>
                  <w:r>
                    <w:rPr>
                      <w:rFonts w:hint="default" w:ascii="Times New Roman" w:hAnsi="Times New Roman" w:eastAsia="宋体"/>
                      <w:color w:val="auto"/>
                      <w:kern w:val="0"/>
                      <w:sz w:val="21"/>
                      <w:vertAlign w:val="subscript"/>
                      <w:lang w:bidi="ar"/>
                    </w:rPr>
                    <w:t>3</w:t>
                  </w:r>
                  <w:r>
                    <w:rPr>
                      <w:rFonts w:hint="default" w:ascii="Times New Roman" w:hAnsi="Times New Roman" w:eastAsia="宋体"/>
                      <w:color w:val="auto"/>
                      <w:kern w:val="0"/>
                      <w:sz w:val="21"/>
                      <w:lang w:bidi="ar"/>
                    </w:rPr>
                    <w:t>-N</w:t>
                  </w:r>
                </w:p>
              </w:tc>
              <w:tc>
                <w:tcPr>
                  <w:tcW w:w="1443" w:type="dxa"/>
                  <w:vAlign w:val="center"/>
                </w:tcPr>
                <w:p w14:paraId="33A156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1123" w:type="dxa"/>
                  <w:vAlign w:val="center"/>
                </w:tcPr>
                <w:p w14:paraId="4B120C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0.00007</w:t>
                  </w:r>
                </w:p>
              </w:tc>
              <w:tc>
                <w:tcPr>
                  <w:tcW w:w="813" w:type="pct"/>
                  <w:vMerge w:val="continue"/>
                  <w:vAlign w:val="center"/>
                </w:tcPr>
                <w:p w14:paraId="4E7F606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6500299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3BD94D6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68E42639">
                  <w:pPr>
                    <w:keepNext w:val="0"/>
                    <w:keepLines w:val="0"/>
                    <w:suppressLineNumbers w:val="0"/>
                    <w:spacing w:before="0" w:beforeAutospacing="0" w:after="0" w:afterAutospacing="0" w:line="240" w:lineRule="exact"/>
                    <w:ind w:left="0" w:right="0"/>
                    <w:jc w:val="center"/>
                    <w:rPr>
                      <w:rFonts w:hint="eastAsia" w:eastAsia="仿宋_GB2312" w:cs="Times New Roman"/>
                      <w:color w:val="auto"/>
                      <w:sz w:val="21"/>
                      <w:lang w:eastAsia="zh-CN"/>
                    </w:rPr>
                  </w:pPr>
                </w:p>
              </w:tc>
              <w:tc>
                <w:tcPr>
                  <w:tcW w:w="605" w:type="pct"/>
                  <w:vMerge w:val="continue"/>
                  <w:vAlign w:val="center"/>
                </w:tcPr>
                <w:p w14:paraId="562432BF">
                  <w:pPr>
                    <w:keepNext w:val="0"/>
                    <w:keepLines w:val="0"/>
                    <w:suppressLineNumbers w:val="0"/>
                    <w:spacing w:before="0" w:beforeAutospacing="0" w:after="0" w:afterAutospacing="0" w:line="240" w:lineRule="exact"/>
                    <w:ind w:left="0" w:right="0"/>
                    <w:jc w:val="center"/>
                    <w:rPr>
                      <w:rFonts w:hint="eastAsia" w:eastAsia="仿宋_GB2312" w:cs="Times New Roman"/>
                      <w:color w:val="auto"/>
                      <w:sz w:val="21"/>
                      <w:lang w:val="en-US" w:eastAsia="zh-CN"/>
                    </w:rPr>
                  </w:pPr>
                </w:p>
              </w:tc>
              <w:tc>
                <w:tcPr>
                  <w:tcW w:w="763" w:type="pct"/>
                  <w:vAlign w:val="center"/>
                </w:tcPr>
                <w:p w14:paraId="4BD5C19B">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olor w:val="auto"/>
                      <w:kern w:val="0"/>
                      <w:sz w:val="21"/>
                      <w:lang w:bidi="ar"/>
                    </w:rPr>
                    <w:t>TN</w:t>
                  </w:r>
                </w:p>
              </w:tc>
              <w:tc>
                <w:tcPr>
                  <w:tcW w:w="1443" w:type="dxa"/>
                  <w:vAlign w:val="center"/>
                </w:tcPr>
                <w:p w14:paraId="416B09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6.2 </w:t>
                  </w:r>
                </w:p>
              </w:tc>
              <w:tc>
                <w:tcPr>
                  <w:tcW w:w="1123" w:type="dxa"/>
                  <w:vAlign w:val="center"/>
                </w:tcPr>
                <w:p w14:paraId="0F108C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813" w:type="pct"/>
                  <w:vMerge w:val="continue"/>
                  <w:vAlign w:val="center"/>
                </w:tcPr>
                <w:p w14:paraId="0B5899D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4B98D19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0A7974D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368DAB56">
                  <w:pPr>
                    <w:keepNext w:val="0"/>
                    <w:keepLines w:val="0"/>
                    <w:suppressLineNumbers w:val="0"/>
                    <w:spacing w:before="0" w:beforeAutospacing="0" w:after="0" w:afterAutospacing="0" w:line="240" w:lineRule="exact"/>
                    <w:ind w:left="0" w:right="0"/>
                    <w:jc w:val="center"/>
                    <w:rPr>
                      <w:rFonts w:hint="eastAsia" w:eastAsia="仿宋_GB2312" w:cs="Times New Roman"/>
                      <w:color w:val="auto"/>
                      <w:sz w:val="21"/>
                      <w:lang w:eastAsia="zh-CN"/>
                    </w:rPr>
                  </w:pPr>
                </w:p>
              </w:tc>
              <w:tc>
                <w:tcPr>
                  <w:tcW w:w="605" w:type="pct"/>
                  <w:vMerge w:val="continue"/>
                  <w:vAlign w:val="center"/>
                </w:tcPr>
                <w:p w14:paraId="1CC742BF">
                  <w:pPr>
                    <w:keepNext w:val="0"/>
                    <w:keepLines w:val="0"/>
                    <w:suppressLineNumbers w:val="0"/>
                    <w:spacing w:before="0" w:beforeAutospacing="0" w:after="0" w:afterAutospacing="0" w:line="240" w:lineRule="exact"/>
                    <w:ind w:left="0" w:right="0"/>
                    <w:jc w:val="center"/>
                    <w:rPr>
                      <w:rFonts w:hint="eastAsia" w:eastAsia="仿宋_GB2312" w:cs="Times New Roman"/>
                      <w:color w:val="auto"/>
                      <w:sz w:val="21"/>
                      <w:lang w:val="en-US" w:eastAsia="zh-CN"/>
                    </w:rPr>
                  </w:pPr>
                </w:p>
              </w:tc>
              <w:tc>
                <w:tcPr>
                  <w:tcW w:w="763" w:type="pct"/>
                  <w:vAlign w:val="center"/>
                </w:tcPr>
                <w:p w14:paraId="300820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rPr>
                    <w:t>TP</w:t>
                  </w:r>
                </w:p>
              </w:tc>
              <w:tc>
                <w:tcPr>
                  <w:tcW w:w="1443" w:type="dxa"/>
                  <w:vAlign w:val="center"/>
                </w:tcPr>
                <w:p w14:paraId="107480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6.2 </w:t>
                  </w:r>
                </w:p>
              </w:tc>
              <w:tc>
                <w:tcPr>
                  <w:tcW w:w="667" w:type="pct"/>
                  <w:vAlign w:val="center"/>
                </w:tcPr>
                <w:p w14:paraId="2E9091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val="en-US" w:eastAsia="zh-CN" w:bidi="ar"/>
                    </w:rPr>
                  </w:pPr>
                  <w:r>
                    <w:rPr>
                      <w:rFonts w:hint="eastAsia" w:eastAsia="仿宋_GB2312" w:cs="Times New Roman"/>
                      <w:color w:val="auto"/>
                      <w:kern w:val="0"/>
                      <w:sz w:val="21"/>
                      <w:lang w:val="en-US" w:eastAsia="zh-CN" w:bidi="ar"/>
                    </w:rPr>
                    <w:t>0.0001</w:t>
                  </w:r>
                </w:p>
              </w:tc>
              <w:tc>
                <w:tcPr>
                  <w:tcW w:w="813" w:type="pct"/>
                  <w:vMerge w:val="continue"/>
                  <w:vAlign w:val="center"/>
                </w:tcPr>
                <w:p w14:paraId="1BAF4E8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18CE56A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7" w:type="pct"/>
                  <w:vMerge w:val="continue"/>
                  <w:vAlign w:val="center"/>
                </w:tcPr>
                <w:p w14:paraId="1A43BD9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7ECC55DA">
                  <w:pPr>
                    <w:keepNext w:val="0"/>
                    <w:keepLines w:val="0"/>
                    <w:suppressLineNumbers w:val="0"/>
                    <w:spacing w:before="0" w:beforeAutospacing="0" w:after="0" w:afterAutospacing="0" w:line="240" w:lineRule="exact"/>
                    <w:ind w:left="0" w:right="0"/>
                    <w:jc w:val="center"/>
                    <w:rPr>
                      <w:rFonts w:hint="eastAsia" w:eastAsia="仿宋_GB2312" w:cs="Times New Roman"/>
                      <w:color w:val="auto"/>
                      <w:sz w:val="21"/>
                      <w:lang w:eastAsia="zh-CN"/>
                    </w:rPr>
                  </w:pPr>
                </w:p>
              </w:tc>
              <w:tc>
                <w:tcPr>
                  <w:tcW w:w="605" w:type="pct"/>
                  <w:vMerge w:val="continue"/>
                  <w:vAlign w:val="center"/>
                </w:tcPr>
                <w:p w14:paraId="31CCCC9F">
                  <w:pPr>
                    <w:keepNext w:val="0"/>
                    <w:keepLines w:val="0"/>
                    <w:suppressLineNumbers w:val="0"/>
                    <w:spacing w:before="0" w:beforeAutospacing="0" w:after="0" w:afterAutospacing="0" w:line="240" w:lineRule="exact"/>
                    <w:ind w:left="0" w:right="0"/>
                    <w:jc w:val="center"/>
                    <w:rPr>
                      <w:rFonts w:hint="eastAsia" w:eastAsia="仿宋_GB2312" w:cs="Times New Roman"/>
                      <w:color w:val="auto"/>
                      <w:sz w:val="21"/>
                      <w:lang w:val="en-US" w:eastAsia="zh-CN"/>
                    </w:rPr>
                  </w:pPr>
                </w:p>
              </w:tc>
              <w:tc>
                <w:tcPr>
                  <w:tcW w:w="763" w:type="pct"/>
                  <w:vAlign w:val="center"/>
                </w:tcPr>
                <w:p w14:paraId="26E3D27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ascii="Times New Roman" w:hAnsi="Times New Roman" w:eastAsia="仿宋_GB2312" w:cs="Times New Roman"/>
                      <w:color w:val="auto"/>
                      <w:sz w:val="21"/>
                    </w:rPr>
                    <w:t>盐分</w:t>
                  </w:r>
                </w:p>
              </w:tc>
              <w:tc>
                <w:tcPr>
                  <w:tcW w:w="1443" w:type="dxa"/>
                  <w:vAlign w:val="center"/>
                </w:tcPr>
                <w:p w14:paraId="0877F8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29887.9 </w:t>
                  </w:r>
                </w:p>
              </w:tc>
              <w:tc>
                <w:tcPr>
                  <w:tcW w:w="667" w:type="pct"/>
                  <w:vAlign w:val="center"/>
                </w:tcPr>
                <w:p w14:paraId="6AF206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813" w:type="pct"/>
                  <w:vMerge w:val="continue"/>
                  <w:vAlign w:val="center"/>
                </w:tcPr>
                <w:p w14:paraId="5E5CC74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25E779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467" w:type="pct"/>
                  <w:vMerge w:val="restart"/>
                  <w:vAlign w:val="center"/>
                </w:tcPr>
                <w:p w14:paraId="3C8E29F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lang w:val="en-US"/>
                    </w:rPr>
                  </w:pPr>
                  <w:r>
                    <w:rPr>
                      <w:rFonts w:hint="default" w:ascii="Times New Roman" w:hAnsi="Times New Roman" w:eastAsia="仿宋_GB2312" w:cs="Times New Roman"/>
                      <w:color w:val="auto"/>
                      <w:sz w:val="21"/>
                    </w:rPr>
                    <w:t>W</w:t>
                  </w:r>
                  <w:r>
                    <w:rPr>
                      <w:rFonts w:hint="eastAsia" w:eastAsia="仿宋_GB2312" w:cs="Times New Roman"/>
                      <w:color w:val="auto"/>
                      <w:sz w:val="21"/>
                      <w:lang w:val="en-US" w:eastAsia="zh-CN"/>
                    </w:rPr>
                    <w:t>1-4</w:t>
                  </w:r>
                </w:p>
              </w:tc>
              <w:tc>
                <w:tcPr>
                  <w:tcW w:w="825" w:type="pct"/>
                  <w:vMerge w:val="restart"/>
                  <w:vAlign w:val="center"/>
                </w:tcPr>
                <w:p w14:paraId="33C8CCB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eastAsia" w:eastAsia="仿宋_GB2312" w:cs="Times New Roman"/>
                      <w:color w:val="auto"/>
                      <w:sz w:val="21"/>
                      <w:lang w:eastAsia="zh-CN"/>
                    </w:rPr>
                    <w:t>离心废水</w:t>
                  </w:r>
                </w:p>
              </w:tc>
              <w:tc>
                <w:tcPr>
                  <w:tcW w:w="605" w:type="pct"/>
                  <w:vMerge w:val="restart"/>
                  <w:vAlign w:val="center"/>
                </w:tcPr>
                <w:p w14:paraId="6D5CDCC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2.08</w:t>
                  </w:r>
                </w:p>
              </w:tc>
              <w:tc>
                <w:tcPr>
                  <w:tcW w:w="763" w:type="pct"/>
                  <w:vAlign w:val="center"/>
                </w:tcPr>
                <w:p w14:paraId="3B37543C">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olor w:val="auto"/>
                      <w:kern w:val="0"/>
                      <w:sz w:val="21"/>
                      <w:lang w:bidi="ar"/>
                    </w:rPr>
                    <w:t>COD</w:t>
                  </w:r>
                </w:p>
              </w:tc>
              <w:tc>
                <w:tcPr>
                  <w:tcW w:w="1443" w:type="dxa"/>
                  <w:vAlign w:val="center"/>
                </w:tcPr>
                <w:p w14:paraId="29F504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1201.9 </w:t>
                  </w:r>
                </w:p>
              </w:tc>
              <w:tc>
                <w:tcPr>
                  <w:tcW w:w="1123" w:type="dxa"/>
                  <w:vAlign w:val="center"/>
                </w:tcPr>
                <w:p w14:paraId="58A95E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25</w:t>
                  </w:r>
                </w:p>
              </w:tc>
              <w:tc>
                <w:tcPr>
                  <w:tcW w:w="813" w:type="pct"/>
                  <w:vMerge w:val="continue"/>
                  <w:vAlign w:val="center"/>
                </w:tcPr>
                <w:p w14:paraId="3C655A2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518BAAC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467" w:type="pct"/>
                  <w:vMerge w:val="continue"/>
                  <w:vAlign w:val="center"/>
                </w:tcPr>
                <w:p w14:paraId="53E9A90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64F5CA0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250E2B3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388EF657">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olor w:val="auto"/>
                      <w:kern w:val="0"/>
                      <w:sz w:val="21"/>
                      <w:lang w:bidi="ar"/>
                    </w:rPr>
                    <w:t>NH</w:t>
                  </w:r>
                  <w:r>
                    <w:rPr>
                      <w:rFonts w:hint="default" w:ascii="Times New Roman" w:hAnsi="Times New Roman" w:eastAsia="宋体"/>
                      <w:color w:val="auto"/>
                      <w:kern w:val="0"/>
                      <w:sz w:val="21"/>
                      <w:vertAlign w:val="subscript"/>
                      <w:lang w:bidi="ar"/>
                    </w:rPr>
                    <w:t>3</w:t>
                  </w:r>
                  <w:r>
                    <w:rPr>
                      <w:rFonts w:hint="default" w:ascii="Times New Roman" w:hAnsi="Times New Roman" w:eastAsia="宋体"/>
                      <w:color w:val="auto"/>
                      <w:kern w:val="0"/>
                      <w:sz w:val="21"/>
                      <w:lang w:bidi="ar"/>
                    </w:rPr>
                    <w:t>-N</w:t>
                  </w:r>
                </w:p>
              </w:tc>
              <w:tc>
                <w:tcPr>
                  <w:tcW w:w="1443" w:type="dxa"/>
                  <w:vAlign w:val="center"/>
                </w:tcPr>
                <w:p w14:paraId="60E635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14.4 </w:t>
                  </w:r>
                </w:p>
              </w:tc>
              <w:tc>
                <w:tcPr>
                  <w:tcW w:w="1123" w:type="dxa"/>
                  <w:vAlign w:val="center"/>
                </w:tcPr>
                <w:p w14:paraId="65C651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cs="Times New Roman"/>
                      <w:i w:val="0"/>
                      <w:iCs w:val="0"/>
                      <w:color w:val="auto"/>
                      <w:kern w:val="0"/>
                      <w:sz w:val="21"/>
                      <w:szCs w:val="21"/>
                      <w:u w:val="none"/>
                      <w:lang w:val="en-US" w:eastAsia="zh-CN" w:bidi="ar"/>
                    </w:rPr>
                    <w:t>3</w:t>
                  </w:r>
                </w:p>
              </w:tc>
              <w:tc>
                <w:tcPr>
                  <w:tcW w:w="813" w:type="pct"/>
                  <w:vMerge w:val="continue"/>
                  <w:vAlign w:val="center"/>
                </w:tcPr>
                <w:p w14:paraId="051E19A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1513780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467" w:type="pct"/>
                  <w:vMerge w:val="continue"/>
                  <w:vAlign w:val="center"/>
                </w:tcPr>
                <w:p w14:paraId="0D6F3E2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825" w:type="pct"/>
                  <w:vMerge w:val="continue"/>
                  <w:vAlign w:val="center"/>
                </w:tcPr>
                <w:p w14:paraId="33B60B1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05" w:type="pct"/>
                  <w:vMerge w:val="continue"/>
                  <w:vAlign w:val="center"/>
                </w:tcPr>
                <w:p w14:paraId="6B8B817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37577EAD">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olor w:val="auto"/>
                      <w:kern w:val="0"/>
                      <w:sz w:val="21"/>
                      <w:lang w:bidi="ar"/>
                    </w:rPr>
                    <w:t>TN</w:t>
                  </w:r>
                </w:p>
              </w:tc>
              <w:tc>
                <w:tcPr>
                  <w:tcW w:w="1443" w:type="dxa"/>
                  <w:vAlign w:val="center"/>
                </w:tcPr>
                <w:p w14:paraId="458261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24.0 </w:t>
                  </w:r>
                </w:p>
              </w:tc>
              <w:tc>
                <w:tcPr>
                  <w:tcW w:w="1123" w:type="dxa"/>
                  <w:vAlign w:val="center"/>
                </w:tcPr>
                <w:p w14:paraId="344862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05</w:t>
                  </w:r>
                </w:p>
              </w:tc>
              <w:tc>
                <w:tcPr>
                  <w:tcW w:w="813" w:type="pct"/>
                  <w:vMerge w:val="continue"/>
                  <w:vAlign w:val="center"/>
                </w:tcPr>
                <w:p w14:paraId="74D507E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bl>
          <w:p w14:paraId="7C3FE3A6">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w:t>
            </w:r>
            <w:r>
              <w:rPr>
                <w:rFonts w:hint="eastAsia" w:eastAsia="仿宋_GB2312"/>
                <w:bCs/>
                <w:color w:val="auto"/>
                <w:sz w:val="24"/>
                <w:lang w:val="en-US" w:eastAsia="zh-CN"/>
              </w:rPr>
              <w:t>4</w:t>
            </w:r>
            <w:r>
              <w:rPr>
                <w:rFonts w:hint="default" w:eastAsia="仿宋_GB2312"/>
                <w:bCs/>
                <w:color w:val="auto"/>
                <w:sz w:val="24"/>
              </w:rPr>
              <w:t>）固废具体见下表。</w:t>
            </w:r>
          </w:p>
          <w:p w14:paraId="7C7DC382">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16</w:t>
            </w:r>
            <w:r>
              <w:rPr>
                <w:rFonts w:hint="default" w:eastAsia="仿宋_GB2312"/>
                <w:b/>
                <w:color w:val="auto"/>
                <w:sz w:val="22"/>
                <w:szCs w:val="22"/>
              </w:rPr>
              <w:t xml:space="preserve">  固废产生源强一览表</w:t>
            </w:r>
          </w:p>
          <w:tbl>
            <w:tblPr>
              <w:tblStyle w:val="16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45" w:type="dxa"/>
                <w:bottom w:w="0" w:type="dxa"/>
                <w:right w:w="45" w:type="dxa"/>
              </w:tblCellMar>
            </w:tblPr>
            <w:tblGrid>
              <w:gridCol w:w="481"/>
              <w:gridCol w:w="470"/>
              <w:gridCol w:w="830"/>
              <w:gridCol w:w="1106"/>
              <w:gridCol w:w="857"/>
              <w:gridCol w:w="589"/>
              <w:gridCol w:w="756"/>
              <w:gridCol w:w="747"/>
              <w:gridCol w:w="690"/>
              <w:gridCol w:w="486"/>
              <w:gridCol w:w="525"/>
              <w:gridCol w:w="867"/>
            </w:tblGrid>
            <w:tr w14:paraId="115EA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286" w:type="pct"/>
                  <w:vAlign w:val="center"/>
                </w:tcPr>
                <w:p w14:paraId="252D0988">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编号</w:t>
                  </w:r>
                </w:p>
              </w:tc>
              <w:tc>
                <w:tcPr>
                  <w:tcW w:w="279" w:type="pct"/>
                  <w:vAlign w:val="center"/>
                </w:tcPr>
                <w:p w14:paraId="4A79BC4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固废名称</w:t>
                  </w:r>
                </w:p>
              </w:tc>
              <w:tc>
                <w:tcPr>
                  <w:tcW w:w="493" w:type="pct"/>
                  <w:vAlign w:val="center"/>
                </w:tcPr>
                <w:p w14:paraId="3F37A01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废物类别</w:t>
                  </w:r>
                </w:p>
              </w:tc>
              <w:tc>
                <w:tcPr>
                  <w:tcW w:w="657" w:type="pct"/>
                  <w:vAlign w:val="center"/>
                </w:tcPr>
                <w:p w14:paraId="2FD3A10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废物代码</w:t>
                  </w:r>
                </w:p>
              </w:tc>
              <w:tc>
                <w:tcPr>
                  <w:tcW w:w="509" w:type="pct"/>
                  <w:vAlign w:val="center"/>
                </w:tcPr>
                <w:p w14:paraId="6B6691E6">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产生工序</w:t>
                  </w:r>
                </w:p>
              </w:tc>
              <w:tc>
                <w:tcPr>
                  <w:tcW w:w="350" w:type="pct"/>
                  <w:vAlign w:val="center"/>
                </w:tcPr>
                <w:p w14:paraId="2E3FB2FE">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性状</w:t>
                  </w:r>
                </w:p>
              </w:tc>
              <w:tc>
                <w:tcPr>
                  <w:tcW w:w="449" w:type="pct"/>
                  <w:vAlign w:val="center"/>
                </w:tcPr>
                <w:p w14:paraId="3D97144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主要成分</w:t>
                  </w:r>
                </w:p>
              </w:tc>
              <w:tc>
                <w:tcPr>
                  <w:tcW w:w="444" w:type="pct"/>
                  <w:vAlign w:val="center"/>
                </w:tcPr>
                <w:p w14:paraId="259C216E">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有害成分</w:t>
                  </w:r>
                </w:p>
              </w:tc>
              <w:tc>
                <w:tcPr>
                  <w:tcW w:w="410" w:type="pct"/>
                  <w:vAlign w:val="center"/>
                </w:tcPr>
                <w:p w14:paraId="4E2BA32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产废</w:t>
                  </w:r>
                </w:p>
                <w:p w14:paraId="044A47E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周期</w:t>
                  </w:r>
                </w:p>
              </w:tc>
              <w:tc>
                <w:tcPr>
                  <w:tcW w:w="289" w:type="pct"/>
                  <w:vAlign w:val="center"/>
                </w:tcPr>
                <w:p w14:paraId="35EF3D7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危险</w:t>
                  </w:r>
                </w:p>
                <w:p w14:paraId="703E1DE5">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特性</w:t>
                  </w:r>
                </w:p>
              </w:tc>
              <w:tc>
                <w:tcPr>
                  <w:tcW w:w="312" w:type="pct"/>
                  <w:vAlign w:val="center"/>
                </w:tcPr>
                <w:p w14:paraId="254D3D32">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产生量</w:t>
                  </w:r>
                </w:p>
                <w:p w14:paraId="1D31E368">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(t/a)</w:t>
                  </w:r>
                </w:p>
              </w:tc>
              <w:tc>
                <w:tcPr>
                  <w:tcW w:w="515" w:type="pct"/>
                  <w:vAlign w:val="center"/>
                </w:tcPr>
                <w:p w14:paraId="5B766B8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污染防治措施</w:t>
                  </w:r>
                </w:p>
              </w:tc>
            </w:tr>
            <w:tr w14:paraId="69B2E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286" w:type="pct"/>
                  <w:vAlign w:val="center"/>
                </w:tcPr>
                <w:p w14:paraId="66A8DEF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S</w:t>
                  </w:r>
                  <w:r>
                    <w:rPr>
                      <w:rFonts w:hint="eastAsia" w:ascii="Times New Roman" w:hAnsi="Times New Roman"/>
                      <w:color w:val="auto"/>
                      <w:lang w:val="en-US" w:eastAsia="zh-CN"/>
                    </w:rPr>
                    <w:t>1</w:t>
                  </w:r>
                  <w:r>
                    <w:rPr>
                      <w:rFonts w:hint="eastAsia" w:ascii="Times New Roman" w:hAnsi="Times New Roman"/>
                      <w:color w:val="auto"/>
                    </w:rPr>
                    <w:t>-1</w:t>
                  </w:r>
                </w:p>
              </w:tc>
              <w:tc>
                <w:tcPr>
                  <w:tcW w:w="279" w:type="pct"/>
                  <w:vAlign w:val="center"/>
                </w:tcPr>
                <w:p w14:paraId="2DD5C6D1">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离心废渣</w:t>
                  </w:r>
                </w:p>
              </w:tc>
              <w:tc>
                <w:tcPr>
                  <w:tcW w:w="493" w:type="pct"/>
                  <w:vAlign w:val="center"/>
                </w:tcPr>
                <w:p w14:paraId="73C68698">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SW59</w:t>
                  </w:r>
                </w:p>
              </w:tc>
              <w:tc>
                <w:tcPr>
                  <w:tcW w:w="657" w:type="pct"/>
                  <w:vAlign w:val="center"/>
                </w:tcPr>
                <w:p w14:paraId="174A0E6C">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900-099-S59</w:t>
                  </w:r>
                </w:p>
              </w:tc>
              <w:tc>
                <w:tcPr>
                  <w:tcW w:w="509" w:type="pct"/>
                  <w:vAlign w:val="center"/>
                </w:tcPr>
                <w:p w14:paraId="1016948E">
                  <w:pPr>
                    <w:pStyle w:val="169"/>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olor w:val="auto"/>
                      <w:lang w:eastAsia="zh-CN"/>
                    </w:rPr>
                  </w:pPr>
                  <w:r>
                    <w:rPr>
                      <w:rFonts w:hint="eastAsia"/>
                      <w:color w:val="auto"/>
                      <w:lang w:eastAsia="zh-CN"/>
                    </w:rPr>
                    <w:t>离心</w:t>
                  </w:r>
                </w:p>
              </w:tc>
              <w:tc>
                <w:tcPr>
                  <w:tcW w:w="350" w:type="pct"/>
                  <w:vAlign w:val="center"/>
                </w:tcPr>
                <w:p w14:paraId="35DE0B2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eastAsia="zh-CN"/>
                    </w:rPr>
                    <w:t>固</w:t>
                  </w:r>
                  <w:r>
                    <w:rPr>
                      <w:rFonts w:hint="eastAsia" w:ascii="Times New Roman" w:hAnsi="Times New Roman"/>
                      <w:color w:val="auto"/>
                    </w:rPr>
                    <w:t>态</w:t>
                  </w:r>
                </w:p>
              </w:tc>
              <w:tc>
                <w:tcPr>
                  <w:tcW w:w="449" w:type="pct"/>
                  <w:vAlign w:val="center"/>
                </w:tcPr>
                <w:p w14:paraId="3C7BBC3D">
                  <w:pPr>
                    <w:pStyle w:val="169"/>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olor w:val="auto"/>
                      <w:lang w:val="en-US" w:eastAsia="zh-CN"/>
                    </w:rPr>
                  </w:pPr>
                  <w:r>
                    <w:rPr>
                      <w:rFonts w:hint="eastAsia" w:ascii="Times New Roman" w:hAnsi="Times New Roman"/>
                      <w:color w:val="auto"/>
                      <w:lang w:val="en-US"/>
                    </w:rPr>
                    <w:t>水、</w:t>
                  </w:r>
                  <w:r>
                    <w:rPr>
                      <w:rFonts w:hint="eastAsia" w:ascii="Times New Roman" w:hAnsi="Times New Roman"/>
                      <w:color w:val="auto"/>
                      <w:lang w:val="en-US" w:eastAsia="zh-CN"/>
                    </w:rPr>
                    <w:t>杂质</w:t>
                  </w:r>
                </w:p>
              </w:tc>
              <w:tc>
                <w:tcPr>
                  <w:tcW w:w="444" w:type="pct"/>
                  <w:vAlign w:val="center"/>
                </w:tcPr>
                <w:p w14:paraId="7AF3DF51">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410" w:type="pct"/>
                  <w:vAlign w:val="center"/>
                </w:tcPr>
                <w:p w14:paraId="314C6F7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color w:val="auto"/>
                      <w:szCs w:val="21"/>
                    </w:rPr>
                    <w:t>每批次</w:t>
                  </w:r>
                </w:p>
              </w:tc>
              <w:tc>
                <w:tcPr>
                  <w:tcW w:w="289" w:type="pct"/>
                  <w:vAlign w:val="center"/>
                </w:tcPr>
                <w:p w14:paraId="57B7E768">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312" w:type="pct"/>
                  <w:vAlign w:val="center"/>
                </w:tcPr>
                <w:p w14:paraId="6747ADFF">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olor w:val="auto"/>
                      <w:lang w:val="en-US" w:eastAsia="zh-CN"/>
                    </w:rPr>
                  </w:pPr>
                  <w:r>
                    <w:rPr>
                      <w:rFonts w:hint="eastAsia" w:ascii="Times New Roman" w:hAnsi="Times New Roman"/>
                      <w:color w:val="auto"/>
                      <w:lang w:val="en-US" w:eastAsia="zh-CN"/>
                    </w:rPr>
                    <w:t>0.36</w:t>
                  </w:r>
                </w:p>
              </w:tc>
              <w:tc>
                <w:tcPr>
                  <w:tcW w:w="515" w:type="pct"/>
                  <w:vAlign w:val="center"/>
                </w:tcPr>
                <w:p w14:paraId="7F444FF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作为一般固废委外处置</w:t>
                  </w:r>
                </w:p>
              </w:tc>
            </w:tr>
          </w:tbl>
          <w:p w14:paraId="59997E4A">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sz w:val="24"/>
                <w:lang w:val="zh-CN"/>
              </w:rPr>
            </w:pPr>
          </w:p>
          <w:p w14:paraId="5B4B6E6D">
            <w:pPr>
              <w:pStyle w:val="2"/>
              <w:keepNext w:val="0"/>
              <w:keepLines w:val="0"/>
              <w:suppressLineNumbers w:val="0"/>
              <w:spacing w:beforeAutospacing="0" w:afterAutospacing="0"/>
              <w:ind w:left="0"/>
              <w:rPr>
                <w:rFonts w:hint="default"/>
                <w:color w:val="auto"/>
                <w:lang w:val="zh-CN"/>
              </w:rPr>
            </w:pPr>
          </w:p>
          <w:p w14:paraId="1BC97E32">
            <w:pPr>
              <w:pStyle w:val="3"/>
              <w:keepNext w:val="0"/>
              <w:keepLines w:val="0"/>
              <w:suppressLineNumbers w:val="0"/>
              <w:spacing w:before="0" w:beforeAutospacing="0" w:after="0" w:afterAutospacing="0"/>
              <w:ind w:right="0"/>
              <w:rPr>
                <w:rFonts w:hint="default"/>
                <w:color w:val="auto"/>
                <w:lang w:val="zh-CN"/>
              </w:rPr>
            </w:pPr>
          </w:p>
          <w:p w14:paraId="6F93FD0A">
            <w:pPr>
              <w:keepNext w:val="0"/>
              <w:keepLines w:val="0"/>
              <w:suppressLineNumbers w:val="0"/>
              <w:spacing w:before="0" w:beforeAutospacing="0" w:after="0" w:afterAutospacing="0" w:line="500" w:lineRule="exact"/>
              <w:ind w:left="0" w:right="0"/>
              <w:rPr>
                <w:rFonts w:hint="default" w:eastAsia="仿宋_GB2312"/>
                <w:b/>
                <w:color w:val="auto"/>
                <w:sz w:val="24"/>
                <w:lang w:val="zh-CN"/>
              </w:rPr>
            </w:pPr>
          </w:p>
          <w:p w14:paraId="4150BA76">
            <w:pPr>
              <w:pStyle w:val="2"/>
              <w:keepNext w:val="0"/>
              <w:keepLines w:val="0"/>
              <w:suppressLineNumbers w:val="0"/>
              <w:spacing w:beforeAutospacing="0" w:afterAutospacing="0"/>
              <w:ind w:left="0"/>
              <w:rPr>
                <w:rFonts w:hint="default"/>
                <w:color w:val="auto"/>
                <w:lang w:val="zh-CN"/>
              </w:rPr>
            </w:pPr>
          </w:p>
          <w:p w14:paraId="794E92B8">
            <w:pPr>
              <w:pStyle w:val="3"/>
              <w:keepNext w:val="0"/>
              <w:keepLines w:val="0"/>
              <w:suppressLineNumbers w:val="0"/>
              <w:spacing w:before="0" w:beforeAutospacing="0" w:after="0" w:afterAutospacing="0"/>
              <w:ind w:right="0"/>
              <w:rPr>
                <w:rFonts w:hint="default"/>
                <w:color w:val="auto"/>
                <w:lang w:val="zh-CN"/>
              </w:rPr>
            </w:pPr>
          </w:p>
          <w:p w14:paraId="0E41A2B9">
            <w:pPr>
              <w:pStyle w:val="3"/>
              <w:keepNext w:val="0"/>
              <w:keepLines w:val="0"/>
              <w:suppressLineNumbers w:val="0"/>
              <w:spacing w:before="0" w:beforeAutospacing="0" w:after="0" w:afterAutospacing="0"/>
              <w:ind w:right="0"/>
              <w:rPr>
                <w:rFonts w:hint="default"/>
                <w:color w:val="auto"/>
                <w:lang w:val="zh-CN"/>
              </w:rPr>
            </w:pPr>
          </w:p>
          <w:p w14:paraId="45D11EBD">
            <w:pPr>
              <w:pStyle w:val="3"/>
              <w:keepNext w:val="0"/>
              <w:keepLines w:val="0"/>
              <w:suppressLineNumbers w:val="0"/>
              <w:spacing w:before="0" w:beforeAutospacing="0" w:after="0" w:afterAutospacing="0"/>
              <w:ind w:right="0"/>
              <w:rPr>
                <w:rFonts w:hint="default"/>
                <w:color w:val="auto"/>
                <w:lang w:val="zh-CN"/>
              </w:rPr>
            </w:pPr>
          </w:p>
          <w:p w14:paraId="1B01683E">
            <w:pPr>
              <w:pStyle w:val="3"/>
              <w:keepNext w:val="0"/>
              <w:keepLines w:val="0"/>
              <w:suppressLineNumbers w:val="0"/>
              <w:spacing w:before="0" w:beforeAutospacing="0" w:after="0" w:afterAutospacing="0"/>
              <w:ind w:right="0"/>
              <w:rPr>
                <w:rFonts w:hint="default"/>
                <w:color w:val="auto"/>
                <w:lang w:val="zh-CN"/>
              </w:rPr>
            </w:pPr>
          </w:p>
          <w:p w14:paraId="742F2C92">
            <w:pPr>
              <w:pStyle w:val="3"/>
              <w:keepNext w:val="0"/>
              <w:keepLines w:val="0"/>
              <w:suppressLineNumbers w:val="0"/>
              <w:spacing w:before="0" w:beforeAutospacing="0" w:after="0" w:afterAutospacing="0"/>
              <w:ind w:right="0"/>
              <w:rPr>
                <w:rFonts w:hint="default"/>
                <w:color w:val="auto"/>
                <w:lang w:val="zh-CN"/>
              </w:rPr>
            </w:pPr>
          </w:p>
          <w:p w14:paraId="71298217">
            <w:pPr>
              <w:pStyle w:val="3"/>
              <w:keepNext w:val="0"/>
              <w:keepLines w:val="0"/>
              <w:suppressLineNumbers w:val="0"/>
              <w:spacing w:before="0" w:beforeAutospacing="0" w:after="0" w:afterAutospacing="0"/>
              <w:ind w:right="0"/>
              <w:rPr>
                <w:rFonts w:hint="default"/>
                <w:color w:val="auto"/>
                <w:lang w:val="zh-CN"/>
              </w:rPr>
            </w:pPr>
          </w:p>
          <w:p w14:paraId="312CB69B">
            <w:pPr>
              <w:pStyle w:val="3"/>
              <w:keepNext w:val="0"/>
              <w:keepLines w:val="0"/>
              <w:suppressLineNumbers w:val="0"/>
              <w:spacing w:before="0" w:beforeAutospacing="0" w:after="0" w:afterAutospacing="0"/>
              <w:ind w:right="0"/>
              <w:rPr>
                <w:rFonts w:hint="default"/>
                <w:color w:val="auto"/>
                <w:lang w:val="zh-CN"/>
              </w:rPr>
            </w:pPr>
          </w:p>
          <w:p w14:paraId="27E88CC7">
            <w:pPr>
              <w:pStyle w:val="3"/>
              <w:keepNext w:val="0"/>
              <w:keepLines w:val="0"/>
              <w:suppressLineNumbers w:val="0"/>
              <w:spacing w:before="0" w:beforeAutospacing="0" w:after="0" w:afterAutospacing="0"/>
              <w:ind w:right="0"/>
              <w:rPr>
                <w:rFonts w:hint="default"/>
                <w:color w:val="auto"/>
                <w:lang w:val="zh-CN"/>
              </w:rPr>
            </w:pPr>
          </w:p>
          <w:p w14:paraId="261AD69D">
            <w:pPr>
              <w:pStyle w:val="3"/>
              <w:keepNext w:val="0"/>
              <w:keepLines w:val="0"/>
              <w:suppressLineNumbers w:val="0"/>
              <w:spacing w:before="0" w:beforeAutospacing="0" w:after="0" w:afterAutospacing="0"/>
              <w:ind w:right="0"/>
              <w:rPr>
                <w:rFonts w:hint="default"/>
                <w:color w:val="auto"/>
                <w:lang w:val="zh-CN"/>
              </w:rPr>
            </w:pPr>
          </w:p>
          <w:p w14:paraId="10B5E764">
            <w:pPr>
              <w:pStyle w:val="3"/>
              <w:keepNext w:val="0"/>
              <w:keepLines w:val="0"/>
              <w:suppressLineNumbers w:val="0"/>
              <w:spacing w:before="0" w:beforeAutospacing="0" w:after="0" w:afterAutospacing="0"/>
              <w:ind w:right="0"/>
              <w:rPr>
                <w:rFonts w:hint="default"/>
                <w:color w:val="auto"/>
                <w:lang w:val="zh-CN"/>
              </w:rPr>
            </w:pPr>
          </w:p>
          <w:p w14:paraId="077E911F">
            <w:pPr>
              <w:pStyle w:val="3"/>
              <w:keepNext w:val="0"/>
              <w:keepLines w:val="0"/>
              <w:suppressLineNumbers w:val="0"/>
              <w:spacing w:before="0" w:beforeAutospacing="0" w:after="0" w:afterAutospacing="0"/>
              <w:ind w:right="0"/>
              <w:rPr>
                <w:rFonts w:hint="default"/>
                <w:color w:val="auto"/>
                <w:lang w:val="zh-CN"/>
              </w:rPr>
            </w:pPr>
          </w:p>
          <w:p w14:paraId="5ABB24F7">
            <w:pPr>
              <w:pStyle w:val="3"/>
              <w:keepNext w:val="0"/>
              <w:keepLines w:val="0"/>
              <w:suppressLineNumbers w:val="0"/>
              <w:spacing w:before="0" w:beforeAutospacing="0" w:after="0" w:afterAutospacing="0"/>
              <w:ind w:right="0"/>
              <w:rPr>
                <w:rFonts w:hint="default"/>
                <w:color w:val="auto"/>
                <w:lang w:val="zh-CN"/>
              </w:rPr>
            </w:pPr>
          </w:p>
          <w:p w14:paraId="7AB17BA4">
            <w:pPr>
              <w:pStyle w:val="3"/>
              <w:keepNext w:val="0"/>
              <w:keepLines w:val="0"/>
              <w:suppressLineNumbers w:val="0"/>
              <w:spacing w:before="0" w:beforeAutospacing="0" w:after="0" w:afterAutospacing="0"/>
              <w:ind w:right="0"/>
              <w:rPr>
                <w:rFonts w:hint="default"/>
                <w:color w:val="auto"/>
                <w:lang w:val="zh-CN"/>
              </w:rPr>
            </w:pPr>
          </w:p>
          <w:p w14:paraId="0A344F41">
            <w:pPr>
              <w:pStyle w:val="3"/>
              <w:keepNext w:val="0"/>
              <w:keepLines w:val="0"/>
              <w:suppressLineNumbers w:val="0"/>
              <w:spacing w:before="0" w:beforeAutospacing="0" w:after="0" w:afterAutospacing="0"/>
              <w:ind w:right="0"/>
              <w:rPr>
                <w:rFonts w:hint="default"/>
                <w:color w:val="auto"/>
                <w:lang w:val="zh-CN"/>
              </w:rPr>
            </w:pPr>
          </w:p>
          <w:p w14:paraId="2F458422">
            <w:pPr>
              <w:pStyle w:val="3"/>
              <w:keepNext w:val="0"/>
              <w:keepLines w:val="0"/>
              <w:suppressLineNumbers w:val="0"/>
              <w:spacing w:before="0" w:beforeAutospacing="0" w:after="0" w:afterAutospacing="0"/>
              <w:ind w:right="0"/>
              <w:rPr>
                <w:rFonts w:hint="default"/>
                <w:color w:val="auto"/>
                <w:lang w:val="zh-CN"/>
              </w:rPr>
            </w:pPr>
          </w:p>
          <w:p w14:paraId="42EB60BC">
            <w:pPr>
              <w:pStyle w:val="3"/>
              <w:keepNext w:val="0"/>
              <w:keepLines w:val="0"/>
              <w:suppressLineNumbers w:val="0"/>
              <w:spacing w:before="0" w:beforeAutospacing="0" w:after="0" w:afterAutospacing="0"/>
              <w:ind w:right="0"/>
              <w:rPr>
                <w:rFonts w:hint="default"/>
                <w:color w:val="auto"/>
                <w:lang w:val="zh-CN"/>
              </w:rPr>
            </w:pPr>
          </w:p>
          <w:p w14:paraId="1A1B1528">
            <w:pPr>
              <w:pStyle w:val="3"/>
              <w:keepNext w:val="0"/>
              <w:keepLines w:val="0"/>
              <w:suppressLineNumbers w:val="0"/>
              <w:spacing w:before="0" w:beforeAutospacing="0" w:after="0" w:afterAutospacing="0"/>
              <w:ind w:right="0"/>
              <w:rPr>
                <w:rFonts w:hint="default"/>
                <w:color w:val="auto"/>
                <w:lang w:val="zh-CN"/>
              </w:rPr>
            </w:pPr>
          </w:p>
          <w:p w14:paraId="6353035D">
            <w:pPr>
              <w:pStyle w:val="3"/>
              <w:keepNext w:val="0"/>
              <w:keepLines w:val="0"/>
              <w:suppressLineNumbers w:val="0"/>
              <w:spacing w:before="0" w:beforeAutospacing="0" w:after="0" w:afterAutospacing="0"/>
              <w:ind w:right="0"/>
              <w:rPr>
                <w:rFonts w:hint="default"/>
                <w:color w:val="auto"/>
                <w:lang w:val="zh-CN"/>
              </w:rPr>
            </w:pPr>
          </w:p>
          <w:p w14:paraId="1760F0B2">
            <w:pPr>
              <w:pStyle w:val="3"/>
              <w:keepNext w:val="0"/>
              <w:keepLines w:val="0"/>
              <w:suppressLineNumbers w:val="0"/>
              <w:spacing w:before="0" w:beforeAutospacing="0" w:after="0" w:afterAutospacing="0"/>
              <w:ind w:right="0"/>
              <w:rPr>
                <w:rFonts w:hint="default"/>
                <w:color w:val="auto"/>
                <w:lang w:val="zh-CN"/>
              </w:rPr>
            </w:pPr>
          </w:p>
          <w:p w14:paraId="7448ABFA">
            <w:pPr>
              <w:pStyle w:val="3"/>
              <w:keepNext w:val="0"/>
              <w:keepLines w:val="0"/>
              <w:suppressLineNumbers w:val="0"/>
              <w:spacing w:before="0" w:beforeAutospacing="0" w:after="0" w:afterAutospacing="0"/>
              <w:ind w:right="0"/>
              <w:rPr>
                <w:rFonts w:hint="default"/>
                <w:color w:val="auto"/>
                <w:lang w:val="zh-CN"/>
              </w:rPr>
            </w:pPr>
          </w:p>
          <w:p w14:paraId="2F3838E0">
            <w:pPr>
              <w:pStyle w:val="3"/>
              <w:keepNext w:val="0"/>
              <w:keepLines w:val="0"/>
              <w:suppressLineNumbers w:val="0"/>
              <w:spacing w:before="0" w:beforeAutospacing="0" w:after="0" w:afterAutospacing="0"/>
              <w:ind w:right="0"/>
              <w:rPr>
                <w:rFonts w:hint="default"/>
                <w:color w:val="auto"/>
                <w:lang w:val="zh-CN"/>
              </w:rPr>
            </w:pPr>
          </w:p>
          <w:p w14:paraId="26A5A9BA">
            <w:pPr>
              <w:keepNext w:val="0"/>
              <w:keepLines w:val="0"/>
              <w:suppressLineNumbers w:val="0"/>
              <w:spacing w:before="0" w:beforeAutospacing="0" w:after="0" w:afterAutospacing="0" w:line="500" w:lineRule="exact"/>
              <w:ind w:left="0" w:right="0"/>
              <w:rPr>
                <w:rFonts w:hint="default" w:eastAsia="仿宋_GB2312"/>
                <w:b/>
                <w:color w:val="auto"/>
                <w:sz w:val="24"/>
                <w:lang w:val="zh-CN"/>
              </w:rPr>
            </w:pPr>
            <w:r>
              <w:rPr>
                <w:rFonts w:hint="eastAsia" w:eastAsia="仿宋_GB2312"/>
                <w:b/>
                <w:color w:val="auto"/>
                <w:sz w:val="24"/>
                <w:lang w:val="zh-CN"/>
              </w:rPr>
              <w:t>二</w:t>
            </w:r>
            <w:r>
              <w:rPr>
                <w:rFonts w:hint="default" w:eastAsia="仿宋_GB2312"/>
                <w:b/>
                <w:color w:val="auto"/>
                <w:sz w:val="24"/>
                <w:lang w:val="zh-CN"/>
              </w:rPr>
              <w:t>、年产500kg</w:t>
            </w:r>
            <w:r>
              <w:rPr>
                <w:rFonts w:hint="eastAsia" w:eastAsia="仿宋_GB2312"/>
                <w:b/>
                <w:color w:val="auto"/>
                <w:sz w:val="24"/>
                <w:lang w:val="zh-CN"/>
              </w:rPr>
              <w:t>保健食品粉</w:t>
            </w:r>
            <w:r>
              <w:rPr>
                <w:rFonts w:hint="default" w:eastAsia="仿宋_GB2312"/>
                <w:b/>
                <w:color w:val="auto"/>
                <w:sz w:val="24"/>
                <w:lang w:val="zh-CN"/>
              </w:rPr>
              <w:t>项目工程分析</w:t>
            </w:r>
          </w:p>
          <w:p w14:paraId="39459FCD">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t>（一）工艺流程</w:t>
            </w:r>
          </w:p>
          <w:p w14:paraId="4A44DC8E">
            <w:pPr>
              <w:keepNext w:val="0"/>
              <w:keepLines w:val="0"/>
              <w:suppressLineNumbers w:val="0"/>
              <w:spacing w:before="0" w:beforeAutospacing="0" w:after="0" w:afterAutospacing="0"/>
              <w:ind w:left="0" w:right="0"/>
              <w:jc w:val="center"/>
              <w:rPr>
                <w:rFonts w:hint="default" w:eastAsia="仿宋_GB2312"/>
                <w:b/>
                <w:color w:val="auto"/>
                <w:sz w:val="22"/>
                <w:szCs w:val="22"/>
                <w:highlight w:val="yellow"/>
              </w:rPr>
            </w:pPr>
            <w:r>
              <w:rPr>
                <w:rFonts w:hint="default"/>
                <w:color w:val="auto"/>
              </w:rPr>
              <w:object>
                <v:shape id="_x0000_i1027" o:spt="75" type="#_x0000_t75" style="height:625.35pt;width:426.1pt;" o:ole="t" filled="f" o:preferrelative="t" stroked="f" coordsize="21600,21600">
                  <v:path/>
                  <v:fill on="f" focussize="0,0"/>
                  <v:stroke on="f"/>
                  <v:imagedata r:id="rId15" o:title=""/>
                  <o:lock v:ext="edit" aspectratio="t"/>
                  <w10:wrap type="none"/>
                  <w10:anchorlock/>
                </v:shape>
                <o:OLEObject Type="Embed" ProgID="Visio.Drawing.15" ShapeID="_x0000_i1027" DrawAspect="Content" ObjectID="_1468075727" r:id="rId14">
                  <o:LockedField>false</o:LockedField>
                </o:OLEObject>
              </w:object>
            </w:r>
            <w:r>
              <w:rPr>
                <w:rFonts w:hint="default" w:eastAsia="仿宋_GB2312"/>
                <w:b/>
                <w:color w:val="auto"/>
                <w:sz w:val="22"/>
                <w:szCs w:val="22"/>
              </w:rPr>
              <w:t>图2-</w:t>
            </w:r>
            <w:r>
              <w:rPr>
                <w:rFonts w:hint="eastAsia" w:eastAsia="仿宋_GB2312"/>
                <w:b/>
                <w:color w:val="auto"/>
                <w:sz w:val="22"/>
                <w:szCs w:val="22"/>
                <w:lang w:val="en-US" w:eastAsia="zh-CN"/>
              </w:rPr>
              <w:t>3</w:t>
            </w:r>
            <w:r>
              <w:rPr>
                <w:rFonts w:hint="default" w:eastAsia="仿宋_GB2312"/>
                <w:b/>
                <w:color w:val="auto"/>
                <w:sz w:val="22"/>
                <w:szCs w:val="22"/>
              </w:rPr>
              <w:t xml:space="preserve">  保健食品粉</w:t>
            </w:r>
            <w:r>
              <w:rPr>
                <w:rFonts w:hint="eastAsia" w:eastAsia="仿宋_GB2312"/>
                <w:b/>
                <w:color w:val="auto"/>
                <w:sz w:val="22"/>
                <w:szCs w:val="22"/>
                <w:lang w:eastAsia="zh-CN"/>
              </w:rPr>
              <w:t>（</w:t>
            </w:r>
            <w:r>
              <w:rPr>
                <w:rFonts w:hint="default" w:eastAsia="仿宋_GB2312"/>
                <w:b/>
                <w:color w:val="auto"/>
                <w:sz w:val="22"/>
                <w:szCs w:val="22"/>
                <w:highlight w:val="none"/>
              </w:rPr>
              <w:t>二氢槲皮素</w:t>
            </w:r>
            <w:r>
              <w:rPr>
                <w:rFonts w:hint="eastAsia" w:eastAsia="仿宋_GB2312"/>
                <w:b/>
                <w:color w:val="auto"/>
                <w:sz w:val="22"/>
                <w:szCs w:val="22"/>
                <w:lang w:eastAsia="zh-CN"/>
              </w:rPr>
              <w:t>）</w:t>
            </w:r>
            <w:r>
              <w:rPr>
                <w:rFonts w:hint="default" w:eastAsia="仿宋_GB2312"/>
                <w:b/>
                <w:color w:val="auto"/>
                <w:sz w:val="22"/>
                <w:szCs w:val="22"/>
                <w:highlight w:val="none"/>
              </w:rPr>
              <w:t>工艺流程图</w:t>
            </w:r>
          </w:p>
          <w:p w14:paraId="36BE1F53">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2" w:firstLineChars="200"/>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生产工艺流程简述：</w:t>
            </w:r>
          </w:p>
          <w:p w14:paraId="440E6C1B">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本项目利用微生物发酵的生物方法生产保健食品粉</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rPr>
              <w:t>二氢槲皮素</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rPr>
              <w:t>，主体工艺包括发酵工段、提取工段。</w:t>
            </w:r>
          </w:p>
          <w:p w14:paraId="5CE0E9C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（1）称量、投料、配制</w:t>
            </w:r>
          </w:p>
          <w:p w14:paraId="659B0738">
            <w:pPr>
              <w:pStyle w:val="323"/>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rPr>
              <w:t>与前文γ-氨基丁酸工艺流程描述一致，此处不再重复描述。</w:t>
            </w:r>
          </w:p>
          <w:p w14:paraId="448BE8DC">
            <w:pPr>
              <w:pStyle w:val="323"/>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rPr>
              <w:t>（2）发酵工段</w:t>
            </w:r>
          </w:p>
          <w:p w14:paraId="3747B911">
            <w:pPr>
              <w:pStyle w:val="323"/>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rPr>
              <w:fldChar w:fldCharType="begin"/>
            </w:r>
            <w:r>
              <w:rPr>
                <w:rFonts w:hint="default" w:ascii="Times New Roman" w:hAnsi="Times New Roman" w:eastAsia="仿宋_GB2312" w:cs="Times New Roman"/>
                <w:color w:val="auto"/>
                <w:kern w:val="2"/>
                <w:sz w:val="24"/>
                <w:szCs w:val="24"/>
              </w:rPr>
              <w:instrText xml:space="preserve"> = 1 \* GB3 </w:instrText>
            </w:r>
            <w:r>
              <w:rPr>
                <w:rFonts w:hint="default" w:ascii="Times New Roman" w:hAnsi="Times New Roman" w:eastAsia="仿宋_GB2312" w:cs="Times New Roman"/>
                <w:color w:val="auto"/>
                <w:kern w:val="2"/>
                <w:sz w:val="24"/>
                <w:szCs w:val="24"/>
              </w:rPr>
              <w:fldChar w:fldCharType="separate"/>
            </w:r>
            <w:r>
              <w:rPr>
                <w:rFonts w:hint="default" w:ascii="Times New Roman" w:hAnsi="Times New Roman" w:eastAsia="仿宋_GB2312" w:cs="Times New Roman"/>
                <w:color w:val="auto"/>
                <w:kern w:val="2"/>
                <w:sz w:val="24"/>
                <w:szCs w:val="24"/>
              </w:rPr>
              <w:t>①</w:t>
            </w:r>
            <w:r>
              <w:rPr>
                <w:rFonts w:hint="default" w:ascii="Times New Roman" w:hAnsi="Times New Roman" w:eastAsia="仿宋_GB2312" w:cs="Times New Roman"/>
                <w:color w:val="auto"/>
                <w:kern w:val="2"/>
                <w:sz w:val="24"/>
                <w:szCs w:val="24"/>
              </w:rPr>
              <w:fldChar w:fldCharType="end"/>
            </w:r>
            <w:r>
              <w:rPr>
                <w:rFonts w:hint="default" w:ascii="Times New Roman" w:hAnsi="Times New Roman" w:eastAsia="仿宋_GB2312" w:cs="Times New Roman"/>
                <w:color w:val="auto"/>
                <w:kern w:val="2"/>
                <w:sz w:val="24"/>
                <w:szCs w:val="24"/>
              </w:rPr>
              <w:t>种子液制备</w:t>
            </w:r>
          </w:p>
          <w:p w14:paraId="57878E39">
            <w:pPr>
              <w:pStyle w:val="323"/>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rPr>
              <w:t>本项目所用工程菌株均由上海光玥生物研发中心直接提供。取保存在冰箱中的工程菌株LUMY-DHQ接种到带有</w:t>
            </w:r>
            <w:r>
              <w:rPr>
                <w:rFonts w:hint="eastAsia" w:ascii="Times New Roman" w:hAnsi="Times New Roman" w:eastAsia="仿宋_GB2312" w:cs="Times New Roman"/>
                <w:color w:val="auto"/>
                <w:kern w:val="2"/>
                <w:sz w:val="24"/>
                <w:szCs w:val="24"/>
                <w:lang w:eastAsia="zh-CN"/>
              </w:rPr>
              <w:t>液体</w:t>
            </w:r>
            <w:r>
              <w:rPr>
                <w:rFonts w:hint="default" w:ascii="Times New Roman" w:hAnsi="Times New Roman" w:eastAsia="仿宋_GB2312" w:cs="Times New Roman"/>
                <w:color w:val="auto"/>
                <w:kern w:val="2"/>
                <w:sz w:val="24"/>
                <w:szCs w:val="24"/>
              </w:rPr>
              <w:t>培养基的三角瓶内，置于37℃的恒温摇床中，100-150转/分钟的转速条件下培养8-12 h得到摇瓶培养的种子液。</w:t>
            </w:r>
          </w:p>
          <w:p w14:paraId="6F41ABAA">
            <w:pPr>
              <w:pStyle w:val="323"/>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rPr>
              <w:fldChar w:fldCharType="begin"/>
            </w:r>
            <w:r>
              <w:rPr>
                <w:rFonts w:hint="default" w:ascii="Times New Roman" w:hAnsi="Times New Roman" w:eastAsia="仿宋_GB2312" w:cs="Times New Roman"/>
                <w:color w:val="auto"/>
                <w:kern w:val="2"/>
                <w:sz w:val="24"/>
                <w:szCs w:val="24"/>
              </w:rPr>
              <w:instrText xml:space="preserve"> = 2 \* GB3 </w:instrText>
            </w:r>
            <w:r>
              <w:rPr>
                <w:rFonts w:hint="default" w:ascii="Times New Roman" w:hAnsi="Times New Roman" w:eastAsia="仿宋_GB2312" w:cs="Times New Roman"/>
                <w:color w:val="auto"/>
                <w:kern w:val="2"/>
                <w:sz w:val="24"/>
                <w:szCs w:val="24"/>
              </w:rPr>
              <w:fldChar w:fldCharType="separate"/>
            </w:r>
            <w:r>
              <w:rPr>
                <w:rFonts w:hint="default" w:ascii="Times New Roman" w:hAnsi="Times New Roman" w:eastAsia="仿宋_GB2312" w:cs="Times New Roman"/>
                <w:color w:val="auto"/>
                <w:kern w:val="2"/>
                <w:sz w:val="24"/>
                <w:szCs w:val="24"/>
              </w:rPr>
              <w:t>②</w:t>
            </w:r>
            <w:r>
              <w:rPr>
                <w:rFonts w:hint="default" w:ascii="Times New Roman" w:hAnsi="Times New Roman" w:eastAsia="仿宋_GB2312" w:cs="Times New Roman"/>
                <w:color w:val="auto"/>
                <w:kern w:val="2"/>
                <w:sz w:val="24"/>
                <w:szCs w:val="24"/>
              </w:rPr>
              <w:fldChar w:fldCharType="end"/>
            </w:r>
            <w:r>
              <w:rPr>
                <w:rFonts w:hint="default" w:ascii="Times New Roman" w:hAnsi="Times New Roman" w:eastAsia="仿宋_GB2312" w:cs="Times New Roman"/>
                <w:color w:val="auto"/>
                <w:kern w:val="2"/>
                <w:sz w:val="24"/>
                <w:szCs w:val="24"/>
              </w:rPr>
              <w:t>葡萄糖溶液制备</w:t>
            </w:r>
          </w:p>
          <w:p w14:paraId="7BA3B5E8">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将称量后的葡萄糖在补料罐中用纯水配制成葡萄糖溶液。对补料罐进行夹套105℃高温蒸汽灭菌，制备葡萄糖水溶液，经循环冷却水冷却后用于后续种子培养和发酵工段。</w:t>
            </w:r>
          </w:p>
          <w:p w14:paraId="67997717">
            <w:pPr>
              <w:pStyle w:val="323"/>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2"/>
                <w:sz w:val="24"/>
                <w:szCs w:val="24"/>
              </w:rPr>
              <w:fldChar w:fldCharType="begin"/>
            </w:r>
            <w:r>
              <w:rPr>
                <w:rFonts w:hint="default" w:ascii="Times New Roman" w:hAnsi="Times New Roman" w:eastAsia="仿宋_GB2312" w:cs="Times New Roman"/>
                <w:color w:val="auto"/>
                <w:kern w:val="2"/>
                <w:sz w:val="24"/>
                <w:szCs w:val="24"/>
              </w:rPr>
              <w:instrText xml:space="preserve"> = 3 \* GB3 </w:instrText>
            </w:r>
            <w:r>
              <w:rPr>
                <w:rFonts w:hint="default" w:ascii="Times New Roman" w:hAnsi="Times New Roman" w:eastAsia="仿宋_GB2312" w:cs="Times New Roman"/>
                <w:color w:val="auto"/>
                <w:kern w:val="2"/>
                <w:sz w:val="24"/>
                <w:szCs w:val="24"/>
              </w:rPr>
              <w:fldChar w:fldCharType="separate"/>
            </w:r>
            <w:r>
              <w:rPr>
                <w:rFonts w:hint="default" w:ascii="Times New Roman" w:hAnsi="Times New Roman" w:eastAsia="仿宋_GB2312" w:cs="Times New Roman"/>
                <w:color w:val="auto"/>
                <w:kern w:val="2"/>
                <w:sz w:val="24"/>
                <w:szCs w:val="24"/>
              </w:rPr>
              <w:t>③</w:t>
            </w:r>
            <w:r>
              <w:rPr>
                <w:rFonts w:hint="default" w:ascii="Times New Roman" w:hAnsi="Times New Roman" w:eastAsia="仿宋_GB2312" w:cs="Times New Roman"/>
                <w:color w:val="auto"/>
                <w:kern w:val="2"/>
                <w:sz w:val="24"/>
                <w:szCs w:val="24"/>
              </w:rPr>
              <w:fldChar w:fldCharType="end"/>
            </w:r>
            <w:r>
              <w:rPr>
                <w:rFonts w:hint="default" w:ascii="Times New Roman" w:hAnsi="Times New Roman" w:eastAsia="仿宋_GB2312" w:cs="Times New Roman"/>
                <w:color w:val="auto"/>
                <w:kern w:val="2"/>
                <w:sz w:val="24"/>
                <w:szCs w:val="24"/>
              </w:rPr>
              <w:t>种子培养1</w:t>
            </w:r>
          </w:p>
          <w:p w14:paraId="7B5FD737">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将称量后的</w:t>
            </w:r>
            <w:r>
              <w:rPr>
                <w:rFonts w:hint="eastAsia" w:eastAsia="仿宋_GB2312" w:cs="Times New Roman"/>
                <w:color w:val="auto"/>
                <w:sz w:val="24"/>
                <w:szCs w:val="24"/>
                <w:lang w:eastAsia="zh-CN"/>
              </w:rPr>
              <w:t>菌种</w:t>
            </w:r>
            <w:r>
              <w:rPr>
                <w:rFonts w:hint="default" w:ascii="Times New Roman" w:hAnsi="Times New Roman" w:eastAsia="仿宋_GB2312" w:cs="Times New Roman"/>
                <w:color w:val="auto"/>
                <w:sz w:val="24"/>
                <w:szCs w:val="24"/>
              </w:rPr>
              <w:t>培养基（组分包括酵母粉、蛋白胨、L-苯丙氨酸、柚皮素、硫酸镁、磷酸氢二钾、磷酸二氢钾、消泡剂）在10L种子罐中用纯水配制成溶液。对种子罐1中培养基组分进行夹套121℃高温蒸汽灭菌，经循环冷却水冷却后将种子液、灭菌后的葡萄糖溶液接入种子罐1，保持温度37℃，培养过程中滴加少量1%碱液调节pH，约6 h后利用通过密闭管道移入100L种子罐中进行扩繁，种子培养过程产生种子培养废气G2-1。</w:t>
            </w:r>
          </w:p>
          <w:p w14:paraId="7B8C1BC8">
            <w:pPr>
              <w:pStyle w:val="323"/>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4 \* GB3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④</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kern w:val="2"/>
                <w:sz w:val="24"/>
                <w:szCs w:val="24"/>
              </w:rPr>
              <w:t>种子培养2</w:t>
            </w:r>
          </w:p>
          <w:p w14:paraId="2D13B8E3">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将称量后的</w:t>
            </w:r>
            <w:r>
              <w:rPr>
                <w:rFonts w:hint="eastAsia" w:eastAsia="仿宋_GB2312" w:cs="Times New Roman"/>
                <w:color w:val="auto"/>
                <w:sz w:val="24"/>
                <w:szCs w:val="24"/>
                <w:lang w:eastAsia="zh-CN"/>
              </w:rPr>
              <w:t>菌种</w:t>
            </w:r>
            <w:r>
              <w:rPr>
                <w:rFonts w:hint="default" w:ascii="Times New Roman" w:hAnsi="Times New Roman" w:eastAsia="仿宋_GB2312" w:cs="Times New Roman"/>
                <w:color w:val="auto"/>
                <w:sz w:val="24"/>
                <w:szCs w:val="24"/>
              </w:rPr>
              <w:t>培养基（组分包括酵母粉、蛋白胨、L-苯丙氨酸、柚皮素、硫酸镁、磷酸氢二钾、磷酸二氢钾、消泡剂）在100L种子罐中用纯水配制成溶液。对培养基进行夹套121℃高温蒸汽灭菌，经循环冷却水冷却后将种子液、灭菌后的葡萄糖溶液接入种子罐2，保持温度37℃，培养过程中滴加少量1%碱液调节pH，约6 h后通过密闭管道移入1000L发酵罐中进行发酵，种子培养过程产生种子培养废气G2-2。</w:t>
            </w:r>
          </w:p>
          <w:p w14:paraId="2891BAA5">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5 \* GB3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⑤</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发酵培养</w:t>
            </w:r>
          </w:p>
          <w:p w14:paraId="54D03978">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将称量后的</w:t>
            </w:r>
            <w:r>
              <w:rPr>
                <w:rFonts w:hint="eastAsia" w:eastAsia="仿宋_GB2312" w:cs="Times New Roman"/>
                <w:color w:val="auto"/>
                <w:sz w:val="24"/>
                <w:szCs w:val="24"/>
                <w:lang w:eastAsia="zh-CN"/>
              </w:rPr>
              <w:t>菌种</w:t>
            </w:r>
            <w:r>
              <w:rPr>
                <w:rFonts w:hint="default" w:ascii="Times New Roman" w:hAnsi="Times New Roman" w:eastAsia="仿宋_GB2312" w:cs="Times New Roman"/>
                <w:color w:val="auto"/>
                <w:sz w:val="24"/>
                <w:szCs w:val="24"/>
              </w:rPr>
              <w:t>培养基（组分包括酵母粉、蛋白胨、L-苯丙氨酸、柚皮素、硫酸镁、磷酸氢二钾、磷酸二氢钾、消泡剂）在1000 L发酵罐中用纯水配制成溶液。经121℃夹套高温蒸汽灭菌后移入种子罐2中的种子培养液和灭菌后的葡萄糖溶液开始发酵培养，发酵过程保持温度28-37℃，培养过程中滴加少量1%碱液调节pH，约10 h后结束发酵。发酵过程中产生发酵废气G2-3。</w:t>
            </w:r>
          </w:p>
          <w:p w14:paraId="68208CCA">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（2）提取工段</w:t>
            </w:r>
          </w:p>
          <w:p w14:paraId="4570E1DB">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①陶瓷膜过滤</w:t>
            </w:r>
          </w:p>
          <w:p w14:paraId="1F51361D">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发酵液和纯水通过密闭管道泵送至陶瓷膜过滤设备，过滤发酵液中大颗粒杂质，收集发酵产物，即发酵清液，经密闭管道泵进入超滤膜过滤工序。此工序会产生浓缩菌液S2-1。</w:t>
            </w:r>
          </w:p>
          <w:p w14:paraId="1D215780">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②超滤膜过滤</w:t>
            </w:r>
          </w:p>
          <w:p w14:paraId="09EE08E1">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发酵清液和纯水通过超滤膜过滤，过滤发酵清夜中小颗粒悬浮物、胶体和大分子有机物等，截留得到富含产品的超滤液。该过程会产生超滤废水W2-1。</w:t>
            </w:r>
          </w:p>
          <w:p w14:paraId="00F09A71">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3 \* GB3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③</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纳滤膜过滤</w:t>
            </w:r>
          </w:p>
          <w:p w14:paraId="58D1E1CB">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超滤浓缩液进一步通过纳滤膜过滤，进一步过滤超滤浓缩液中二价及多价离子、部分单价离子以及有机小分子等，过滤超滤浓缩液中不溶性物质和得到富含产品的纳滤浓缩液。该过程会产生纳滤废水W2-2。</w:t>
            </w:r>
          </w:p>
          <w:p w14:paraId="24A1B58C">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4 \* GB3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④</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脱色</w:t>
            </w:r>
          </w:p>
          <w:p w14:paraId="65E77470">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计量后的36%盐酸溶液在清洗罐中用纯水先配制成4%盐酸溶液，待脱色结束后清洗树脂。纳滤浓缩液经过树脂吸附脱色，收集树脂过流液。每批生产完后用4%盐酸和纯水对树脂进行清洗，该产生脱色树脂再生废水W2-3。</w:t>
            </w:r>
          </w:p>
          <w:p w14:paraId="44349909">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5 \* GB3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⑤</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离子交换层析</w:t>
            </w:r>
          </w:p>
          <w:p w14:paraId="3BE382FF">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将计量后的36%盐酸溶液在清洗罐中用纯水先配制成4%盐酸溶液，待离子交换层析结束后清洗树脂。过流液依次通过离子交换层析柱，过流液中的Mg</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、SO</w:t>
            </w:r>
            <w:r>
              <w:rPr>
                <w:rFonts w:hint="default" w:ascii="Times New Roman" w:hAnsi="Times New Roman" w:eastAsia="仿宋_GB2312" w:cs="Times New Roman"/>
                <w:color w:val="auto"/>
                <w:sz w:val="24"/>
                <w:szCs w:val="24"/>
                <w:vertAlign w:val="subscript"/>
              </w:rPr>
              <w:t>4</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离子等吸附在离子柱上，过柱液作为产品纯化液送入后道旋蒸工序。每批生产完后用4%盐酸、纯水和4%碱液对树脂进行清洗，产生脱色树脂再生废水W2-4。</w:t>
            </w:r>
          </w:p>
          <w:p w14:paraId="21DABC4B">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6 \* GB3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⑥</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旋蒸浓缩</w:t>
            </w:r>
          </w:p>
          <w:p w14:paraId="18B444B0">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纳滤浓缩液通过密闭容器收集转运至旋蒸仪，在50-70℃下进行真空蒸发浓缩，得到浓缩液。此过程会产生废水W2-5。</w:t>
            </w:r>
          </w:p>
          <w:p w14:paraId="41B2CD4E">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7 \* GB3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⑦</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冷冻干燥</w:t>
            </w:r>
          </w:p>
          <w:p w14:paraId="0CE74AAF">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浓缩液经冷冻干燥成粉末。冷冻干燥过程中产生水汽G2-4。</w:t>
            </w:r>
          </w:p>
          <w:p w14:paraId="31A78CAF">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8 \* GB3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⑧</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包装</w:t>
            </w:r>
          </w:p>
          <w:p w14:paraId="3C4F1712">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成品经包装机初步包装入库</w:t>
            </w:r>
            <w:r>
              <w:rPr>
                <w:rFonts w:hint="eastAsia" w:eastAsia="仿宋_GB2312" w:cs="Times New Roman"/>
                <w:color w:val="auto"/>
                <w:sz w:val="24"/>
                <w:szCs w:val="24"/>
                <w:lang w:eastAsia="zh-CN"/>
              </w:rPr>
              <w:t>（其中，250kg用于出售，250kg用于二氢槲皮素保健食品胶囊的生产）</w:t>
            </w:r>
            <w:r>
              <w:rPr>
                <w:rFonts w:hint="default" w:ascii="Times New Roman" w:hAnsi="Times New Roman" w:eastAsia="仿宋_GB2312" w:cs="Times New Roman"/>
                <w:color w:val="auto"/>
                <w:sz w:val="24"/>
                <w:szCs w:val="24"/>
              </w:rPr>
              <w:t>。此过程产生包装废气G2-5。</w:t>
            </w:r>
          </w:p>
          <w:p w14:paraId="11616878">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t>（二）</w:t>
            </w:r>
            <w:r>
              <w:rPr>
                <w:rFonts w:hint="eastAsia" w:eastAsia="仿宋_GB2312"/>
                <w:b/>
                <w:color w:val="auto"/>
                <w:sz w:val="24"/>
                <w:lang w:val="zh-CN"/>
              </w:rPr>
              <w:t>生物合成原理</w:t>
            </w:r>
          </w:p>
          <w:p w14:paraId="1C9A3183">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color w:val="auto"/>
                <w:sz w:val="24"/>
                <w:szCs w:val="24"/>
                <w:lang w:val="zh-CN" w:eastAsia="zh-CN"/>
              </w:rPr>
            </w:pPr>
            <w:r>
              <w:rPr>
                <w:rFonts w:hint="eastAsia" w:ascii="Times New Roman" w:hAnsi="Times New Roman" w:eastAsia="仿宋_GB2312" w:cs="Times New Roman"/>
                <w:color w:val="auto"/>
                <w:sz w:val="24"/>
                <w:szCs w:val="24"/>
                <w:lang w:val="zh-CN"/>
              </w:rPr>
              <w:t>本项目利用生物合成法制备</w:t>
            </w:r>
            <w:r>
              <w:rPr>
                <w:rFonts w:hint="default" w:ascii="Times New Roman" w:hAnsi="Times New Roman" w:eastAsia="仿宋_GB2312" w:cs="Times New Roman"/>
                <w:color w:val="auto"/>
                <w:sz w:val="24"/>
                <w:szCs w:val="24"/>
              </w:rPr>
              <w:t>保健食品粉</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rPr>
              <w:t>二氢槲皮素</w:t>
            </w:r>
            <w:r>
              <w:rPr>
                <w:rFonts w:hint="eastAsia"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zh-CN"/>
              </w:rPr>
              <w:t>。项目所用工程菌株（LUMY-DHQ）能够产生二氢槲皮素合成需要的一系列酶（苯丙氨酸解氨酶、肉桂酸羟化酶</w:t>
            </w:r>
            <w:r>
              <w:rPr>
                <w:rFonts w:hint="eastAsia" w:eastAsia="仿宋_GB2312" w:cs="Times New Roman"/>
                <w:color w:val="auto"/>
                <w:sz w:val="24"/>
                <w:szCs w:val="24"/>
                <w:lang w:val="zh-CN"/>
              </w:rPr>
              <w:t>等</w:t>
            </w:r>
            <w:r>
              <w:rPr>
                <w:rFonts w:hint="eastAsia" w:ascii="Times New Roman" w:hAnsi="Times New Roman" w:eastAsia="仿宋_GB2312" w:cs="Times New Roman"/>
                <w:color w:val="auto"/>
                <w:sz w:val="24"/>
                <w:szCs w:val="24"/>
                <w:lang w:val="zh-CN"/>
              </w:rPr>
              <w:t>）</w:t>
            </w:r>
            <w:r>
              <w:rPr>
                <w:rFonts w:hint="eastAsia" w:eastAsia="仿宋_GB2312" w:cs="Times New Roman"/>
                <w:color w:val="auto"/>
                <w:sz w:val="24"/>
                <w:szCs w:val="24"/>
                <w:lang w:val="zh-CN"/>
              </w:rPr>
              <w:t>，在生物酶作用下分别转化成肉桂酸、对香豆酸、柚皮素查尔酮、柚皮素，最后形成目标产物—</w:t>
            </w:r>
            <w:r>
              <w:rPr>
                <w:rFonts w:hint="default" w:ascii="Times New Roman" w:hAnsi="Times New Roman" w:eastAsia="仿宋_GB2312" w:cs="Times New Roman"/>
                <w:color w:val="auto"/>
                <w:sz w:val="24"/>
                <w:szCs w:val="24"/>
              </w:rPr>
              <w:t>二氢槲皮素</w:t>
            </w:r>
            <w:r>
              <w:rPr>
                <w:rFonts w:hint="eastAsia" w:ascii="Times New Roman" w:hAnsi="Times New Roman" w:eastAsia="仿宋_GB2312" w:cs="Times New Roman"/>
                <w:color w:val="auto"/>
                <w:sz w:val="24"/>
                <w:szCs w:val="24"/>
                <w:lang w:eastAsia="zh-CN"/>
              </w:rPr>
              <w:t>。</w:t>
            </w:r>
          </w:p>
          <w:p w14:paraId="4AC9618F">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t>（1）首先在苯丙氨酸解氨酶（PAL）催化作用下，苯丙氨酸脱去１个氨基生成肉桂酸，同时生成副产物氨气。</w:t>
            </w:r>
          </w:p>
          <w:p w14:paraId="3856BAFA">
            <w:pPr>
              <w:keepNext w:val="0"/>
              <w:keepLines w:val="0"/>
              <w:suppressLineNumbers w:val="0"/>
              <w:spacing w:before="0" w:beforeAutospacing="0" w:after="0" w:afterAutospacing="0" w:line="240" w:lineRule="auto"/>
              <w:ind w:left="0" w:right="0"/>
              <w:jc w:val="center"/>
              <w:rPr>
                <w:rFonts w:hint="eastAsia"/>
                <w:color w:val="auto"/>
                <w:lang w:val="zh-CN"/>
              </w:rPr>
            </w:pPr>
            <w:r>
              <w:rPr>
                <w:rFonts w:hint="eastAsia"/>
                <w:color w:val="auto"/>
              </w:rPr>
              <w:drawing>
                <wp:inline distT="0" distB="0" distL="114300" distR="114300">
                  <wp:extent cx="4436745" cy="1075690"/>
                  <wp:effectExtent l="0" t="0" r="1905" b="1016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rcRect r="23003"/>
                          <a:stretch>
                            <a:fillRect/>
                          </a:stretch>
                        </pic:blipFill>
                        <pic:spPr>
                          <a:xfrm>
                            <a:off x="0" y="0"/>
                            <a:ext cx="4436745" cy="1075690"/>
                          </a:xfrm>
                          <a:prstGeom prst="rect">
                            <a:avLst/>
                          </a:prstGeom>
                          <a:noFill/>
                          <a:ln>
                            <a:noFill/>
                          </a:ln>
                        </pic:spPr>
                      </pic:pic>
                    </a:graphicData>
                  </a:graphic>
                </wp:inline>
              </w:drawing>
            </w:r>
          </w:p>
          <w:p w14:paraId="14E76E4B">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t>（2）肉桂酸在肉桂酸羟化酶（C4H）的催化作用下生成对香豆酸。</w:t>
            </w:r>
          </w:p>
          <w:p w14:paraId="69AE3F40">
            <w:pPr>
              <w:keepNext w:val="0"/>
              <w:keepLines w:val="0"/>
              <w:suppressLineNumbers w:val="0"/>
              <w:spacing w:before="0" w:beforeAutospacing="0" w:after="0" w:afterAutospacing="0" w:line="240" w:lineRule="auto"/>
              <w:ind w:left="0" w:right="0"/>
              <w:jc w:val="center"/>
              <w:rPr>
                <w:rFonts w:hint="eastAsia"/>
                <w:color w:val="auto"/>
                <w:lang w:val="zh-CN"/>
              </w:rPr>
            </w:pPr>
            <w:r>
              <w:rPr>
                <w:rFonts w:hint="default"/>
                <w:color w:val="auto"/>
              </w:rPr>
              <w:drawing>
                <wp:inline distT="0" distB="0" distL="114300" distR="114300">
                  <wp:extent cx="3712845" cy="1124585"/>
                  <wp:effectExtent l="0" t="0" r="1905" b="184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rcRect r="14336"/>
                          <a:stretch>
                            <a:fillRect/>
                          </a:stretch>
                        </pic:blipFill>
                        <pic:spPr>
                          <a:xfrm>
                            <a:off x="0" y="0"/>
                            <a:ext cx="3712845" cy="1124585"/>
                          </a:xfrm>
                          <a:prstGeom prst="rect">
                            <a:avLst/>
                          </a:prstGeom>
                          <a:noFill/>
                          <a:ln>
                            <a:noFill/>
                          </a:ln>
                        </pic:spPr>
                      </pic:pic>
                    </a:graphicData>
                  </a:graphic>
                </wp:inline>
              </w:drawing>
            </w:r>
          </w:p>
          <w:p w14:paraId="46E7DED5">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t>（3）在４-香豆酰辅酶Ａ连接酶（4CL）的催化下，对香豆酸发生硫酯化反应生成对香豆酰辅酶Ａ。</w:t>
            </w:r>
          </w:p>
          <w:p w14:paraId="0D85D730">
            <w:pPr>
              <w:keepNext w:val="0"/>
              <w:keepLines w:val="0"/>
              <w:suppressLineNumbers w:val="0"/>
              <w:spacing w:before="0" w:beforeAutospacing="0" w:after="0" w:afterAutospacing="0" w:line="240" w:lineRule="auto"/>
              <w:ind w:left="0" w:right="0"/>
              <w:jc w:val="center"/>
              <w:rPr>
                <w:rFonts w:hint="eastAsia"/>
                <w:color w:val="auto"/>
                <w:lang w:val="zh-CN"/>
              </w:rPr>
            </w:pPr>
            <w:r>
              <w:rPr>
                <w:rFonts w:hint="eastAsia"/>
                <w:color w:val="auto"/>
              </w:rPr>
              <w:drawing>
                <wp:inline distT="0" distB="0" distL="114300" distR="114300">
                  <wp:extent cx="3856355" cy="1106805"/>
                  <wp:effectExtent l="0" t="0" r="10795" b="171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rcRect r="4485"/>
                          <a:stretch>
                            <a:fillRect/>
                          </a:stretch>
                        </pic:blipFill>
                        <pic:spPr>
                          <a:xfrm>
                            <a:off x="0" y="0"/>
                            <a:ext cx="3856355" cy="1106805"/>
                          </a:xfrm>
                          <a:prstGeom prst="rect">
                            <a:avLst/>
                          </a:prstGeom>
                          <a:noFill/>
                          <a:ln>
                            <a:noFill/>
                          </a:ln>
                        </pic:spPr>
                      </pic:pic>
                    </a:graphicData>
                  </a:graphic>
                </wp:inline>
              </w:drawing>
            </w:r>
          </w:p>
          <w:p w14:paraId="752580A8">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t>（4）在查耳酮合成酶（CHS）催化下进行缩合生成柚皮素查尔酮。</w:t>
            </w:r>
          </w:p>
          <w:p w14:paraId="4A8F297D">
            <w:pPr>
              <w:keepNext w:val="0"/>
              <w:keepLines w:val="0"/>
              <w:suppressLineNumbers w:val="0"/>
              <w:spacing w:before="0" w:beforeAutospacing="0" w:after="0" w:afterAutospacing="0" w:line="240" w:lineRule="auto"/>
              <w:ind w:left="0" w:right="0"/>
              <w:jc w:val="center"/>
              <w:rPr>
                <w:rFonts w:hint="default" w:ascii="Times New Roman" w:hAnsi="Times New Roman"/>
                <w:color w:val="auto"/>
                <w:lang w:val="zh-CN"/>
              </w:rPr>
            </w:pPr>
            <w:r>
              <w:rPr>
                <w:rFonts w:hint="default" w:ascii="Times New Roman" w:hAnsi="Times New Roman"/>
                <w:color w:val="auto"/>
              </w:rPr>
              <w:drawing>
                <wp:inline distT="0" distB="0" distL="114300" distR="114300">
                  <wp:extent cx="3776345" cy="1202055"/>
                  <wp:effectExtent l="0" t="0" r="14605" b="171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9"/>
                          <a:srcRect r="3674"/>
                          <a:stretch>
                            <a:fillRect/>
                          </a:stretch>
                        </pic:blipFill>
                        <pic:spPr>
                          <a:xfrm>
                            <a:off x="0" y="0"/>
                            <a:ext cx="3776345" cy="1202055"/>
                          </a:xfrm>
                          <a:prstGeom prst="rect">
                            <a:avLst/>
                          </a:prstGeom>
                          <a:noFill/>
                          <a:ln>
                            <a:noFill/>
                          </a:ln>
                        </pic:spPr>
                      </pic:pic>
                    </a:graphicData>
                  </a:graphic>
                </wp:inline>
              </w:drawing>
            </w:r>
          </w:p>
          <w:p w14:paraId="4A2302B5">
            <w:pPr>
              <w:keepNext w:val="0"/>
              <w:keepLines w:val="0"/>
              <w:suppressLineNumbers w:val="0"/>
              <w:spacing w:before="0" w:beforeAutospacing="0" w:after="0" w:afterAutospacing="0" w:line="240" w:lineRule="auto"/>
              <w:ind w:left="0" w:right="0"/>
              <w:jc w:val="center"/>
              <w:rPr>
                <w:rFonts w:hint="default" w:ascii="Times New Roman" w:hAnsi="Times New Roman"/>
                <w:color w:val="auto"/>
                <w:lang w:val="zh-CN"/>
              </w:rPr>
            </w:pPr>
          </w:p>
          <w:p w14:paraId="0C275669">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t>（5）柚皮素查尔酮在查尔酮异构酶（CHI）的催化下生成柚皮素</w:t>
            </w:r>
          </w:p>
          <w:p w14:paraId="0AAB6895">
            <w:pPr>
              <w:keepNext w:val="0"/>
              <w:keepLines w:val="0"/>
              <w:suppressLineNumbers w:val="0"/>
              <w:spacing w:before="0" w:beforeAutospacing="0" w:after="0" w:afterAutospacing="0" w:line="240" w:lineRule="auto"/>
              <w:ind w:left="0" w:right="0"/>
              <w:jc w:val="center"/>
              <w:rPr>
                <w:rFonts w:hint="default" w:ascii="Times New Roman" w:hAnsi="Times New Roman"/>
                <w:color w:val="auto"/>
                <w:lang w:val="zh-CN"/>
              </w:rPr>
            </w:pPr>
            <w:r>
              <w:rPr>
                <w:rFonts w:hint="default" w:ascii="Times New Roman" w:hAnsi="Times New Roman"/>
                <w:color w:val="auto"/>
              </w:rPr>
              <w:drawing>
                <wp:inline distT="0" distB="0" distL="114300" distR="114300">
                  <wp:extent cx="3577590" cy="1259840"/>
                  <wp:effectExtent l="0" t="0" r="3810" b="165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0"/>
                          <a:srcRect r="11115"/>
                          <a:stretch>
                            <a:fillRect/>
                          </a:stretch>
                        </pic:blipFill>
                        <pic:spPr>
                          <a:xfrm>
                            <a:off x="0" y="0"/>
                            <a:ext cx="3577590" cy="1259840"/>
                          </a:xfrm>
                          <a:prstGeom prst="rect">
                            <a:avLst/>
                          </a:prstGeom>
                          <a:noFill/>
                          <a:ln>
                            <a:noFill/>
                          </a:ln>
                        </pic:spPr>
                      </pic:pic>
                    </a:graphicData>
                  </a:graphic>
                </wp:inline>
              </w:drawing>
            </w:r>
          </w:p>
          <w:p w14:paraId="27F7A757">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t>（6）工程菌株LUMY-DHQ存在两种利用柚皮素生成二氢槲皮素的途径。</w:t>
            </w:r>
          </w:p>
          <w:p w14:paraId="72DDA18F">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fldChar w:fldCharType="begin"/>
            </w:r>
            <w:r>
              <w:rPr>
                <w:rFonts w:hint="eastAsia" w:ascii="Times New Roman" w:hAnsi="Times New Roman" w:eastAsia="仿宋_GB2312" w:cs="Times New Roman"/>
                <w:color w:val="auto"/>
                <w:sz w:val="24"/>
                <w:szCs w:val="24"/>
                <w:lang w:val="zh-CN"/>
              </w:rPr>
              <w:instrText xml:space="preserve"> = 1 \* GB3 </w:instrText>
            </w:r>
            <w:r>
              <w:rPr>
                <w:rFonts w:hint="eastAsia" w:ascii="Times New Roman" w:hAnsi="Times New Roman" w:eastAsia="仿宋_GB2312" w:cs="Times New Roman"/>
                <w:color w:val="auto"/>
                <w:sz w:val="24"/>
                <w:szCs w:val="24"/>
                <w:lang w:val="zh-CN"/>
              </w:rPr>
              <w:fldChar w:fldCharType="separate"/>
            </w:r>
            <w:r>
              <w:rPr>
                <w:rFonts w:hint="eastAsia" w:ascii="Times New Roman" w:hAnsi="Times New Roman" w:eastAsia="仿宋_GB2312" w:cs="Times New Roman"/>
                <w:color w:val="auto"/>
                <w:sz w:val="24"/>
                <w:szCs w:val="24"/>
                <w:lang w:val="zh-CN"/>
              </w:rPr>
              <w:t>①</w:t>
            </w:r>
            <w:r>
              <w:rPr>
                <w:rFonts w:hint="eastAsia" w:ascii="Times New Roman" w:hAnsi="Times New Roman" w:eastAsia="仿宋_GB2312" w:cs="Times New Roman"/>
                <w:color w:val="auto"/>
                <w:sz w:val="24"/>
                <w:szCs w:val="24"/>
                <w:lang w:val="zh-CN"/>
              </w:rPr>
              <w:fldChar w:fldCharType="end"/>
            </w:r>
            <w:r>
              <w:rPr>
                <w:rFonts w:hint="eastAsia" w:ascii="Times New Roman" w:hAnsi="Times New Roman" w:eastAsia="仿宋_GB2312" w:cs="Times New Roman"/>
                <w:color w:val="auto"/>
                <w:sz w:val="24"/>
                <w:szCs w:val="24"/>
                <w:lang w:val="zh-CN"/>
              </w:rPr>
              <w:t>柚皮素在黄烷酮3-羟化酶（F3H）的催化下生成二氢山酚萘，二氢槲皮素可由二氢山酚萘经类黄烷酮3-羟化酶（F3′H）催化生成。</w:t>
            </w:r>
          </w:p>
          <w:p w14:paraId="3569D780">
            <w:pPr>
              <w:keepNext w:val="0"/>
              <w:keepLines w:val="0"/>
              <w:suppressLineNumbers w:val="0"/>
              <w:spacing w:before="0" w:beforeAutospacing="0" w:after="0" w:afterAutospacing="0" w:line="240" w:lineRule="auto"/>
              <w:ind w:left="0" w:right="0"/>
              <w:rPr>
                <w:rFonts w:hint="default" w:ascii="Times New Roman" w:hAnsi="Times New Roman"/>
                <w:color w:val="auto"/>
                <w:lang w:val="zh-CN"/>
              </w:rPr>
            </w:pPr>
            <w:r>
              <w:rPr>
                <w:rFonts w:hint="default" w:ascii="Times New Roman" w:hAnsi="Times New Roman"/>
                <w:color w:val="auto"/>
              </w:rPr>
              <w:drawing>
                <wp:inline distT="0" distB="0" distL="114300" distR="114300">
                  <wp:extent cx="5275580" cy="1275080"/>
                  <wp:effectExtent l="0" t="0" r="1270"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1"/>
                          <a:stretch>
                            <a:fillRect/>
                          </a:stretch>
                        </pic:blipFill>
                        <pic:spPr>
                          <a:xfrm>
                            <a:off x="0" y="0"/>
                            <a:ext cx="5275580" cy="1275080"/>
                          </a:xfrm>
                          <a:prstGeom prst="rect">
                            <a:avLst/>
                          </a:prstGeom>
                          <a:noFill/>
                          <a:ln>
                            <a:noFill/>
                          </a:ln>
                        </pic:spPr>
                      </pic:pic>
                    </a:graphicData>
                  </a:graphic>
                </wp:inline>
              </w:drawing>
            </w:r>
          </w:p>
          <w:p w14:paraId="0DA448E9">
            <w:pPr>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color w:val="auto"/>
                <w:sz w:val="24"/>
                <w:szCs w:val="24"/>
                <w:lang w:val="zh-CN"/>
              </w:rPr>
            </w:pPr>
            <w:r>
              <w:rPr>
                <w:rFonts w:hint="eastAsia" w:ascii="Times New Roman" w:hAnsi="Times New Roman" w:eastAsia="仿宋_GB2312" w:cs="Times New Roman"/>
                <w:color w:val="auto"/>
                <w:sz w:val="24"/>
                <w:szCs w:val="24"/>
                <w:lang w:val="zh-CN"/>
              </w:rPr>
              <w:fldChar w:fldCharType="begin"/>
            </w:r>
            <w:r>
              <w:rPr>
                <w:rFonts w:hint="eastAsia" w:ascii="Times New Roman" w:hAnsi="Times New Roman" w:eastAsia="仿宋_GB2312" w:cs="Times New Roman"/>
                <w:color w:val="auto"/>
                <w:sz w:val="24"/>
                <w:szCs w:val="24"/>
                <w:lang w:val="zh-CN"/>
              </w:rPr>
              <w:instrText xml:space="preserve"> = 2 \* GB3 </w:instrText>
            </w:r>
            <w:r>
              <w:rPr>
                <w:rFonts w:hint="eastAsia" w:ascii="Times New Roman" w:hAnsi="Times New Roman" w:eastAsia="仿宋_GB2312" w:cs="Times New Roman"/>
                <w:color w:val="auto"/>
                <w:sz w:val="24"/>
                <w:szCs w:val="24"/>
                <w:lang w:val="zh-CN"/>
              </w:rPr>
              <w:fldChar w:fldCharType="separate"/>
            </w:r>
            <w:r>
              <w:rPr>
                <w:rFonts w:hint="eastAsia" w:ascii="Times New Roman" w:hAnsi="Times New Roman" w:eastAsia="仿宋_GB2312" w:cs="Times New Roman"/>
                <w:color w:val="auto"/>
                <w:sz w:val="24"/>
                <w:szCs w:val="24"/>
                <w:lang w:val="zh-CN"/>
              </w:rPr>
              <w:t>②</w:t>
            </w:r>
            <w:r>
              <w:rPr>
                <w:rFonts w:hint="eastAsia" w:ascii="Times New Roman" w:hAnsi="Times New Roman" w:eastAsia="仿宋_GB2312" w:cs="Times New Roman"/>
                <w:color w:val="auto"/>
                <w:sz w:val="24"/>
                <w:szCs w:val="24"/>
                <w:lang w:val="zh-CN"/>
              </w:rPr>
              <w:fldChar w:fldCharType="end"/>
            </w:r>
            <w:r>
              <w:rPr>
                <w:rFonts w:hint="eastAsia" w:ascii="Times New Roman" w:hAnsi="Times New Roman" w:eastAsia="仿宋_GB2312" w:cs="Times New Roman"/>
                <w:color w:val="auto"/>
                <w:sz w:val="24"/>
                <w:szCs w:val="24"/>
                <w:lang w:val="zh-CN"/>
              </w:rPr>
              <w:t>柚皮素先经F3′H催化生成圣草酚再经F3H催化生成二氢槲皮素。</w:t>
            </w:r>
          </w:p>
          <w:p w14:paraId="3A4CCE11">
            <w:pPr>
              <w:keepNext w:val="0"/>
              <w:keepLines w:val="0"/>
              <w:suppressLineNumbers w:val="0"/>
              <w:spacing w:before="0" w:beforeAutospacing="0" w:after="0" w:afterAutospacing="0" w:line="240" w:lineRule="auto"/>
              <w:ind w:left="0" w:right="0"/>
              <w:rPr>
                <w:rFonts w:hint="default" w:ascii="Times New Roman" w:hAnsi="Times New Roman"/>
                <w:color w:val="auto"/>
                <w:lang w:val="zh-CN"/>
              </w:rPr>
            </w:pPr>
            <w:r>
              <w:rPr>
                <w:rFonts w:hint="eastAsia" w:ascii="Times New Roman" w:hAnsi="Times New Roman"/>
                <w:color w:val="auto"/>
              </w:rPr>
              <w:drawing>
                <wp:inline distT="0" distB="0" distL="114300" distR="114300">
                  <wp:extent cx="5462270" cy="1265555"/>
                  <wp:effectExtent l="0" t="0" r="5080" b="1079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2"/>
                          <a:srcRect r="4337"/>
                          <a:stretch>
                            <a:fillRect/>
                          </a:stretch>
                        </pic:blipFill>
                        <pic:spPr>
                          <a:xfrm>
                            <a:off x="0" y="0"/>
                            <a:ext cx="5462270" cy="1265555"/>
                          </a:xfrm>
                          <a:prstGeom prst="rect">
                            <a:avLst/>
                          </a:prstGeom>
                          <a:noFill/>
                          <a:ln>
                            <a:noFill/>
                          </a:ln>
                        </pic:spPr>
                      </pic:pic>
                    </a:graphicData>
                  </a:graphic>
                </wp:inline>
              </w:drawing>
            </w:r>
          </w:p>
          <w:p w14:paraId="4A95774C">
            <w:pPr>
              <w:keepNext w:val="0"/>
              <w:keepLines w:val="0"/>
              <w:suppressLineNumbers w:val="0"/>
              <w:spacing w:before="0" w:beforeAutospacing="0" w:after="0" w:afterAutospacing="0" w:line="240" w:lineRule="auto"/>
              <w:ind w:left="0" w:right="0"/>
              <w:jc w:val="center"/>
              <w:rPr>
                <w:rFonts w:hint="eastAsia"/>
                <w:color w:val="auto"/>
                <w:lang w:val="zh-CN"/>
              </w:rPr>
            </w:pPr>
          </w:p>
          <w:p w14:paraId="0C602BF8">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p>
          <w:p w14:paraId="132B2C79">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t>（</w:t>
            </w:r>
            <w:r>
              <w:rPr>
                <w:rFonts w:hint="eastAsia" w:eastAsia="仿宋_GB2312"/>
                <w:b/>
                <w:color w:val="auto"/>
                <w:sz w:val="24"/>
                <w:lang w:val="zh-CN"/>
              </w:rPr>
              <w:t>三</w:t>
            </w:r>
            <w:r>
              <w:rPr>
                <w:rFonts w:hint="default" w:eastAsia="仿宋_GB2312"/>
                <w:b/>
                <w:color w:val="auto"/>
                <w:sz w:val="24"/>
                <w:lang w:val="zh-CN"/>
              </w:rPr>
              <w:t>）</w:t>
            </w:r>
            <w:r>
              <w:rPr>
                <w:rFonts w:hint="eastAsia" w:eastAsia="仿宋_GB2312"/>
                <w:b/>
                <w:color w:val="auto"/>
                <w:sz w:val="24"/>
                <w:lang w:val="zh-CN"/>
              </w:rPr>
              <w:t>设备清单</w:t>
            </w:r>
          </w:p>
          <w:p w14:paraId="0D09BFB8">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eastAsia"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2-17</w:t>
            </w:r>
            <w:r>
              <w:rPr>
                <w:rFonts w:hint="default" w:ascii="Times New Roman" w:hAnsi="Times New Roman" w:eastAsia="仿宋_GB2312" w:cs="Times New Roman"/>
                <w:b/>
                <w:color w:val="auto"/>
                <w:sz w:val="22"/>
                <w:szCs w:val="22"/>
              </w:rPr>
              <w:t xml:space="preserve">  保健食品粉（二氢槲皮素）</w:t>
            </w:r>
            <w:r>
              <w:rPr>
                <w:rFonts w:hint="eastAsia" w:ascii="Times New Roman" w:hAnsi="Times New Roman" w:eastAsia="仿宋_GB2312" w:cs="Times New Roman"/>
                <w:b/>
                <w:color w:val="auto"/>
                <w:sz w:val="22"/>
                <w:szCs w:val="22"/>
              </w:rPr>
              <w:t>主要生产设备汇总表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28" w:type="dxa"/>
                <w:bottom w:w="0" w:type="dxa"/>
                <w:right w:w="28" w:type="dxa"/>
              </w:tblCellMar>
            </w:tblPr>
            <w:tblGrid>
              <w:gridCol w:w="452"/>
              <w:gridCol w:w="1464"/>
              <w:gridCol w:w="1250"/>
              <w:gridCol w:w="1994"/>
              <w:gridCol w:w="1188"/>
              <w:gridCol w:w="656"/>
              <w:gridCol w:w="564"/>
              <w:gridCol w:w="841"/>
            </w:tblGrid>
            <w:tr w14:paraId="2DA5EC02">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5D889AB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序号</w:t>
                  </w:r>
                </w:p>
              </w:tc>
              <w:tc>
                <w:tcPr>
                  <w:tcW w:w="1613" w:type="pct"/>
                  <w:gridSpan w:val="2"/>
                  <w:shd w:val="clear" w:color="000000" w:fill="FFFFFF"/>
                  <w:noWrap/>
                  <w:vAlign w:val="center"/>
                </w:tcPr>
                <w:p w14:paraId="146EE05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设备名称</w:t>
                  </w:r>
                </w:p>
              </w:tc>
              <w:tc>
                <w:tcPr>
                  <w:tcW w:w="1185" w:type="pct"/>
                  <w:shd w:val="clear" w:color="000000" w:fill="FFFFFF"/>
                  <w:noWrap/>
                  <w:vAlign w:val="center"/>
                </w:tcPr>
                <w:p w14:paraId="15BBFF0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规格型号</w:t>
                  </w:r>
                </w:p>
              </w:tc>
              <w:tc>
                <w:tcPr>
                  <w:tcW w:w="706" w:type="pct"/>
                  <w:shd w:val="clear" w:color="000000" w:fill="FFFFFF"/>
                  <w:vAlign w:val="center"/>
                </w:tcPr>
                <w:p w14:paraId="30D9ECC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材质</w:t>
                  </w:r>
                </w:p>
              </w:tc>
              <w:tc>
                <w:tcPr>
                  <w:tcW w:w="390" w:type="pct"/>
                  <w:shd w:val="clear" w:color="000000" w:fill="FFFFFF"/>
                  <w:vAlign w:val="center"/>
                </w:tcPr>
                <w:p w14:paraId="34D4DDC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数量</w:t>
                  </w:r>
                </w:p>
                <w:p w14:paraId="02CC801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（台/套）</w:t>
                  </w:r>
                </w:p>
              </w:tc>
              <w:tc>
                <w:tcPr>
                  <w:tcW w:w="335" w:type="pct"/>
                  <w:shd w:val="clear" w:color="000000" w:fill="FFFFFF"/>
                  <w:vAlign w:val="center"/>
                </w:tcPr>
                <w:p w14:paraId="2D1C734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备注</w:t>
                  </w:r>
                </w:p>
              </w:tc>
              <w:tc>
                <w:tcPr>
                  <w:tcW w:w="500" w:type="pct"/>
                  <w:vAlign w:val="center"/>
                </w:tcPr>
                <w:p w14:paraId="6CF8815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设备</w:t>
                  </w:r>
                </w:p>
                <w:p w14:paraId="488BD98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bCs/>
                      <w:color w:val="auto"/>
                      <w:kern w:val="0"/>
                      <w:sz w:val="21"/>
                      <w:szCs w:val="21"/>
                    </w:rPr>
                    <w:t>来源</w:t>
                  </w:r>
                </w:p>
              </w:tc>
            </w:tr>
            <w:tr w14:paraId="6CE621A8">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48AE510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1613" w:type="pct"/>
                  <w:gridSpan w:val="2"/>
                  <w:shd w:val="clear" w:color="000000" w:fill="FFFFFF"/>
                  <w:noWrap/>
                  <w:vAlign w:val="center"/>
                </w:tcPr>
                <w:p w14:paraId="653A26C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种子罐</w:t>
                  </w:r>
                </w:p>
              </w:tc>
              <w:tc>
                <w:tcPr>
                  <w:tcW w:w="1185" w:type="pct"/>
                  <w:shd w:val="clear" w:color="000000" w:fill="FFFFFF"/>
                  <w:noWrap/>
                  <w:vAlign w:val="center"/>
                </w:tcPr>
                <w:p w14:paraId="2E2CDF4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 L</w:t>
                  </w:r>
                </w:p>
              </w:tc>
              <w:tc>
                <w:tcPr>
                  <w:tcW w:w="706" w:type="pct"/>
                  <w:shd w:val="clear" w:color="000000" w:fill="FFFFFF"/>
                  <w:vAlign w:val="center"/>
                </w:tcPr>
                <w:p w14:paraId="410E23A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15BC46B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5" w:type="pct"/>
                  <w:vMerge w:val="restart"/>
                  <w:shd w:val="clear" w:color="000000" w:fill="FFFFFF"/>
                  <w:vAlign w:val="center"/>
                </w:tcPr>
                <w:p w14:paraId="213F97B0">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0"/>
                      <w:sz w:val="21"/>
                      <w:szCs w:val="21"/>
                      <w:lang w:eastAsia="zh-CN"/>
                    </w:rPr>
                  </w:pPr>
                  <w:r>
                    <w:rPr>
                      <w:rFonts w:hint="eastAsia" w:eastAsia="仿宋_GB2312" w:cs="Times New Roman"/>
                      <w:color w:val="auto"/>
                      <w:kern w:val="0"/>
                      <w:sz w:val="21"/>
                      <w:szCs w:val="21"/>
                      <w:lang w:eastAsia="zh-CN"/>
                    </w:rPr>
                    <w:t>与</w:t>
                  </w:r>
                  <w:r>
                    <w:rPr>
                      <w:rFonts w:hint="default" w:ascii="Times New Roman" w:hAnsi="Times New Roman" w:eastAsia="仿宋_GB2312" w:cs="Times New Roman"/>
                      <w:color w:val="auto"/>
                      <w:kern w:val="0"/>
                      <w:sz w:val="21"/>
                      <w:szCs w:val="21"/>
                    </w:rPr>
                    <w:t>食品用原料（γ-氨基丁酸）</w:t>
                  </w:r>
                  <w:r>
                    <w:rPr>
                      <w:rFonts w:hint="eastAsia" w:eastAsia="仿宋_GB2312" w:cs="Times New Roman"/>
                      <w:color w:val="auto"/>
                      <w:kern w:val="0"/>
                      <w:sz w:val="21"/>
                      <w:szCs w:val="21"/>
                      <w:lang w:eastAsia="zh-CN"/>
                    </w:rPr>
                    <w:t>设备共用</w:t>
                  </w:r>
                </w:p>
              </w:tc>
              <w:tc>
                <w:tcPr>
                  <w:tcW w:w="500" w:type="pct"/>
                  <w:vMerge w:val="restart"/>
                  <w:vAlign w:val="center"/>
                </w:tcPr>
                <w:p w14:paraId="221D496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国内</w:t>
                  </w:r>
                </w:p>
              </w:tc>
            </w:tr>
            <w:tr w14:paraId="56B22176">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3818459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w:t>
                  </w:r>
                </w:p>
              </w:tc>
              <w:tc>
                <w:tcPr>
                  <w:tcW w:w="1613" w:type="pct"/>
                  <w:gridSpan w:val="2"/>
                  <w:shd w:val="clear" w:color="000000" w:fill="FFFFFF"/>
                  <w:noWrap/>
                  <w:vAlign w:val="center"/>
                </w:tcPr>
                <w:p w14:paraId="66E2DAF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种子罐</w:t>
                  </w:r>
                </w:p>
              </w:tc>
              <w:tc>
                <w:tcPr>
                  <w:tcW w:w="1185" w:type="pct"/>
                  <w:shd w:val="clear" w:color="000000" w:fill="FFFFFF"/>
                  <w:noWrap/>
                  <w:vAlign w:val="center"/>
                </w:tcPr>
                <w:p w14:paraId="00DE2A3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100L</w:t>
                  </w:r>
                </w:p>
              </w:tc>
              <w:tc>
                <w:tcPr>
                  <w:tcW w:w="706" w:type="pct"/>
                  <w:shd w:val="clear" w:color="000000" w:fill="FFFFFF"/>
                  <w:vAlign w:val="center"/>
                </w:tcPr>
                <w:p w14:paraId="7ADA459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2C939B3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41F496F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1930D75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0ECD68C5">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667DF1C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c>
                <w:tcPr>
                  <w:tcW w:w="1613" w:type="pct"/>
                  <w:gridSpan w:val="2"/>
                  <w:shd w:val="clear" w:color="000000" w:fill="FFFFFF"/>
                  <w:noWrap/>
                  <w:vAlign w:val="center"/>
                </w:tcPr>
                <w:p w14:paraId="3EA391D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发酵罐</w:t>
                  </w:r>
                </w:p>
              </w:tc>
              <w:tc>
                <w:tcPr>
                  <w:tcW w:w="1185" w:type="pct"/>
                  <w:shd w:val="clear" w:color="000000" w:fill="FFFFFF"/>
                  <w:noWrap/>
                  <w:vAlign w:val="center"/>
                </w:tcPr>
                <w:p w14:paraId="66B3CB7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1000L</w:t>
                  </w:r>
                </w:p>
              </w:tc>
              <w:tc>
                <w:tcPr>
                  <w:tcW w:w="706" w:type="pct"/>
                  <w:shd w:val="clear" w:color="000000" w:fill="FFFFFF"/>
                  <w:vAlign w:val="center"/>
                </w:tcPr>
                <w:p w14:paraId="3213E77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01FF0A6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3673E21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2451FA2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12DB534D">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6624D9C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4</w:t>
                  </w:r>
                </w:p>
              </w:tc>
              <w:tc>
                <w:tcPr>
                  <w:tcW w:w="1613" w:type="pct"/>
                  <w:gridSpan w:val="2"/>
                  <w:shd w:val="clear" w:color="000000" w:fill="FFFFFF"/>
                  <w:noWrap/>
                  <w:vAlign w:val="center"/>
                </w:tcPr>
                <w:p w14:paraId="2663A4F5">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补料罐</w:t>
                  </w:r>
                </w:p>
              </w:tc>
              <w:tc>
                <w:tcPr>
                  <w:tcW w:w="1185" w:type="pct"/>
                  <w:shd w:val="clear" w:color="000000" w:fill="FFFFFF"/>
                  <w:noWrap/>
                  <w:vAlign w:val="center"/>
                </w:tcPr>
                <w:p w14:paraId="1E3776A0">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100 L</w:t>
                  </w:r>
                </w:p>
              </w:tc>
              <w:tc>
                <w:tcPr>
                  <w:tcW w:w="706" w:type="pct"/>
                  <w:shd w:val="clear" w:color="000000" w:fill="FFFFFF"/>
                  <w:vAlign w:val="center"/>
                </w:tcPr>
                <w:p w14:paraId="37A1A1ED">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44906DB7">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00CCD97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36889E8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3CF0B083">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0D034212">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5</w:t>
                  </w:r>
                </w:p>
              </w:tc>
              <w:tc>
                <w:tcPr>
                  <w:tcW w:w="1613" w:type="pct"/>
                  <w:gridSpan w:val="2"/>
                  <w:shd w:val="clear" w:color="000000" w:fill="FFFFFF"/>
                  <w:noWrap/>
                  <w:vAlign w:val="center"/>
                </w:tcPr>
                <w:p w14:paraId="696FC128">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树脂吸附设备</w:t>
                  </w:r>
                </w:p>
              </w:tc>
              <w:tc>
                <w:tcPr>
                  <w:tcW w:w="1185" w:type="pct"/>
                  <w:shd w:val="clear" w:color="000000" w:fill="FFFFFF"/>
                  <w:noWrap/>
                  <w:vAlign w:val="center"/>
                </w:tcPr>
                <w:p w14:paraId="2C92FE1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LXB-AS</w:t>
                  </w:r>
                </w:p>
                <w:p w14:paraId="06C3AB5D">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LXB-400</w:t>
                  </w:r>
                </w:p>
              </w:tc>
              <w:tc>
                <w:tcPr>
                  <w:tcW w:w="706" w:type="pct"/>
                  <w:shd w:val="clear" w:color="000000" w:fill="FFFFFF"/>
                  <w:vAlign w:val="center"/>
                </w:tcPr>
                <w:p w14:paraId="576D1415">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螯合树脂</w:t>
                  </w:r>
                </w:p>
              </w:tc>
              <w:tc>
                <w:tcPr>
                  <w:tcW w:w="390" w:type="pct"/>
                  <w:shd w:val="clear" w:color="000000" w:fill="FFFFFF"/>
                  <w:vAlign w:val="center"/>
                </w:tcPr>
                <w:p w14:paraId="7FE59E29">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080216B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1E274A4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436D2E5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5AC0DA13">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w:t>
                  </w:r>
                </w:p>
              </w:tc>
              <w:tc>
                <w:tcPr>
                  <w:tcW w:w="1613" w:type="pct"/>
                  <w:gridSpan w:val="2"/>
                  <w:shd w:val="clear" w:color="000000" w:fill="FFFFFF"/>
                  <w:noWrap/>
                  <w:vAlign w:val="center"/>
                </w:tcPr>
                <w:p w14:paraId="49B111F0">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离子交换层析系统</w:t>
                  </w:r>
                </w:p>
              </w:tc>
              <w:tc>
                <w:tcPr>
                  <w:tcW w:w="1185" w:type="pct"/>
                  <w:shd w:val="clear" w:color="000000" w:fill="FFFFFF"/>
                  <w:noWrap/>
                  <w:vAlign w:val="center"/>
                </w:tcPr>
                <w:p w14:paraId="1FA2834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LXB-10</w:t>
                  </w:r>
                </w:p>
                <w:p w14:paraId="26C83BBF">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LXB-300</w:t>
                  </w:r>
                </w:p>
              </w:tc>
              <w:tc>
                <w:tcPr>
                  <w:tcW w:w="706" w:type="pct"/>
                  <w:shd w:val="clear" w:color="000000" w:fill="FFFFFF"/>
                  <w:vAlign w:val="center"/>
                </w:tcPr>
                <w:p w14:paraId="2E67BFF6">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离子交换树脂</w:t>
                  </w:r>
                </w:p>
              </w:tc>
              <w:tc>
                <w:tcPr>
                  <w:tcW w:w="390" w:type="pct"/>
                  <w:shd w:val="clear" w:color="000000" w:fill="FFFFFF"/>
                  <w:vAlign w:val="center"/>
                </w:tcPr>
                <w:p w14:paraId="1301BD9B">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79DC9ED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4733858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47D3B43D">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7268DE3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7</w:t>
                  </w:r>
                </w:p>
              </w:tc>
              <w:tc>
                <w:tcPr>
                  <w:tcW w:w="1613" w:type="pct"/>
                  <w:gridSpan w:val="2"/>
                  <w:shd w:val="clear" w:color="000000" w:fill="FFFFFF"/>
                  <w:noWrap/>
                  <w:vAlign w:val="center"/>
                </w:tcPr>
                <w:p w14:paraId="671DEC65">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包装机</w:t>
                  </w:r>
                </w:p>
              </w:tc>
              <w:tc>
                <w:tcPr>
                  <w:tcW w:w="1185" w:type="pct"/>
                  <w:shd w:val="clear" w:color="000000" w:fill="FFFFFF"/>
                  <w:noWrap/>
                  <w:vAlign w:val="center"/>
                </w:tcPr>
                <w:p w14:paraId="5CD3CEC8">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w:t>
                  </w:r>
                </w:p>
              </w:tc>
              <w:tc>
                <w:tcPr>
                  <w:tcW w:w="706" w:type="pct"/>
                  <w:shd w:val="clear" w:color="000000" w:fill="FFFFFF"/>
                  <w:vAlign w:val="center"/>
                </w:tcPr>
                <w:p w14:paraId="26822BF7">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6A8DF555">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041E15B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454CA32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01830F7E">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90" w:hRule="atLeast"/>
                <w:jc w:val="center"/>
              </w:trPr>
              <w:tc>
                <w:tcPr>
                  <w:tcW w:w="268" w:type="pct"/>
                  <w:vMerge w:val="restart"/>
                  <w:shd w:val="clear" w:color="000000" w:fill="FFFFFF"/>
                  <w:noWrap/>
                  <w:vAlign w:val="center"/>
                </w:tcPr>
                <w:p w14:paraId="0BBA353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8</w:t>
                  </w:r>
                </w:p>
              </w:tc>
              <w:tc>
                <w:tcPr>
                  <w:tcW w:w="870" w:type="pct"/>
                  <w:vMerge w:val="restart"/>
                  <w:shd w:val="clear" w:color="000000" w:fill="FFFFFF"/>
                  <w:noWrap/>
                  <w:vAlign w:val="center"/>
                </w:tcPr>
                <w:p w14:paraId="7CCDFE7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膜过滤浓缩系统</w:t>
                  </w:r>
                </w:p>
              </w:tc>
              <w:tc>
                <w:tcPr>
                  <w:tcW w:w="743" w:type="pct"/>
                  <w:shd w:val="clear" w:color="000000" w:fill="FFFFFF"/>
                  <w:vAlign w:val="center"/>
                </w:tcPr>
                <w:p w14:paraId="09BAFDB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缓冲罐</w:t>
                  </w:r>
                </w:p>
              </w:tc>
              <w:tc>
                <w:tcPr>
                  <w:tcW w:w="1185" w:type="pct"/>
                  <w:shd w:val="clear" w:color="000000" w:fill="FFFFFF"/>
                  <w:noWrap/>
                  <w:vAlign w:val="center"/>
                </w:tcPr>
                <w:p w14:paraId="2AA3CD7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500</w:t>
                  </w:r>
                  <w:r>
                    <w:rPr>
                      <w:rFonts w:hint="default" w:ascii="Times New Roman" w:hAnsi="Times New Roman" w:eastAsia="仿宋_GB2312" w:cs="Times New Roman"/>
                      <w:color w:val="auto"/>
                      <w:kern w:val="0"/>
                      <w:sz w:val="21"/>
                      <w:szCs w:val="21"/>
                      <w:lang w:bidi="ar"/>
                    </w:rPr>
                    <w:t>L</w:t>
                  </w:r>
                </w:p>
              </w:tc>
              <w:tc>
                <w:tcPr>
                  <w:tcW w:w="706" w:type="pct"/>
                  <w:vMerge w:val="restart"/>
                  <w:shd w:val="clear" w:color="000000" w:fill="FFFFFF"/>
                  <w:vAlign w:val="center"/>
                </w:tcPr>
                <w:p w14:paraId="49E52D2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不锈钢、陶瓷</w:t>
                  </w:r>
                </w:p>
              </w:tc>
              <w:tc>
                <w:tcPr>
                  <w:tcW w:w="390" w:type="pct"/>
                  <w:shd w:val="clear" w:color="000000" w:fill="FFFFFF"/>
                  <w:vAlign w:val="center"/>
                </w:tcPr>
                <w:p w14:paraId="7F62910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c>
                <w:tcPr>
                  <w:tcW w:w="335" w:type="pct"/>
                  <w:vMerge w:val="restart"/>
                  <w:shd w:val="clear" w:color="000000" w:fill="FFFFFF"/>
                  <w:vAlign w:val="center"/>
                </w:tcPr>
                <w:p w14:paraId="7D1A5A57">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0"/>
                      <w:sz w:val="21"/>
                      <w:szCs w:val="21"/>
                      <w:lang w:val="en-US" w:eastAsia="zh-CN"/>
                    </w:rPr>
                  </w:pPr>
                  <w:r>
                    <w:rPr>
                      <w:rFonts w:hint="eastAsia" w:eastAsia="仿宋_GB2312" w:cs="Times New Roman"/>
                      <w:color w:val="auto"/>
                      <w:kern w:val="0"/>
                      <w:sz w:val="21"/>
                      <w:szCs w:val="21"/>
                      <w:lang w:val="en-US" w:eastAsia="zh-CN"/>
                    </w:rPr>
                    <w:t>/</w:t>
                  </w:r>
                </w:p>
              </w:tc>
              <w:tc>
                <w:tcPr>
                  <w:tcW w:w="500" w:type="pct"/>
                  <w:vMerge w:val="continue"/>
                  <w:vAlign w:val="center"/>
                </w:tcPr>
                <w:p w14:paraId="62E2F4A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57A5E725">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222" w:hRule="atLeast"/>
                <w:jc w:val="center"/>
              </w:trPr>
              <w:tc>
                <w:tcPr>
                  <w:tcW w:w="268" w:type="pct"/>
                  <w:vMerge w:val="continue"/>
                  <w:shd w:val="clear" w:color="000000" w:fill="FFFFFF"/>
                  <w:noWrap/>
                  <w:vAlign w:val="center"/>
                </w:tcPr>
                <w:p w14:paraId="5551D6E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870" w:type="pct"/>
                  <w:vMerge w:val="continue"/>
                  <w:shd w:val="clear" w:color="000000" w:fill="FFFFFF"/>
                  <w:noWrap/>
                  <w:vAlign w:val="center"/>
                </w:tcPr>
                <w:p w14:paraId="4FE4DF8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743" w:type="pct"/>
                  <w:shd w:val="clear" w:color="000000" w:fill="FFFFFF"/>
                  <w:vAlign w:val="center"/>
                </w:tcPr>
                <w:p w14:paraId="3B64077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sz w:val="21"/>
                      <w:szCs w:val="21"/>
                    </w:rPr>
                    <w:t>清洗罐</w:t>
                  </w:r>
                </w:p>
              </w:tc>
              <w:tc>
                <w:tcPr>
                  <w:tcW w:w="1185" w:type="pct"/>
                  <w:shd w:val="clear" w:color="000000" w:fill="FFFFFF"/>
                  <w:noWrap/>
                  <w:vAlign w:val="center"/>
                </w:tcPr>
                <w:p w14:paraId="5B21203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lang w:bidi="ar"/>
                    </w:rPr>
                    <w:t>100L</w:t>
                  </w:r>
                </w:p>
              </w:tc>
              <w:tc>
                <w:tcPr>
                  <w:tcW w:w="706" w:type="pct"/>
                  <w:vMerge w:val="continue"/>
                  <w:shd w:val="clear" w:color="000000" w:fill="FFFFFF"/>
                  <w:vAlign w:val="center"/>
                </w:tcPr>
                <w:p w14:paraId="353BFA2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390" w:type="pct"/>
                  <w:shd w:val="clear" w:color="000000" w:fill="FFFFFF"/>
                  <w:vAlign w:val="center"/>
                </w:tcPr>
                <w:p w14:paraId="184DEB2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c>
                <w:tcPr>
                  <w:tcW w:w="335" w:type="pct"/>
                  <w:vMerge w:val="continue"/>
                  <w:shd w:val="clear" w:color="000000" w:fill="FFFFFF"/>
                  <w:vAlign w:val="center"/>
                </w:tcPr>
                <w:p w14:paraId="6C8585E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7C9CA6F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0919D6A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221" w:hRule="atLeast"/>
                <w:jc w:val="center"/>
              </w:trPr>
              <w:tc>
                <w:tcPr>
                  <w:tcW w:w="268" w:type="pct"/>
                  <w:vMerge w:val="continue"/>
                  <w:shd w:val="clear" w:color="000000" w:fill="FFFFFF"/>
                  <w:noWrap/>
                  <w:vAlign w:val="center"/>
                </w:tcPr>
                <w:p w14:paraId="5E9E8CE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870" w:type="pct"/>
                  <w:vMerge w:val="continue"/>
                  <w:shd w:val="clear" w:color="000000" w:fill="FFFFFF"/>
                  <w:noWrap/>
                  <w:vAlign w:val="center"/>
                </w:tcPr>
                <w:p w14:paraId="17980D1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743" w:type="pct"/>
                  <w:shd w:val="clear" w:color="000000" w:fill="FFFFFF"/>
                  <w:vAlign w:val="center"/>
                </w:tcPr>
                <w:p w14:paraId="58E6CC7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暂存罐</w:t>
                  </w:r>
                </w:p>
              </w:tc>
              <w:tc>
                <w:tcPr>
                  <w:tcW w:w="1185" w:type="pct"/>
                  <w:shd w:val="clear" w:color="000000" w:fill="FFFFFF"/>
                  <w:noWrap/>
                  <w:vAlign w:val="center"/>
                </w:tcPr>
                <w:p w14:paraId="6EADA7C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50</w:t>
                  </w:r>
                  <w:r>
                    <w:rPr>
                      <w:rFonts w:hint="default" w:ascii="Times New Roman" w:hAnsi="Times New Roman" w:eastAsia="仿宋_GB2312" w:cs="Times New Roman"/>
                      <w:color w:val="auto"/>
                      <w:kern w:val="0"/>
                      <w:sz w:val="21"/>
                      <w:szCs w:val="21"/>
                      <w:lang w:bidi="ar"/>
                    </w:rPr>
                    <w:t>L</w:t>
                  </w:r>
                </w:p>
              </w:tc>
              <w:tc>
                <w:tcPr>
                  <w:tcW w:w="706" w:type="pct"/>
                  <w:vMerge w:val="continue"/>
                  <w:shd w:val="clear" w:color="000000" w:fill="FFFFFF"/>
                  <w:vAlign w:val="center"/>
                </w:tcPr>
                <w:p w14:paraId="3FBA983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390" w:type="pct"/>
                  <w:shd w:val="clear" w:color="000000" w:fill="FFFFFF"/>
                  <w:vAlign w:val="center"/>
                </w:tcPr>
                <w:p w14:paraId="5773402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15FC27F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1DA0409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7299A21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221" w:hRule="atLeast"/>
                <w:jc w:val="center"/>
              </w:trPr>
              <w:tc>
                <w:tcPr>
                  <w:tcW w:w="268" w:type="pct"/>
                  <w:vMerge w:val="continue"/>
                  <w:shd w:val="clear" w:color="000000" w:fill="FFFFFF"/>
                  <w:noWrap/>
                  <w:vAlign w:val="center"/>
                </w:tcPr>
                <w:p w14:paraId="14278D6F">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p>
              </w:tc>
              <w:tc>
                <w:tcPr>
                  <w:tcW w:w="870" w:type="pct"/>
                  <w:vMerge w:val="continue"/>
                  <w:shd w:val="clear" w:color="000000" w:fill="FFFFFF"/>
                  <w:noWrap/>
                  <w:vAlign w:val="center"/>
                </w:tcPr>
                <w:p w14:paraId="205CFAE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743" w:type="pct"/>
                  <w:shd w:val="clear" w:color="000000" w:fill="FFFFFF"/>
                  <w:vAlign w:val="center"/>
                </w:tcPr>
                <w:p w14:paraId="537472C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陶瓷膜、超滤膜、纳滤膜</w:t>
                  </w:r>
                </w:p>
              </w:tc>
              <w:tc>
                <w:tcPr>
                  <w:tcW w:w="1185" w:type="pct"/>
                  <w:shd w:val="clear" w:color="000000" w:fill="FFFFFF"/>
                  <w:noWrap/>
                  <w:vAlign w:val="center"/>
                </w:tcPr>
                <w:p w14:paraId="53D75BE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4040型</w:t>
                  </w:r>
                </w:p>
              </w:tc>
              <w:tc>
                <w:tcPr>
                  <w:tcW w:w="706" w:type="pct"/>
                  <w:vMerge w:val="continue"/>
                  <w:shd w:val="clear" w:color="000000" w:fill="FFFFFF"/>
                  <w:vAlign w:val="center"/>
                </w:tcPr>
                <w:p w14:paraId="1080434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390" w:type="pct"/>
                  <w:shd w:val="clear" w:color="000000" w:fill="FFFFFF"/>
                  <w:vAlign w:val="center"/>
                </w:tcPr>
                <w:p w14:paraId="5E82BBA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7F29494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05CDFBE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5F0CDDD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384F71BC">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9</w:t>
                  </w:r>
                </w:p>
              </w:tc>
              <w:tc>
                <w:tcPr>
                  <w:tcW w:w="1613" w:type="pct"/>
                  <w:gridSpan w:val="2"/>
                  <w:shd w:val="clear" w:color="000000" w:fill="FFFFFF"/>
                  <w:noWrap/>
                  <w:vAlign w:val="center"/>
                </w:tcPr>
                <w:p w14:paraId="7CA4B58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冷冻干燥机</w:t>
                  </w:r>
                </w:p>
              </w:tc>
              <w:tc>
                <w:tcPr>
                  <w:tcW w:w="1185" w:type="pct"/>
                  <w:shd w:val="clear" w:color="000000" w:fill="FFFFFF"/>
                  <w:noWrap/>
                  <w:vAlign w:val="center"/>
                </w:tcPr>
                <w:p w14:paraId="5C45E01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706" w:type="pct"/>
                  <w:shd w:val="clear" w:color="000000" w:fill="FFFFFF"/>
                  <w:vAlign w:val="center"/>
                </w:tcPr>
                <w:p w14:paraId="375624B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5A28860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42033A20">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vAlign w:val="center"/>
                </w:tcPr>
                <w:p w14:paraId="64C2D27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6FA6C506">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12E77FE5">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10</w:t>
                  </w:r>
                </w:p>
              </w:tc>
              <w:tc>
                <w:tcPr>
                  <w:tcW w:w="1613" w:type="pct"/>
                  <w:gridSpan w:val="2"/>
                  <w:shd w:val="clear" w:color="000000" w:fill="FFFFFF"/>
                  <w:noWrap/>
                  <w:vAlign w:val="center"/>
                </w:tcPr>
                <w:p w14:paraId="01FBDBA3">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旋转蒸发仪</w:t>
                  </w:r>
                </w:p>
              </w:tc>
              <w:tc>
                <w:tcPr>
                  <w:tcW w:w="1185" w:type="pct"/>
                  <w:shd w:val="clear" w:color="000000" w:fill="FFFFFF"/>
                  <w:noWrap/>
                  <w:vAlign w:val="center"/>
                </w:tcPr>
                <w:p w14:paraId="435DBB1B">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EXRE-1050</w:t>
                  </w:r>
                </w:p>
              </w:tc>
              <w:tc>
                <w:tcPr>
                  <w:tcW w:w="706" w:type="pct"/>
                  <w:shd w:val="clear" w:color="000000" w:fill="FFFFFF"/>
                  <w:vAlign w:val="center"/>
                </w:tcPr>
                <w:p w14:paraId="4D0065D8">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291461F3">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31DBDAC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tcPr>
                <w:p w14:paraId="683AC70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2B2463D1">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33060ADE">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11</w:t>
                  </w:r>
                </w:p>
              </w:tc>
              <w:tc>
                <w:tcPr>
                  <w:tcW w:w="1613" w:type="pct"/>
                  <w:gridSpan w:val="2"/>
                  <w:shd w:val="clear" w:color="000000" w:fill="FFFFFF"/>
                  <w:noWrap/>
                  <w:vAlign w:val="center"/>
                </w:tcPr>
                <w:p w14:paraId="6BB91AA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酸碱平衡罐</w:t>
                  </w:r>
                </w:p>
              </w:tc>
              <w:tc>
                <w:tcPr>
                  <w:tcW w:w="1185" w:type="pct"/>
                  <w:shd w:val="clear" w:color="000000" w:fill="FFFFFF"/>
                  <w:noWrap/>
                  <w:vAlign w:val="center"/>
                </w:tcPr>
                <w:p w14:paraId="0C01EC2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 L</w:t>
                  </w:r>
                </w:p>
              </w:tc>
              <w:tc>
                <w:tcPr>
                  <w:tcW w:w="706" w:type="pct"/>
                  <w:shd w:val="clear" w:color="000000" w:fill="FFFFFF"/>
                  <w:vAlign w:val="center"/>
                </w:tcPr>
                <w:p w14:paraId="1561530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4973036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78C9B51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tcPr>
                <w:p w14:paraId="61FD8D2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r w14:paraId="1D2CC60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268" w:type="pct"/>
                  <w:shd w:val="clear" w:color="000000" w:fill="FFFFFF"/>
                  <w:noWrap/>
                  <w:vAlign w:val="center"/>
                </w:tcPr>
                <w:p w14:paraId="6E68E254">
                  <w:pPr>
                    <w:keepNext w:val="0"/>
                    <w:keepLines w:val="0"/>
                    <w:widowControl w:val="0"/>
                    <w:suppressLineNumbers w:val="0"/>
                    <w:spacing w:before="0" w:beforeAutospacing="0" w:after="0" w:afterAutospacing="0" w:line="24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default" w:ascii="Times New Roman" w:hAnsi="Times New Roman" w:eastAsia="仿宋_GB2312" w:cs="Times New Roman"/>
                      <w:color w:val="auto"/>
                      <w:kern w:val="0"/>
                      <w:sz w:val="21"/>
                      <w:szCs w:val="21"/>
                    </w:rPr>
                    <w:t>12</w:t>
                  </w:r>
                </w:p>
              </w:tc>
              <w:tc>
                <w:tcPr>
                  <w:tcW w:w="1613" w:type="pct"/>
                  <w:gridSpan w:val="2"/>
                  <w:shd w:val="clear" w:color="000000" w:fill="FFFFFF"/>
                  <w:noWrap/>
                  <w:vAlign w:val="center"/>
                </w:tcPr>
                <w:p w14:paraId="057D478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消泡灌</w:t>
                  </w:r>
                </w:p>
              </w:tc>
              <w:tc>
                <w:tcPr>
                  <w:tcW w:w="1185" w:type="pct"/>
                  <w:shd w:val="clear" w:color="000000" w:fill="FFFFFF"/>
                  <w:noWrap/>
                  <w:vAlign w:val="center"/>
                </w:tcPr>
                <w:p w14:paraId="2BEAACB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 L</w:t>
                  </w:r>
                </w:p>
              </w:tc>
              <w:tc>
                <w:tcPr>
                  <w:tcW w:w="706" w:type="pct"/>
                  <w:shd w:val="clear" w:color="000000" w:fill="FFFFFF"/>
                  <w:vAlign w:val="center"/>
                </w:tcPr>
                <w:p w14:paraId="6CFCFB2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不锈钢</w:t>
                  </w:r>
                </w:p>
              </w:tc>
              <w:tc>
                <w:tcPr>
                  <w:tcW w:w="390" w:type="pct"/>
                  <w:shd w:val="clear" w:color="000000" w:fill="FFFFFF"/>
                  <w:vAlign w:val="center"/>
                </w:tcPr>
                <w:p w14:paraId="1681503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w:t>
                  </w:r>
                </w:p>
              </w:tc>
              <w:tc>
                <w:tcPr>
                  <w:tcW w:w="335" w:type="pct"/>
                  <w:vMerge w:val="continue"/>
                  <w:shd w:val="clear" w:color="000000" w:fill="FFFFFF"/>
                  <w:vAlign w:val="center"/>
                </w:tcPr>
                <w:p w14:paraId="1C35C8F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c>
                <w:tcPr>
                  <w:tcW w:w="500" w:type="pct"/>
                  <w:vMerge w:val="continue"/>
                </w:tcPr>
                <w:p w14:paraId="2286DFB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szCs w:val="21"/>
                    </w:rPr>
                  </w:pPr>
                </w:p>
              </w:tc>
            </w:tr>
          </w:tbl>
          <w:p w14:paraId="2ACDCDA5">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t>（</w:t>
            </w:r>
            <w:r>
              <w:rPr>
                <w:rFonts w:hint="eastAsia" w:eastAsia="仿宋_GB2312"/>
                <w:b/>
                <w:color w:val="auto"/>
                <w:sz w:val="24"/>
                <w:lang w:val="zh-CN"/>
              </w:rPr>
              <w:t>四</w:t>
            </w:r>
            <w:r>
              <w:rPr>
                <w:rFonts w:hint="default" w:eastAsia="仿宋_GB2312"/>
                <w:b/>
                <w:color w:val="auto"/>
                <w:sz w:val="24"/>
                <w:lang w:val="zh-CN"/>
              </w:rPr>
              <w:t>）物料平衡</w:t>
            </w:r>
          </w:p>
          <w:p w14:paraId="02C38A35">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sz w:val="24"/>
                <w:lang w:val="zh-CN"/>
              </w:rPr>
            </w:pPr>
            <w:r>
              <w:rPr>
                <w:rFonts w:hint="default" w:eastAsia="仿宋_GB2312"/>
                <w:b/>
                <w:bCs/>
                <w:color w:val="auto"/>
                <w:sz w:val="24"/>
                <w:lang w:val="zh-CN"/>
              </w:rPr>
              <w:t>1、年产500kg保健食品粉物料平衡</w:t>
            </w:r>
          </w:p>
          <w:p w14:paraId="230E51E9">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fldChar w:fldCharType="begin"/>
            </w:r>
            <w:r>
              <w:rPr>
                <w:rFonts w:hint="default" w:eastAsia="仿宋_GB2312"/>
                <w:b/>
                <w:color w:val="auto"/>
                <w:sz w:val="24"/>
                <w:lang w:val="zh-CN"/>
              </w:rPr>
              <w:instrText xml:space="preserve"> = 1 \* GB3 </w:instrText>
            </w:r>
            <w:r>
              <w:rPr>
                <w:rFonts w:hint="default" w:eastAsia="仿宋_GB2312"/>
                <w:b/>
                <w:color w:val="auto"/>
                <w:sz w:val="24"/>
                <w:lang w:val="zh-CN"/>
              </w:rPr>
              <w:fldChar w:fldCharType="separate"/>
            </w:r>
            <w:r>
              <w:rPr>
                <w:rFonts w:hint="default"/>
                <w:b/>
                <w:color w:val="auto"/>
                <w:sz w:val="24"/>
                <w:lang w:val="zh-CN"/>
              </w:rPr>
              <w:t>①</w:t>
            </w:r>
            <w:r>
              <w:rPr>
                <w:rFonts w:hint="default" w:eastAsia="仿宋_GB2312"/>
                <w:b/>
                <w:color w:val="auto"/>
                <w:sz w:val="24"/>
                <w:lang w:val="zh-CN"/>
              </w:rPr>
              <w:fldChar w:fldCharType="end"/>
            </w:r>
            <w:r>
              <w:rPr>
                <w:rFonts w:hint="default" w:eastAsia="仿宋_GB2312"/>
                <w:b/>
                <w:color w:val="auto"/>
                <w:sz w:val="24"/>
                <w:lang w:val="zh-CN"/>
              </w:rPr>
              <w:t>原辅材料用量</w:t>
            </w:r>
          </w:p>
          <w:p w14:paraId="7A3092DC">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表2-</w:t>
            </w:r>
            <w:r>
              <w:rPr>
                <w:rFonts w:hint="eastAsia" w:eastAsia="仿宋_GB2312" w:cs="Times New Roman"/>
                <w:b/>
                <w:color w:val="auto"/>
                <w:sz w:val="22"/>
                <w:szCs w:val="22"/>
                <w:lang w:val="en-US" w:eastAsia="zh-CN"/>
              </w:rPr>
              <w:t>18</w:t>
            </w:r>
            <w:r>
              <w:rPr>
                <w:rFonts w:hint="default" w:ascii="Times New Roman" w:hAnsi="Times New Roman" w:eastAsia="仿宋_GB2312" w:cs="Times New Roman"/>
                <w:b/>
                <w:color w:val="auto"/>
                <w:sz w:val="22"/>
                <w:szCs w:val="22"/>
              </w:rPr>
              <w:t xml:space="preserve">  年产500kg保健食品粉（二氢槲皮素）原辅材料用量情况表</w:t>
            </w:r>
          </w:p>
          <w:tbl>
            <w:tblPr>
              <w:tblStyle w:val="8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757"/>
              <w:gridCol w:w="651"/>
              <w:gridCol w:w="658"/>
              <w:gridCol w:w="959"/>
              <w:gridCol w:w="863"/>
              <w:gridCol w:w="1318"/>
              <w:gridCol w:w="720"/>
              <w:gridCol w:w="843"/>
            </w:tblGrid>
            <w:tr w14:paraId="49CF2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379" w:type="pct"/>
                  <w:vAlign w:val="center"/>
                </w:tcPr>
                <w:p w14:paraId="6936F55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bookmarkStart w:id="17" w:name="OLE_LINK28"/>
                  <w:bookmarkStart w:id="18" w:name="OLE_LINK29"/>
                  <w:r>
                    <w:rPr>
                      <w:rFonts w:hint="default" w:ascii="Times New Roman" w:hAnsi="Times New Roman" w:eastAsia="仿宋_GB2312" w:cs="Times New Roman"/>
                      <w:b/>
                      <w:color w:val="auto"/>
                      <w:sz w:val="21"/>
                    </w:rPr>
                    <w:t>序号</w:t>
                  </w:r>
                </w:p>
              </w:tc>
              <w:tc>
                <w:tcPr>
                  <w:tcW w:w="1044" w:type="pct"/>
                  <w:vAlign w:val="center"/>
                </w:tcPr>
                <w:p w14:paraId="7597FA9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名 称</w:t>
                  </w:r>
                </w:p>
              </w:tc>
              <w:tc>
                <w:tcPr>
                  <w:tcW w:w="387" w:type="pct"/>
                  <w:vAlign w:val="center"/>
                </w:tcPr>
                <w:p w14:paraId="3B667A2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规格</w:t>
                  </w:r>
                </w:p>
              </w:tc>
              <w:tc>
                <w:tcPr>
                  <w:tcW w:w="391" w:type="pct"/>
                  <w:vAlign w:val="center"/>
                </w:tcPr>
                <w:p w14:paraId="1FC0CF8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形态</w:t>
                  </w:r>
                </w:p>
              </w:tc>
              <w:tc>
                <w:tcPr>
                  <w:tcW w:w="570" w:type="pct"/>
                  <w:vAlign w:val="center"/>
                </w:tcPr>
                <w:p w14:paraId="6E26DCB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单耗</w:t>
                  </w:r>
                </w:p>
                <w:p w14:paraId="7EDFAF8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(kg/kg产品)</w:t>
                  </w:r>
                </w:p>
              </w:tc>
              <w:tc>
                <w:tcPr>
                  <w:tcW w:w="513" w:type="pct"/>
                  <w:vAlign w:val="center"/>
                </w:tcPr>
                <w:p w14:paraId="2D423B3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年耗量(t/a)</w:t>
                  </w:r>
                </w:p>
              </w:tc>
              <w:tc>
                <w:tcPr>
                  <w:tcW w:w="783" w:type="pct"/>
                  <w:vAlign w:val="center"/>
                </w:tcPr>
                <w:p w14:paraId="3C8B511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包装方式及规格</w:t>
                  </w:r>
                </w:p>
              </w:tc>
              <w:tc>
                <w:tcPr>
                  <w:tcW w:w="428" w:type="pct"/>
                  <w:vAlign w:val="center"/>
                </w:tcPr>
                <w:p w14:paraId="3072F55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来源、运输</w:t>
                  </w:r>
                </w:p>
              </w:tc>
              <w:tc>
                <w:tcPr>
                  <w:tcW w:w="501" w:type="pct"/>
                  <w:vAlign w:val="center"/>
                </w:tcPr>
                <w:p w14:paraId="4A3BFE2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存储位置</w:t>
                  </w:r>
                </w:p>
              </w:tc>
            </w:tr>
            <w:tr w14:paraId="01792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213C80B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1044" w:type="pct"/>
                  <w:vAlign w:val="center"/>
                </w:tcPr>
                <w:p w14:paraId="22D356A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工程菌株</w:t>
                  </w:r>
                </w:p>
                <w:p w14:paraId="524B6B6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（LUMY-DHQ）</w:t>
                  </w:r>
                </w:p>
              </w:tc>
              <w:tc>
                <w:tcPr>
                  <w:tcW w:w="387" w:type="pct"/>
                  <w:vAlign w:val="center"/>
                </w:tcPr>
                <w:p w14:paraId="3909FA8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w:t>
                  </w:r>
                </w:p>
              </w:tc>
              <w:tc>
                <w:tcPr>
                  <w:tcW w:w="391" w:type="pct"/>
                  <w:vAlign w:val="center"/>
                </w:tcPr>
                <w:p w14:paraId="7F9EB1D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液态</w:t>
                  </w:r>
                </w:p>
              </w:tc>
              <w:tc>
                <w:tcPr>
                  <w:tcW w:w="570" w:type="pct"/>
                  <w:vAlign w:val="center"/>
                </w:tcPr>
                <w:p w14:paraId="23DF4E8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0.08</w:t>
                  </w:r>
                </w:p>
              </w:tc>
              <w:tc>
                <w:tcPr>
                  <w:tcW w:w="513" w:type="pct"/>
                  <w:vAlign w:val="center"/>
                </w:tcPr>
                <w:p w14:paraId="1B72C80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0.04</w:t>
                  </w:r>
                </w:p>
              </w:tc>
              <w:tc>
                <w:tcPr>
                  <w:tcW w:w="783" w:type="pct"/>
                  <w:vAlign w:val="center"/>
                </w:tcPr>
                <w:p w14:paraId="3884164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w:t>
                  </w:r>
                </w:p>
              </w:tc>
              <w:tc>
                <w:tcPr>
                  <w:tcW w:w="428" w:type="pct"/>
                  <w:vMerge w:val="restart"/>
                  <w:vAlign w:val="center"/>
                </w:tcPr>
                <w:p w14:paraId="686671B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国内，汽运</w:t>
                  </w:r>
                </w:p>
              </w:tc>
              <w:tc>
                <w:tcPr>
                  <w:tcW w:w="501" w:type="pct"/>
                  <w:vAlign w:val="center"/>
                </w:tcPr>
                <w:p w14:paraId="418824F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菌种间</w:t>
                  </w:r>
                </w:p>
              </w:tc>
            </w:tr>
            <w:tr w14:paraId="640D7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6AEC6BC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1044" w:type="pct"/>
                  <w:vAlign w:val="center"/>
                </w:tcPr>
                <w:p w14:paraId="20898C5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氢氧化钠</w:t>
                  </w:r>
                </w:p>
              </w:tc>
              <w:tc>
                <w:tcPr>
                  <w:tcW w:w="387" w:type="pct"/>
                  <w:vAlign w:val="center"/>
                </w:tcPr>
                <w:p w14:paraId="2528774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72BAC34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粉状</w:t>
                  </w:r>
                </w:p>
              </w:tc>
              <w:tc>
                <w:tcPr>
                  <w:tcW w:w="570" w:type="pct"/>
                  <w:vAlign w:val="center"/>
                </w:tcPr>
                <w:p w14:paraId="5997CDA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1.54656</w:t>
                  </w:r>
                </w:p>
              </w:tc>
              <w:tc>
                <w:tcPr>
                  <w:tcW w:w="513" w:type="pct"/>
                  <w:vAlign w:val="center"/>
                </w:tcPr>
                <w:p w14:paraId="648A84C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0.77328</w:t>
                  </w:r>
                </w:p>
              </w:tc>
              <w:tc>
                <w:tcPr>
                  <w:tcW w:w="783" w:type="pct"/>
                  <w:vAlign w:val="center"/>
                </w:tcPr>
                <w:p w14:paraId="3E9A20C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桶装，10 kg</w:t>
                  </w:r>
                </w:p>
              </w:tc>
              <w:tc>
                <w:tcPr>
                  <w:tcW w:w="428" w:type="pct"/>
                  <w:vMerge w:val="continue"/>
                  <w:vAlign w:val="center"/>
                </w:tcPr>
                <w:p w14:paraId="714DAA1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restart"/>
                  <w:vAlign w:val="center"/>
                </w:tcPr>
                <w:p w14:paraId="64BC393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常温库</w:t>
                  </w:r>
                </w:p>
              </w:tc>
            </w:tr>
            <w:tr w14:paraId="77907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1E30A77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3</w:t>
                  </w:r>
                </w:p>
              </w:tc>
              <w:tc>
                <w:tcPr>
                  <w:tcW w:w="1044" w:type="pct"/>
                  <w:vAlign w:val="center"/>
                </w:tcPr>
                <w:p w14:paraId="5388F3DE">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0"/>
                      <w:sz w:val="21"/>
                      <w:lang w:eastAsia="zh-CN" w:bidi="ar"/>
                    </w:rPr>
                  </w:pPr>
                  <w:r>
                    <w:rPr>
                      <w:rFonts w:hint="eastAsia" w:eastAsia="仿宋_GB2312" w:cs="Times New Roman"/>
                      <w:color w:val="auto"/>
                      <w:kern w:val="0"/>
                      <w:sz w:val="21"/>
                      <w:lang w:val="en-US" w:eastAsia="zh-CN" w:bidi="ar"/>
                    </w:rPr>
                    <w:t>60%</w:t>
                  </w:r>
                  <w:r>
                    <w:rPr>
                      <w:rFonts w:hint="default" w:ascii="Times New Roman" w:hAnsi="Times New Roman" w:eastAsia="仿宋_GB2312" w:cs="Times New Roman"/>
                      <w:color w:val="auto"/>
                      <w:kern w:val="0"/>
                      <w:sz w:val="21"/>
                      <w:lang w:bidi="ar"/>
                    </w:rPr>
                    <w:t>葡萄糖</w:t>
                  </w:r>
                  <w:r>
                    <w:rPr>
                      <w:rFonts w:hint="eastAsia" w:eastAsia="仿宋_GB2312" w:cs="Times New Roman"/>
                      <w:color w:val="auto"/>
                      <w:kern w:val="0"/>
                      <w:sz w:val="21"/>
                      <w:lang w:eastAsia="zh-CN" w:bidi="ar"/>
                    </w:rPr>
                    <w:t>溶液</w:t>
                  </w:r>
                </w:p>
              </w:tc>
              <w:tc>
                <w:tcPr>
                  <w:tcW w:w="387" w:type="pct"/>
                  <w:vAlign w:val="center"/>
                </w:tcPr>
                <w:p w14:paraId="573A128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eastAsia" w:eastAsia="仿宋_GB2312" w:cs="Times New Roman"/>
                      <w:color w:val="auto"/>
                      <w:kern w:val="0"/>
                      <w:sz w:val="21"/>
                      <w:lang w:val="en-US" w:eastAsia="zh-CN" w:bidi="ar"/>
                    </w:rPr>
                    <w:t>60</w:t>
                  </w:r>
                  <w:r>
                    <w:rPr>
                      <w:rFonts w:hint="default" w:ascii="Times New Roman" w:hAnsi="Times New Roman" w:eastAsia="仿宋_GB2312" w:cs="Times New Roman"/>
                      <w:color w:val="auto"/>
                      <w:kern w:val="0"/>
                      <w:sz w:val="21"/>
                      <w:lang w:bidi="ar"/>
                    </w:rPr>
                    <w:t>%</w:t>
                  </w:r>
                </w:p>
              </w:tc>
              <w:tc>
                <w:tcPr>
                  <w:tcW w:w="391" w:type="pct"/>
                  <w:vAlign w:val="center"/>
                </w:tcPr>
                <w:p w14:paraId="4771D925">
                  <w:pPr>
                    <w:keepNext w:val="0"/>
                    <w:keepLines w:val="0"/>
                    <w:widowControl w:val="0"/>
                    <w:suppressLineNumbers w:val="0"/>
                    <w:spacing w:before="0" w:beforeAutospacing="0" w:after="0" w:afterAutospacing="0" w:line="240" w:lineRule="exact"/>
                    <w:ind w:left="0" w:right="0"/>
                    <w:jc w:val="center"/>
                    <w:rPr>
                      <w:rFonts w:hint="eastAsia" w:ascii="Times New Roman" w:hAnsi="Times New Roman" w:eastAsia="仿宋_GB2312" w:cs="Times New Roman"/>
                      <w:color w:val="auto"/>
                      <w:kern w:val="0"/>
                      <w:sz w:val="21"/>
                      <w:lang w:eastAsia="zh-CN" w:bidi="ar"/>
                    </w:rPr>
                  </w:pPr>
                  <w:r>
                    <w:rPr>
                      <w:rFonts w:hint="default" w:ascii="Times New Roman" w:hAnsi="Times New Roman" w:eastAsia="仿宋_GB2312" w:cs="Times New Roman"/>
                      <w:color w:val="auto"/>
                      <w:kern w:val="0"/>
                      <w:sz w:val="21"/>
                      <w:lang w:bidi="ar"/>
                    </w:rPr>
                    <w:t>液态</w:t>
                  </w:r>
                </w:p>
              </w:tc>
              <w:tc>
                <w:tcPr>
                  <w:tcW w:w="570" w:type="pct"/>
                  <w:vAlign w:val="center"/>
                </w:tcPr>
                <w:p w14:paraId="2C79DD1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val="en-US" w:eastAsia="zh-CN" w:bidi="ar"/>
                    </w:rPr>
                  </w:pPr>
                  <w:r>
                    <w:rPr>
                      <w:rFonts w:hint="eastAsia" w:eastAsia="仿宋_GB2312" w:cs="Times New Roman"/>
                      <w:color w:val="auto"/>
                      <w:kern w:val="0"/>
                      <w:sz w:val="21"/>
                      <w:lang w:val="en-US" w:eastAsia="zh-CN" w:bidi="ar"/>
                    </w:rPr>
                    <w:t>4.2456</w:t>
                  </w:r>
                </w:p>
              </w:tc>
              <w:tc>
                <w:tcPr>
                  <w:tcW w:w="513" w:type="pct"/>
                  <w:vAlign w:val="center"/>
                </w:tcPr>
                <w:p w14:paraId="1497E77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val="en-US" w:eastAsia="zh-CN" w:bidi="ar"/>
                    </w:rPr>
                  </w:pPr>
                  <w:r>
                    <w:rPr>
                      <w:rFonts w:hint="eastAsia" w:eastAsia="仿宋_GB2312" w:cs="Times New Roman"/>
                      <w:color w:val="auto"/>
                      <w:kern w:val="0"/>
                      <w:sz w:val="21"/>
                      <w:lang w:val="en-US" w:eastAsia="zh-CN" w:bidi="ar"/>
                    </w:rPr>
                    <w:t>2.1228</w:t>
                  </w:r>
                </w:p>
              </w:tc>
              <w:tc>
                <w:tcPr>
                  <w:tcW w:w="783" w:type="pct"/>
                  <w:vAlign w:val="center"/>
                </w:tcPr>
                <w:p w14:paraId="7AC79D5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桶装，25 kg</w:t>
                  </w:r>
                </w:p>
              </w:tc>
              <w:tc>
                <w:tcPr>
                  <w:tcW w:w="428" w:type="pct"/>
                  <w:vMerge w:val="continue"/>
                  <w:vAlign w:val="center"/>
                </w:tcPr>
                <w:p w14:paraId="0DF1704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3393AD1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7CDB2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33A12D8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w:t>
                  </w:r>
                </w:p>
              </w:tc>
              <w:tc>
                <w:tcPr>
                  <w:tcW w:w="1044" w:type="pct"/>
                  <w:vAlign w:val="center"/>
                </w:tcPr>
                <w:p w14:paraId="6E254A5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酵母粉（主要成分：氨基酸、维生素、微量元素如Fe</w:t>
                  </w:r>
                  <w:r>
                    <w:rPr>
                      <w:rFonts w:hint="default" w:ascii="Times New Roman" w:hAnsi="Times New Roman" w:eastAsia="仿宋_GB2312" w:cs="Times New Roman"/>
                      <w:color w:val="auto"/>
                      <w:kern w:val="0"/>
                      <w:sz w:val="21"/>
                      <w:vertAlign w:val="superscript"/>
                      <w:lang w:bidi="ar"/>
                    </w:rPr>
                    <w:t>2+</w:t>
                  </w:r>
                  <w:r>
                    <w:rPr>
                      <w:rFonts w:hint="default" w:ascii="Times New Roman" w:hAnsi="Times New Roman" w:eastAsia="仿宋_GB2312" w:cs="Times New Roman"/>
                      <w:color w:val="auto"/>
                      <w:kern w:val="0"/>
                      <w:sz w:val="21"/>
                      <w:lang w:bidi="ar"/>
                    </w:rPr>
                    <w:t>等）</w:t>
                  </w:r>
                </w:p>
              </w:tc>
              <w:tc>
                <w:tcPr>
                  <w:tcW w:w="387" w:type="pct"/>
                  <w:vAlign w:val="center"/>
                </w:tcPr>
                <w:p w14:paraId="0A83A70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49F4394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粉状</w:t>
                  </w:r>
                </w:p>
              </w:tc>
              <w:tc>
                <w:tcPr>
                  <w:tcW w:w="570" w:type="pct"/>
                  <w:vAlign w:val="center"/>
                </w:tcPr>
                <w:p w14:paraId="21F3873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0.3672</w:t>
                  </w:r>
                </w:p>
              </w:tc>
              <w:tc>
                <w:tcPr>
                  <w:tcW w:w="513" w:type="pct"/>
                  <w:vAlign w:val="center"/>
                </w:tcPr>
                <w:p w14:paraId="7AF9FC8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0.1836</w:t>
                  </w:r>
                </w:p>
              </w:tc>
              <w:tc>
                <w:tcPr>
                  <w:tcW w:w="783" w:type="pct"/>
                  <w:vAlign w:val="center"/>
                </w:tcPr>
                <w:p w14:paraId="5AE16AB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桶装，25 kg</w:t>
                  </w:r>
                </w:p>
              </w:tc>
              <w:tc>
                <w:tcPr>
                  <w:tcW w:w="428" w:type="pct"/>
                  <w:vMerge w:val="continue"/>
                  <w:vAlign w:val="center"/>
                </w:tcPr>
                <w:p w14:paraId="6099737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00F1327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6B575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6D1043B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w:t>
                  </w:r>
                </w:p>
              </w:tc>
              <w:tc>
                <w:tcPr>
                  <w:tcW w:w="1044" w:type="pct"/>
                  <w:vAlign w:val="center"/>
                </w:tcPr>
                <w:p w14:paraId="2B05446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蛋白胨</w:t>
                  </w:r>
                </w:p>
              </w:tc>
              <w:tc>
                <w:tcPr>
                  <w:tcW w:w="387" w:type="pct"/>
                  <w:vAlign w:val="center"/>
                </w:tcPr>
                <w:p w14:paraId="2BFDA79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49F69F2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粉状</w:t>
                  </w:r>
                </w:p>
              </w:tc>
              <w:tc>
                <w:tcPr>
                  <w:tcW w:w="570" w:type="pct"/>
                  <w:vAlign w:val="center"/>
                </w:tcPr>
                <w:p w14:paraId="487DA99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0.2576</w:t>
                  </w:r>
                </w:p>
              </w:tc>
              <w:tc>
                <w:tcPr>
                  <w:tcW w:w="513" w:type="pct"/>
                  <w:vAlign w:val="center"/>
                </w:tcPr>
                <w:p w14:paraId="5030069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0.1288</w:t>
                  </w:r>
                </w:p>
              </w:tc>
              <w:tc>
                <w:tcPr>
                  <w:tcW w:w="783" w:type="pct"/>
                  <w:vAlign w:val="center"/>
                </w:tcPr>
                <w:p w14:paraId="74FDB13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桶装，25 kg</w:t>
                  </w:r>
                </w:p>
              </w:tc>
              <w:tc>
                <w:tcPr>
                  <w:tcW w:w="428" w:type="pct"/>
                  <w:vMerge w:val="continue"/>
                  <w:vAlign w:val="center"/>
                </w:tcPr>
                <w:p w14:paraId="438E3F6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4F1637E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4800F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6713E1D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6</w:t>
                  </w:r>
                </w:p>
              </w:tc>
              <w:tc>
                <w:tcPr>
                  <w:tcW w:w="1044" w:type="pct"/>
                  <w:vAlign w:val="center"/>
                </w:tcPr>
                <w:p w14:paraId="7709EC6D">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L-苯丙氨酸</w:t>
                  </w:r>
                </w:p>
              </w:tc>
              <w:tc>
                <w:tcPr>
                  <w:tcW w:w="387" w:type="pct"/>
                  <w:vAlign w:val="center"/>
                </w:tcPr>
                <w:p w14:paraId="7C0C74A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20C19EE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晶体</w:t>
                  </w:r>
                </w:p>
              </w:tc>
              <w:tc>
                <w:tcPr>
                  <w:tcW w:w="570" w:type="pct"/>
                  <w:vAlign w:val="center"/>
                </w:tcPr>
                <w:p w14:paraId="75CF963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0.5152</w:t>
                  </w:r>
                </w:p>
              </w:tc>
              <w:tc>
                <w:tcPr>
                  <w:tcW w:w="513" w:type="pct"/>
                  <w:vAlign w:val="center"/>
                </w:tcPr>
                <w:p w14:paraId="66C0187B">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0.2576</w:t>
                  </w:r>
                </w:p>
              </w:tc>
              <w:tc>
                <w:tcPr>
                  <w:tcW w:w="783" w:type="pct"/>
                  <w:vAlign w:val="center"/>
                </w:tcPr>
                <w:p w14:paraId="43F3B8E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桶装，25 kg</w:t>
                  </w:r>
                </w:p>
              </w:tc>
              <w:tc>
                <w:tcPr>
                  <w:tcW w:w="428" w:type="pct"/>
                  <w:vMerge w:val="continue"/>
                  <w:vAlign w:val="center"/>
                </w:tcPr>
                <w:p w14:paraId="5E50F57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470214A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3E80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512CBAC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7</w:t>
                  </w:r>
                </w:p>
              </w:tc>
              <w:tc>
                <w:tcPr>
                  <w:tcW w:w="1044" w:type="pct"/>
                  <w:vAlign w:val="center"/>
                </w:tcPr>
                <w:p w14:paraId="7899E49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柚皮素</w:t>
                  </w:r>
                </w:p>
              </w:tc>
              <w:tc>
                <w:tcPr>
                  <w:tcW w:w="387" w:type="pct"/>
                  <w:vAlign w:val="center"/>
                </w:tcPr>
                <w:p w14:paraId="1B1D86F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5A08A1A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粉状</w:t>
                  </w:r>
                </w:p>
              </w:tc>
              <w:tc>
                <w:tcPr>
                  <w:tcW w:w="570" w:type="pct"/>
                  <w:vAlign w:val="center"/>
                </w:tcPr>
                <w:p w14:paraId="7D447F2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1.272</w:t>
                  </w:r>
                </w:p>
              </w:tc>
              <w:tc>
                <w:tcPr>
                  <w:tcW w:w="513" w:type="pct"/>
                  <w:vAlign w:val="center"/>
                </w:tcPr>
                <w:p w14:paraId="1F94ED3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0.636</w:t>
                  </w:r>
                </w:p>
              </w:tc>
              <w:tc>
                <w:tcPr>
                  <w:tcW w:w="783" w:type="pct"/>
                  <w:vAlign w:val="center"/>
                </w:tcPr>
                <w:p w14:paraId="2F5281B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桶装，25 kg</w:t>
                  </w:r>
                </w:p>
              </w:tc>
              <w:tc>
                <w:tcPr>
                  <w:tcW w:w="428" w:type="pct"/>
                  <w:vMerge w:val="continue"/>
                  <w:vAlign w:val="center"/>
                </w:tcPr>
                <w:p w14:paraId="663E303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6F4290D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63AC7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9" w:type="pct"/>
                  <w:vAlign w:val="center"/>
                </w:tcPr>
                <w:p w14:paraId="200B6B6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8</w:t>
                  </w:r>
                </w:p>
              </w:tc>
              <w:tc>
                <w:tcPr>
                  <w:tcW w:w="1044" w:type="pct"/>
                  <w:vAlign w:val="center"/>
                </w:tcPr>
                <w:p w14:paraId="7E04B45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磷酸氢二钾</w:t>
                  </w:r>
                </w:p>
              </w:tc>
              <w:tc>
                <w:tcPr>
                  <w:tcW w:w="387" w:type="pct"/>
                  <w:vAlign w:val="center"/>
                </w:tcPr>
                <w:p w14:paraId="58C585C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7DB6853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晶体</w:t>
                  </w:r>
                </w:p>
              </w:tc>
              <w:tc>
                <w:tcPr>
                  <w:tcW w:w="570" w:type="pct"/>
                  <w:vAlign w:val="center"/>
                </w:tcPr>
                <w:p w14:paraId="5169AD7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0.7728</w:t>
                  </w:r>
                </w:p>
              </w:tc>
              <w:tc>
                <w:tcPr>
                  <w:tcW w:w="513" w:type="pct"/>
                  <w:vAlign w:val="center"/>
                </w:tcPr>
                <w:p w14:paraId="0117D5D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0.3864</w:t>
                  </w:r>
                </w:p>
              </w:tc>
              <w:tc>
                <w:tcPr>
                  <w:tcW w:w="783" w:type="pct"/>
                  <w:vAlign w:val="center"/>
                </w:tcPr>
                <w:p w14:paraId="3A8B388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桶装，25 kg</w:t>
                  </w:r>
                </w:p>
              </w:tc>
              <w:tc>
                <w:tcPr>
                  <w:tcW w:w="428" w:type="pct"/>
                  <w:vMerge w:val="continue"/>
                  <w:vAlign w:val="center"/>
                </w:tcPr>
                <w:p w14:paraId="4128B59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55B9AF9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16238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6A529E3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w:t>
                  </w:r>
                </w:p>
              </w:tc>
              <w:tc>
                <w:tcPr>
                  <w:tcW w:w="1044" w:type="pct"/>
                  <w:vAlign w:val="center"/>
                </w:tcPr>
                <w:p w14:paraId="7A7F8C6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磷酸二氢钾</w:t>
                  </w:r>
                </w:p>
              </w:tc>
              <w:tc>
                <w:tcPr>
                  <w:tcW w:w="387" w:type="pct"/>
                  <w:vAlign w:val="center"/>
                </w:tcPr>
                <w:p w14:paraId="50DDF9D3">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7C694E4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晶体</w:t>
                  </w:r>
                </w:p>
              </w:tc>
              <w:tc>
                <w:tcPr>
                  <w:tcW w:w="570" w:type="pct"/>
                  <w:vAlign w:val="center"/>
                </w:tcPr>
                <w:p w14:paraId="4D736DB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0.3864</w:t>
                  </w:r>
                </w:p>
              </w:tc>
              <w:tc>
                <w:tcPr>
                  <w:tcW w:w="513" w:type="pct"/>
                  <w:vAlign w:val="center"/>
                </w:tcPr>
                <w:p w14:paraId="4ABA575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0.1932</w:t>
                  </w:r>
                </w:p>
              </w:tc>
              <w:tc>
                <w:tcPr>
                  <w:tcW w:w="783" w:type="pct"/>
                  <w:vAlign w:val="center"/>
                </w:tcPr>
                <w:p w14:paraId="47E23D62">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桶装，25 kg</w:t>
                  </w:r>
                </w:p>
              </w:tc>
              <w:tc>
                <w:tcPr>
                  <w:tcW w:w="428" w:type="pct"/>
                  <w:vMerge w:val="continue"/>
                  <w:vAlign w:val="center"/>
                </w:tcPr>
                <w:p w14:paraId="1EE73DE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4FB67CA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0539C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6FC09C8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w:t>
                  </w:r>
                </w:p>
              </w:tc>
              <w:tc>
                <w:tcPr>
                  <w:tcW w:w="1044" w:type="pct"/>
                  <w:vAlign w:val="center"/>
                </w:tcPr>
                <w:p w14:paraId="1BF204F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硫酸镁</w:t>
                  </w:r>
                </w:p>
              </w:tc>
              <w:tc>
                <w:tcPr>
                  <w:tcW w:w="387" w:type="pct"/>
                  <w:vAlign w:val="center"/>
                </w:tcPr>
                <w:p w14:paraId="1C0959E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6D207C19">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晶体</w:t>
                  </w:r>
                </w:p>
              </w:tc>
              <w:tc>
                <w:tcPr>
                  <w:tcW w:w="570" w:type="pct"/>
                  <w:vAlign w:val="center"/>
                </w:tcPr>
                <w:p w14:paraId="24D856A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0.1288</w:t>
                  </w:r>
                </w:p>
              </w:tc>
              <w:tc>
                <w:tcPr>
                  <w:tcW w:w="513" w:type="pct"/>
                  <w:vAlign w:val="center"/>
                </w:tcPr>
                <w:p w14:paraId="0DB3173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0.0644</w:t>
                  </w:r>
                </w:p>
              </w:tc>
              <w:tc>
                <w:tcPr>
                  <w:tcW w:w="783" w:type="pct"/>
                  <w:vAlign w:val="center"/>
                </w:tcPr>
                <w:p w14:paraId="6BDF0E8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桶装，5 kg</w:t>
                  </w:r>
                </w:p>
              </w:tc>
              <w:tc>
                <w:tcPr>
                  <w:tcW w:w="428" w:type="pct"/>
                  <w:vMerge w:val="continue"/>
                  <w:vAlign w:val="center"/>
                </w:tcPr>
                <w:p w14:paraId="780E943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1E37DD0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2844B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31D82E7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11</w:t>
                  </w:r>
                </w:p>
              </w:tc>
              <w:tc>
                <w:tcPr>
                  <w:tcW w:w="1044" w:type="pct"/>
                  <w:vAlign w:val="center"/>
                </w:tcPr>
                <w:p w14:paraId="173447B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消泡剂</w:t>
                  </w:r>
                </w:p>
              </w:tc>
              <w:tc>
                <w:tcPr>
                  <w:tcW w:w="387" w:type="pct"/>
                  <w:vAlign w:val="center"/>
                </w:tcPr>
                <w:p w14:paraId="2D40248C">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99%</w:t>
                  </w:r>
                </w:p>
              </w:tc>
              <w:tc>
                <w:tcPr>
                  <w:tcW w:w="391" w:type="pct"/>
                  <w:vAlign w:val="center"/>
                </w:tcPr>
                <w:p w14:paraId="75341BA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粉状</w:t>
                  </w:r>
                </w:p>
              </w:tc>
              <w:tc>
                <w:tcPr>
                  <w:tcW w:w="570" w:type="pct"/>
                  <w:vAlign w:val="center"/>
                </w:tcPr>
                <w:p w14:paraId="27FBF1F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0.0124</w:t>
                  </w:r>
                </w:p>
              </w:tc>
              <w:tc>
                <w:tcPr>
                  <w:tcW w:w="513" w:type="pct"/>
                  <w:vAlign w:val="center"/>
                </w:tcPr>
                <w:p w14:paraId="24375F8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0.0062</w:t>
                  </w:r>
                </w:p>
              </w:tc>
              <w:tc>
                <w:tcPr>
                  <w:tcW w:w="783" w:type="pct"/>
                  <w:vAlign w:val="center"/>
                </w:tcPr>
                <w:p w14:paraId="242EE83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桶装，5 kg</w:t>
                  </w:r>
                </w:p>
              </w:tc>
              <w:tc>
                <w:tcPr>
                  <w:tcW w:w="428" w:type="pct"/>
                  <w:vMerge w:val="continue"/>
                  <w:vAlign w:val="center"/>
                </w:tcPr>
                <w:p w14:paraId="1628CCF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Merge w:val="continue"/>
                  <w:vAlign w:val="center"/>
                </w:tcPr>
                <w:p w14:paraId="7C58C1C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r>
            <w:tr w14:paraId="3B39A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5AD5256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12</w:t>
                  </w:r>
                </w:p>
              </w:tc>
              <w:tc>
                <w:tcPr>
                  <w:tcW w:w="1044" w:type="pct"/>
                  <w:vAlign w:val="center"/>
                </w:tcPr>
                <w:p w14:paraId="37EA3407">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盐酸</w:t>
                  </w:r>
                </w:p>
              </w:tc>
              <w:tc>
                <w:tcPr>
                  <w:tcW w:w="387" w:type="pct"/>
                  <w:vAlign w:val="center"/>
                </w:tcPr>
                <w:p w14:paraId="675E4D64">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36%</w:t>
                  </w:r>
                </w:p>
              </w:tc>
              <w:tc>
                <w:tcPr>
                  <w:tcW w:w="391" w:type="pct"/>
                  <w:vAlign w:val="center"/>
                </w:tcPr>
                <w:p w14:paraId="6EBF39A5">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液体</w:t>
                  </w:r>
                </w:p>
              </w:tc>
              <w:tc>
                <w:tcPr>
                  <w:tcW w:w="570" w:type="pct"/>
                  <w:vAlign w:val="center"/>
                </w:tcPr>
                <w:p w14:paraId="265D39C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6.216</w:t>
                  </w:r>
                </w:p>
              </w:tc>
              <w:tc>
                <w:tcPr>
                  <w:tcW w:w="513" w:type="pct"/>
                  <w:vAlign w:val="center"/>
                </w:tcPr>
                <w:p w14:paraId="0FE1BE88">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3.108</w:t>
                  </w:r>
                </w:p>
              </w:tc>
              <w:tc>
                <w:tcPr>
                  <w:tcW w:w="783" w:type="pct"/>
                  <w:vAlign w:val="center"/>
                </w:tcPr>
                <w:p w14:paraId="7E4808A6">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瓶装，25kg</w:t>
                  </w:r>
                </w:p>
              </w:tc>
              <w:tc>
                <w:tcPr>
                  <w:tcW w:w="428" w:type="pct"/>
                  <w:vMerge w:val="continue"/>
                  <w:vAlign w:val="center"/>
                </w:tcPr>
                <w:p w14:paraId="7BF0FF1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p>
              </w:tc>
              <w:tc>
                <w:tcPr>
                  <w:tcW w:w="501" w:type="pct"/>
                  <w:vAlign w:val="center"/>
                </w:tcPr>
                <w:p w14:paraId="67ADFDA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危化品储藏间</w:t>
                  </w:r>
                </w:p>
              </w:tc>
            </w:tr>
            <w:tr w14:paraId="53EC4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9" w:type="pct"/>
                  <w:vAlign w:val="center"/>
                </w:tcPr>
                <w:p w14:paraId="0B54DE1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13</w:t>
                  </w:r>
                </w:p>
              </w:tc>
              <w:tc>
                <w:tcPr>
                  <w:tcW w:w="1044" w:type="pct"/>
                  <w:vAlign w:val="center"/>
                </w:tcPr>
                <w:p w14:paraId="652EE47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纯水</w:t>
                  </w:r>
                </w:p>
              </w:tc>
              <w:tc>
                <w:tcPr>
                  <w:tcW w:w="387" w:type="pct"/>
                  <w:vAlign w:val="center"/>
                </w:tcPr>
                <w:p w14:paraId="25ABDE2F">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w:t>
                  </w:r>
                </w:p>
              </w:tc>
              <w:tc>
                <w:tcPr>
                  <w:tcW w:w="391" w:type="pct"/>
                  <w:vAlign w:val="center"/>
                </w:tcPr>
                <w:p w14:paraId="5EA6447A">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液体</w:t>
                  </w:r>
                </w:p>
              </w:tc>
              <w:tc>
                <w:tcPr>
                  <w:tcW w:w="570" w:type="pct"/>
                  <w:vAlign w:val="center"/>
                </w:tcPr>
                <w:p w14:paraId="6FDF8DF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仿宋_GB2312" w:cs="Times New Roman"/>
                      <w:color w:val="auto"/>
                      <w:kern w:val="0"/>
                      <w:sz w:val="21"/>
                      <w:lang w:bidi="ar"/>
                    </w:rPr>
                    <w:t>46</w:t>
                  </w:r>
                  <w:r>
                    <w:rPr>
                      <w:rFonts w:hint="eastAsia" w:eastAsia="仿宋_GB2312" w:cs="Times New Roman"/>
                      <w:color w:val="auto"/>
                      <w:kern w:val="0"/>
                      <w:sz w:val="21"/>
                      <w:lang w:val="en-US" w:eastAsia="zh-CN" w:bidi="ar"/>
                    </w:rPr>
                    <w:t>2.16</w:t>
                  </w:r>
                </w:p>
              </w:tc>
              <w:tc>
                <w:tcPr>
                  <w:tcW w:w="513" w:type="pct"/>
                  <w:vAlign w:val="center"/>
                </w:tcPr>
                <w:p w14:paraId="6CC69AF1">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val="en-US" w:eastAsia="zh-CN" w:bidi="ar"/>
                    </w:rPr>
                  </w:pPr>
                  <w:r>
                    <w:rPr>
                      <w:rFonts w:hint="default" w:ascii="Times New Roman" w:hAnsi="Times New Roman" w:eastAsia="仿宋_GB2312" w:cs="Times New Roman"/>
                      <w:color w:val="auto"/>
                      <w:kern w:val="0"/>
                      <w:sz w:val="21"/>
                      <w:lang w:bidi="ar"/>
                    </w:rPr>
                    <w:t>231.</w:t>
                  </w:r>
                  <w:r>
                    <w:rPr>
                      <w:rFonts w:hint="eastAsia" w:eastAsia="仿宋_GB2312" w:cs="Times New Roman"/>
                      <w:color w:val="auto"/>
                      <w:kern w:val="0"/>
                      <w:sz w:val="21"/>
                      <w:lang w:val="en-US" w:eastAsia="zh-CN" w:bidi="ar"/>
                    </w:rPr>
                    <w:t>084</w:t>
                  </w:r>
                </w:p>
              </w:tc>
              <w:tc>
                <w:tcPr>
                  <w:tcW w:w="783" w:type="pct"/>
                  <w:vAlign w:val="center"/>
                </w:tcPr>
                <w:p w14:paraId="1DD85CDE">
                  <w:pPr>
                    <w:keepNext w:val="0"/>
                    <w:keepLines w:val="0"/>
                    <w:widowControl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w:t>
                  </w:r>
                </w:p>
              </w:tc>
              <w:tc>
                <w:tcPr>
                  <w:tcW w:w="428" w:type="pct"/>
                  <w:vAlign w:val="center"/>
                </w:tcPr>
                <w:p w14:paraId="1A63D23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自制</w:t>
                  </w:r>
                </w:p>
              </w:tc>
              <w:tc>
                <w:tcPr>
                  <w:tcW w:w="501" w:type="pct"/>
                  <w:vAlign w:val="center"/>
                </w:tcPr>
                <w:p w14:paraId="0383A5C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纯水间</w:t>
                  </w:r>
                </w:p>
              </w:tc>
            </w:tr>
            <w:bookmarkEnd w:id="17"/>
            <w:bookmarkEnd w:id="18"/>
          </w:tbl>
          <w:p w14:paraId="792AE1BC">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fldChar w:fldCharType="begin"/>
            </w:r>
            <w:r>
              <w:rPr>
                <w:rFonts w:hint="default" w:eastAsia="仿宋_GB2312"/>
                <w:b/>
                <w:color w:val="auto"/>
                <w:sz w:val="24"/>
                <w:lang w:val="zh-CN"/>
              </w:rPr>
              <w:instrText xml:space="preserve"> = 2 \* GB3 </w:instrText>
            </w:r>
            <w:r>
              <w:rPr>
                <w:rFonts w:hint="default" w:eastAsia="仿宋_GB2312"/>
                <w:b/>
                <w:color w:val="auto"/>
                <w:sz w:val="24"/>
                <w:lang w:val="zh-CN"/>
              </w:rPr>
              <w:fldChar w:fldCharType="separate"/>
            </w:r>
            <w:r>
              <w:rPr>
                <w:rFonts w:hint="default"/>
                <w:b/>
                <w:color w:val="auto"/>
                <w:sz w:val="24"/>
                <w:lang w:val="zh-CN"/>
              </w:rPr>
              <w:t>②</w:t>
            </w:r>
            <w:r>
              <w:rPr>
                <w:rFonts w:hint="default" w:eastAsia="仿宋_GB2312"/>
                <w:b/>
                <w:color w:val="auto"/>
                <w:sz w:val="24"/>
                <w:lang w:val="zh-CN"/>
              </w:rPr>
              <w:fldChar w:fldCharType="end"/>
            </w:r>
            <w:r>
              <w:rPr>
                <w:rFonts w:hint="default" w:eastAsia="仿宋_GB2312"/>
                <w:b/>
                <w:color w:val="auto"/>
                <w:sz w:val="24"/>
                <w:lang w:val="zh-CN"/>
              </w:rPr>
              <w:t>物料平衡</w:t>
            </w:r>
          </w:p>
          <w:p w14:paraId="7F54F20C">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lang w:val="zh-CN"/>
              </w:rPr>
            </w:pPr>
            <w:r>
              <w:rPr>
                <w:rFonts w:hint="default" w:eastAsia="仿宋_GB2312"/>
                <w:color w:val="auto"/>
                <w:sz w:val="24"/>
                <w:lang w:val="zh-CN"/>
              </w:rPr>
              <w:t>保健食品粉（二氢槲皮素）生产物料平衡表见下表。</w:t>
            </w:r>
          </w:p>
          <w:p w14:paraId="6D5FEE0A">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表2-1</w:t>
            </w:r>
            <w:r>
              <w:rPr>
                <w:rFonts w:hint="eastAsia" w:eastAsia="仿宋_GB2312"/>
                <w:b/>
                <w:color w:val="auto"/>
                <w:sz w:val="22"/>
                <w:szCs w:val="22"/>
                <w:lang w:val="en-US" w:eastAsia="zh-CN"/>
              </w:rPr>
              <w:t>9</w:t>
            </w:r>
            <w:r>
              <w:rPr>
                <w:rFonts w:hint="default" w:eastAsia="仿宋_GB2312"/>
                <w:b/>
                <w:color w:val="auto"/>
                <w:sz w:val="22"/>
                <w:szCs w:val="22"/>
              </w:rPr>
              <w:t xml:space="preserve">  本项目保健食品粉（二氢槲皮素）生产物料平衡表（单位：kg/批次）</w:t>
            </w:r>
          </w:p>
          <w:tbl>
            <w:tblPr>
              <w:tblStyle w:val="88"/>
              <w:tblW w:w="8302"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1344"/>
              <w:gridCol w:w="787"/>
              <w:gridCol w:w="769"/>
              <w:gridCol w:w="740"/>
              <w:gridCol w:w="741"/>
              <w:gridCol w:w="834"/>
              <w:gridCol w:w="835"/>
              <w:gridCol w:w="665"/>
              <w:gridCol w:w="665"/>
            </w:tblGrid>
            <w:tr w14:paraId="472A20A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03" w:hRule="atLeast"/>
              </w:trPr>
              <w:tc>
                <w:tcPr>
                  <w:tcW w:w="2266" w:type="dxa"/>
                  <w:gridSpan w:val="2"/>
                  <w:vMerge w:val="restart"/>
                  <w:vAlign w:val="center"/>
                </w:tcPr>
                <w:p w14:paraId="200A6DE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入方</w:t>
                  </w:r>
                </w:p>
              </w:tc>
              <w:tc>
                <w:tcPr>
                  <w:tcW w:w="6036" w:type="dxa"/>
                  <w:gridSpan w:val="8"/>
                  <w:vAlign w:val="center"/>
                </w:tcPr>
                <w:p w14:paraId="1339A3A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出方</w:t>
                  </w:r>
                </w:p>
              </w:tc>
            </w:tr>
            <w:tr w14:paraId="224819C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266" w:type="dxa"/>
                  <w:gridSpan w:val="2"/>
                  <w:vMerge w:val="continue"/>
                  <w:vAlign w:val="top"/>
                </w:tcPr>
                <w:p w14:paraId="0382D8D7">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bCs/>
                      <w:color w:val="auto"/>
                      <w:sz w:val="21"/>
                    </w:rPr>
                  </w:pPr>
                </w:p>
              </w:tc>
              <w:tc>
                <w:tcPr>
                  <w:tcW w:w="1556" w:type="dxa"/>
                  <w:gridSpan w:val="2"/>
                  <w:vAlign w:val="center"/>
                </w:tcPr>
                <w:p w14:paraId="148453C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产品</w:t>
                  </w:r>
                </w:p>
              </w:tc>
              <w:tc>
                <w:tcPr>
                  <w:tcW w:w="1481" w:type="dxa"/>
                  <w:gridSpan w:val="2"/>
                  <w:vAlign w:val="center"/>
                </w:tcPr>
                <w:p w14:paraId="506F962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废气</w:t>
                  </w:r>
                </w:p>
              </w:tc>
              <w:tc>
                <w:tcPr>
                  <w:tcW w:w="1669" w:type="dxa"/>
                  <w:gridSpan w:val="2"/>
                  <w:vAlign w:val="center"/>
                </w:tcPr>
                <w:p w14:paraId="471347F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废水</w:t>
                  </w:r>
                </w:p>
              </w:tc>
              <w:tc>
                <w:tcPr>
                  <w:tcW w:w="1330" w:type="dxa"/>
                  <w:gridSpan w:val="2"/>
                  <w:vAlign w:val="center"/>
                </w:tcPr>
                <w:p w14:paraId="780463C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固废</w:t>
                  </w:r>
                </w:p>
              </w:tc>
            </w:tr>
            <w:tr w14:paraId="7726797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2266" w:type="dxa"/>
                  <w:gridSpan w:val="2"/>
                  <w:vAlign w:val="top"/>
                </w:tcPr>
                <w:p w14:paraId="13CFF7EA">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eastAsia" w:eastAsia="仿宋_GB2312" w:cs="Times New Roman"/>
                      <w:b w:val="0"/>
                      <w:bCs/>
                      <w:color w:val="auto"/>
                      <w:sz w:val="21"/>
                      <w:lang w:val="en-US" w:eastAsia="zh-CN"/>
                    </w:rPr>
                    <w:t>60%</w:t>
                  </w:r>
                  <w:r>
                    <w:rPr>
                      <w:rFonts w:hint="default" w:ascii="Times New Roman" w:hAnsi="Times New Roman" w:eastAsia="仿宋_GB2312" w:cs="Times New Roman"/>
                      <w:b w:val="0"/>
                      <w:bCs/>
                      <w:color w:val="auto"/>
                      <w:sz w:val="21"/>
                    </w:rPr>
                    <w:t>葡萄糖</w:t>
                  </w:r>
                  <w:r>
                    <w:rPr>
                      <w:rFonts w:hint="eastAsia" w:eastAsia="仿宋_GB2312" w:cs="Times New Roman"/>
                      <w:b w:val="0"/>
                      <w:bCs/>
                      <w:color w:val="auto"/>
                      <w:sz w:val="21"/>
                      <w:lang w:eastAsia="zh-CN"/>
                    </w:rPr>
                    <w:t>溶液</w:t>
                  </w:r>
                  <w:r>
                    <w:rPr>
                      <w:rFonts w:hint="eastAsia" w:eastAsia="仿宋_GB2312" w:cs="Times New Roman"/>
                      <w:b w:val="0"/>
                      <w:bCs/>
                      <w:color w:val="auto"/>
                      <w:sz w:val="21"/>
                      <w:lang w:val="en-US" w:eastAsia="zh-CN"/>
                    </w:rPr>
                    <w:t>26.535</w:t>
                  </w:r>
                </w:p>
                <w:p w14:paraId="1AB088EF">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酵母粉2.295</w:t>
                  </w:r>
                </w:p>
                <w:p w14:paraId="64B7F78B">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蛋白胨1.61</w:t>
                  </w:r>
                </w:p>
                <w:p w14:paraId="2940D60D">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L-苯丙氨酸3.22</w:t>
                  </w:r>
                </w:p>
                <w:p w14:paraId="3329BF64">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柚皮素7.95</w:t>
                  </w:r>
                </w:p>
                <w:p w14:paraId="11CA1E4F">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磷酸氢二钾4.83</w:t>
                  </w:r>
                </w:p>
                <w:p w14:paraId="73A046C0">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种子液0.5</w:t>
                  </w:r>
                </w:p>
                <w:p w14:paraId="0D4B6A52">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磷酸二氢钾2.404</w:t>
                  </w:r>
                </w:p>
                <w:p w14:paraId="56975CF4">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硫酸镁0.805</w:t>
                  </w:r>
                </w:p>
                <w:p w14:paraId="4A16FA09">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36%盐酸38.85</w:t>
                  </w:r>
                </w:p>
                <w:p w14:paraId="370D9647">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氢氧化钠9.666</w:t>
                  </w:r>
                </w:p>
                <w:p w14:paraId="7D2C38A0">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消泡剂0.0775</w:t>
                  </w:r>
                </w:p>
                <w:p w14:paraId="78BDE928">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lang w:val="en-US" w:eastAsia="zh-CN"/>
                    </w:rPr>
                  </w:pPr>
                  <w:r>
                    <w:rPr>
                      <w:rFonts w:hint="default" w:ascii="Times New Roman" w:hAnsi="Times New Roman" w:eastAsia="仿宋_GB2312" w:cs="Times New Roman"/>
                      <w:b w:val="0"/>
                      <w:bCs/>
                      <w:color w:val="auto"/>
                      <w:sz w:val="21"/>
                    </w:rPr>
                    <w:t>纯水</w:t>
                  </w:r>
                  <w:r>
                    <w:rPr>
                      <w:rFonts w:hint="eastAsia" w:eastAsia="仿宋_GB2312" w:cs="Times New Roman"/>
                      <w:b w:val="0"/>
                      <w:bCs/>
                      <w:color w:val="auto"/>
                      <w:sz w:val="21"/>
                      <w:lang w:val="en-US" w:eastAsia="zh-CN"/>
                    </w:rPr>
                    <w:t>2888.55</w:t>
                  </w:r>
                </w:p>
                <w:p w14:paraId="40F7A64C">
                  <w:pPr>
                    <w:keepNext w:val="0"/>
                    <w:keepLines w:val="0"/>
                    <w:widowControl w:val="0"/>
                    <w:suppressLineNumbers w:val="0"/>
                    <w:spacing w:before="0" w:beforeAutospacing="0" w:after="0" w:afterAutospacing="0" w:line="240" w:lineRule="exact"/>
                    <w:ind w:left="0" w:right="0"/>
                    <w:jc w:val="left"/>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灭菌空气303.7257</w:t>
                  </w:r>
                </w:p>
              </w:tc>
              <w:tc>
                <w:tcPr>
                  <w:tcW w:w="787" w:type="dxa"/>
                  <w:vAlign w:val="top"/>
                </w:tcPr>
                <w:p w14:paraId="4B265EA3">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保健食品粉二氢槲皮素</w:t>
                  </w:r>
                </w:p>
              </w:tc>
              <w:tc>
                <w:tcPr>
                  <w:tcW w:w="769" w:type="dxa"/>
                  <w:vAlign w:val="top"/>
                </w:tcPr>
                <w:p w14:paraId="679E3C99">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6.25</w:t>
                  </w:r>
                </w:p>
              </w:tc>
              <w:tc>
                <w:tcPr>
                  <w:tcW w:w="1481" w:type="dxa"/>
                  <w:gridSpan w:val="2"/>
                  <w:vAlign w:val="top"/>
                </w:tcPr>
                <w:p w14:paraId="016C5CAA">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G2-1</w:t>
                  </w:r>
                  <w:r>
                    <w:rPr>
                      <w:rFonts w:hint="default" w:ascii="Times New Roman" w:hAnsi="Times New Roman" w:eastAsia="仿宋_GB2312" w:cs="Times New Roman"/>
                      <w:b w:val="0"/>
                      <w:bCs/>
                      <w:color w:val="auto"/>
                      <w:sz w:val="21"/>
                      <w:lang w:val="en-US" w:eastAsia="zh-CN"/>
                    </w:rPr>
                    <w:t xml:space="preserve"> </w:t>
                  </w:r>
                  <w:r>
                    <w:rPr>
                      <w:rFonts w:hint="default" w:ascii="Times New Roman" w:hAnsi="Times New Roman" w:eastAsia="仿宋_GB2312" w:cs="Times New Roman"/>
                      <w:b w:val="0"/>
                      <w:bCs/>
                      <w:color w:val="auto"/>
                      <w:sz w:val="21"/>
                    </w:rPr>
                    <w:t>1.1801</w:t>
                  </w:r>
                </w:p>
                <w:p w14:paraId="0D0B85C6">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G2-2</w:t>
                  </w:r>
                  <w:r>
                    <w:rPr>
                      <w:rFonts w:hint="default" w:ascii="Times New Roman" w:hAnsi="Times New Roman" w:eastAsia="仿宋_GB2312" w:cs="Times New Roman"/>
                      <w:b w:val="0"/>
                      <w:bCs/>
                      <w:color w:val="auto"/>
                      <w:sz w:val="21"/>
                      <w:lang w:val="en-US" w:eastAsia="zh-CN"/>
                    </w:rPr>
                    <w:t xml:space="preserve"> </w:t>
                  </w:r>
                  <w:r>
                    <w:rPr>
                      <w:rFonts w:hint="default" w:ascii="Times New Roman" w:hAnsi="Times New Roman" w:eastAsia="仿宋_GB2312" w:cs="Times New Roman"/>
                      <w:b w:val="0"/>
                      <w:bCs/>
                      <w:color w:val="auto"/>
                      <w:sz w:val="21"/>
                    </w:rPr>
                    <w:t>11.794</w:t>
                  </w:r>
                </w:p>
                <w:p w14:paraId="68D450F9">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G2-3</w:t>
                  </w:r>
                  <w:r>
                    <w:rPr>
                      <w:rFonts w:hint="default" w:ascii="Times New Roman" w:hAnsi="Times New Roman" w:eastAsia="仿宋_GB2312" w:cs="Times New Roman"/>
                      <w:b w:val="0"/>
                      <w:bCs/>
                      <w:color w:val="auto"/>
                      <w:sz w:val="21"/>
                      <w:lang w:val="en-US" w:eastAsia="zh-CN"/>
                    </w:rPr>
                    <w:t xml:space="preserve"> </w:t>
                  </w:r>
                  <w:r>
                    <w:rPr>
                      <w:rFonts w:hint="default" w:ascii="Times New Roman" w:hAnsi="Times New Roman" w:eastAsia="仿宋_GB2312" w:cs="Times New Roman"/>
                      <w:b w:val="0"/>
                      <w:bCs/>
                      <w:color w:val="auto"/>
                      <w:sz w:val="21"/>
                    </w:rPr>
                    <w:t>293.828</w:t>
                  </w:r>
                </w:p>
                <w:p w14:paraId="284D5023">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G2-4</w:t>
                  </w:r>
                  <w:r>
                    <w:rPr>
                      <w:rFonts w:hint="default" w:ascii="Times New Roman" w:hAnsi="Times New Roman" w:eastAsia="仿宋_GB2312" w:cs="Times New Roman"/>
                      <w:b w:val="0"/>
                      <w:bCs/>
                      <w:color w:val="auto"/>
                      <w:sz w:val="21"/>
                      <w:lang w:val="en-US" w:eastAsia="zh-CN"/>
                    </w:rPr>
                    <w:t xml:space="preserve"> </w:t>
                  </w:r>
                  <w:r>
                    <w:rPr>
                      <w:rFonts w:hint="default" w:ascii="Times New Roman" w:hAnsi="Times New Roman" w:eastAsia="仿宋_GB2312" w:cs="Times New Roman"/>
                      <w:b w:val="0"/>
                      <w:bCs/>
                      <w:color w:val="auto"/>
                      <w:sz w:val="21"/>
                    </w:rPr>
                    <w:t>2.88</w:t>
                  </w:r>
                </w:p>
                <w:p w14:paraId="22176811">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G2-5</w:t>
                  </w:r>
                  <w:r>
                    <w:rPr>
                      <w:rFonts w:hint="default" w:ascii="Times New Roman" w:hAnsi="Times New Roman" w:eastAsia="仿宋_GB2312" w:cs="Times New Roman"/>
                      <w:b w:val="0"/>
                      <w:bCs/>
                      <w:color w:val="auto"/>
                      <w:sz w:val="21"/>
                      <w:lang w:val="en-US" w:eastAsia="zh-CN"/>
                    </w:rPr>
                    <w:t xml:space="preserve"> </w:t>
                  </w:r>
                  <w:r>
                    <w:rPr>
                      <w:rFonts w:hint="default" w:ascii="Times New Roman" w:hAnsi="Times New Roman" w:eastAsia="仿宋_GB2312" w:cs="Times New Roman"/>
                      <w:b w:val="0"/>
                      <w:bCs/>
                      <w:color w:val="auto"/>
                      <w:sz w:val="21"/>
                    </w:rPr>
                    <w:t>0.06</w:t>
                  </w:r>
                </w:p>
              </w:tc>
              <w:tc>
                <w:tcPr>
                  <w:tcW w:w="1669" w:type="dxa"/>
                  <w:gridSpan w:val="2"/>
                  <w:vAlign w:val="top"/>
                </w:tcPr>
                <w:p w14:paraId="6C28353D">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W2-1</w:t>
                  </w:r>
                  <w:r>
                    <w:rPr>
                      <w:rFonts w:hint="default" w:ascii="Times New Roman" w:hAnsi="Times New Roman" w:eastAsia="仿宋_GB2312" w:cs="Times New Roman"/>
                      <w:color w:val="auto"/>
                      <w:sz w:val="21"/>
                      <w:lang w:val="en-US" w:eastAsia="zh-CN"/>
                    </w:rPr>
                    <w:t xml:space="preserve"> </w:t>
                  </w:r>
                  <w:r>
                    <w:rPr>
                      <w:rFonts w:hint="default" w:ascii="Times New Roman" w:hAnsi="Times New Roman" w:eastAsia="仿宋_GB2312" w:cs="Times New Roman"/>
                      <w:color w:val="auto"/>
                      <w:sz w:val="21"/>
                    </w:rPr>
                    <w:t>148.4635</w:t>
                  </w:r>
                </w:p>
                <w:p w14:paraId="65E3DD9F">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W2-2</w:t>
                  </w:r>
                  <w:r>
                    <w:rPr>
                      <w:rFonts w:hint="default" w:ascii="Times New Roman" w:hAnsi="Times New Roman" w:eastAsia="仿宋_GB2312" w:cs="Times New Roman"/>
                      <w:color w:val="auto"/>
                      <w:sz w:val="21"/>
                      <w:lang w:val="en-US" w:eastAsia="zh-CN"/>
                    </w:rPr>
                    <w:t xml:space="preserve"> </w:t>
                  </w:r>
                  <w:r>
                    <w:rPr>
                      <w:rFonts w:hint="default" w:ascii="Times New Roman" w:hAnsi="Times New Roman" w:eastAsia="仿宋_GB2312" w:cs="Times New Roman"/>
                      <w:color w:val="auto"/>
                      <w:sz w:val="21"/>
                    </w:rPr>
                    <w:t>1314.377</w:t>
                  </w:r>
                </w:p>
                <w:p w14:paraId="11F7D792">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W2-3</w:t>
                  </w:r>
                  <w:r>
                    <w:rPr>
                      <w:rFonts w:hint="default" w:ascii="Times New Roman" w:hAnsi="Times New Roman" w:eastAsia="仿宋_GB2312" w:cs="Times New Roman"/>
                      <w:color w:val="auto"/>
                      <w:sz w:val="21"/>
                      <w:lang w:val="en-US" w:eastAsia="zh-CN"/>
                    </w:rPr>
                    <w:t xml:space="preserve"> </w:t>
                  </w:r>
                  <w:r>
                    <w:rPr>
                      <w:rFonts w:hint="default" w:ascii="Times New Roman" w:hAnsi="Times New Roman" w:eastAsia="仿宋_GB2312" w:cs="Times New Roman"/>
                      <w:color w:val="auto"/>
                      <w:sz w:val="21"/>
                    </w:rPr>
                    <w:t>350.001</w:t>
                  </w:r>
                </w:p>
                <w:p w14:paraId="5025D1F2">
                  <w:pPr>
                    <w:keepNext w:val="0"/>
                    <w:keepLines w:val="0"/>
                    <w:suppressLineNumbers w:val="0"/>
                    <w:spacing w:before="0" w:beforeAutospacing="0" w:after="0" w:afterAutospacing="0" w:line="240" w:lineRule="exact"/>
                    <w:ind w:left="0" w:right="0"/>
                    <w:jc w:val="both"/>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W2-4</w:t>
                  </w:r>
                  <w:r>
                    <w:rPr>
                      <w:rFonts w:hint="default" w:ascii="Times New Roman" w:hAnsi="Times New Roman" w:eastAsia="仿宋_GB2312" w:cs="Times New Roman"/>
                      <w:color w:val="auto"/>
                      <w:sz w:val="21"/>
                      <w:lang w:val="en-US" w:eastAsia="zh-CN"/>
                    </w:rPr>
                    <w:t xml:space="preserve"> </w:t>
                  </w:r>
                  <w:r>
                    <w:rPr>
                      <w:rFonts w:hint="default" w:ascii="Times New Roman" w:hAnsi="Times New Roman" w:eastAsia="仿宋_GB2312" w:cs="Times New Roman"/>
                      <w:color w:val="auto"/>
                      <w:sz w:val="21"/>
                    </w:rPr>
                    <w:t>921.617</w:t>
                  </w:r>
                </w:p>
                <w:p w14:paraId="4BE09B07">
                  <w:pPr>
                    <w:keepNext w:val="0"/>
                    <w:keepLines w:val="0"/>
                    <w:widowControl w:val="0"/>
                    <w:suppressLineNumbers w:val="0"/>
                    <w:spacing w:before="0" w:beforeAutospacing="0" w:after="0" w:afterAutospacing="0" w:line="240" w:lineRule="exact"/>
                    <w:ind w:left="0" w:right="0"/>
                    <w:jc w:val="both"/>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W2-5</w:t>
                  </w:r>
                  <w:r>
                    <w:rPr>
                      <w:rFonts w:hint="default" w:ascii="Times New Roman" w:hAnsi="Times New Roman" w:eastAsia="仿宋_GB2312" w:cs="Times New Roman"/>
                      <w:color w:val="auto"/>
                      <w:sz w:val="21"/>
                      <w:lang w:val="en-US" w:eastAsia="zh-CN"/>
                    </w:rPr>
                    <w:t xml:space="preserve"> </w:t>
                  </w:r>
                  <w:r>
                    <w:rPr>
                      <w:rFonts w:hint="default" w:ascii="Times New Roman" w:hAnsi="Times New Roman" w:eastAsia="仿宋_GB2312" w:cs="Times New Roman"/>
                      <w:color w:val="auto"/>
                      <w:sz w:val="21"/>
                    </w:rPr>
                    <w:t>104.66761</w:t>
                  </w:r>
                </w:p>
              </w:tc>
              <w:tc>
                <w:tcPr>
                  <w:tcW w:w="1330" w:type="dxa"/>
                  <w:gridSpan w:val="2"/>
                  <w:vAlign w:val="top"/>
                </w:tcPr>
                <w:p w14:paraId="324D3F84">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S2-1 135.9</w:t>
                  </w:r>
                </w:p>
              </w:tc>
            </w:tr>
            <w:tr w14:paraId="28966BB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922" w:type="dxa"/>
                  <w:vMerge w:val="restart"/>
                  <w:vAlign w:val="center"/>
                </w:tcPr>
                <w:p w14:paraId="1403840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kern w:val="0"/>
                      <w:sz w:val="21"/>
                    </w:rPr>
                    <w:t>合计</w:t>
                  </w:r>
                </w:p>
              </w:tc>
              <w:tc>
                <w:tcPr>
                  <w:tcW w:w="1344" w:type="dxa"/>
                  <w:vMerge w:val="restart"/>
                  <w:vAlign w:val="center"/>
                </w:tcPr>
                <w:p w14:paraId="64A9132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3291.0182</w:t>
                  </w:r>
                </w:p>
              </w:tc>
              <w:tc>
                <w:tcPr>
                  <w:tcW w:w="787" w:type="dxa"/>
                  <w:vAlign w:val="center"/>
                </w:tcPr>
                <w:p w14:paraId="00AC41B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小计</w:t>
                  </w:r>
                </w:p>
              </w:tc>
              <w:tc>
                <w:tcPr>
                  <w:tcW w:w="769" w:type="dxa"/>
                  <w:vAlign w:val="center"/>
                </w:tcPr>
                <w:p w14:paraId="00EFE7D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6.25</w:t>
                  </w:r>
                </w:p>
              </w:tc>
              <w:tc>
                <w:tcPr>
                  <w:tcW w:w="740" w:type="dxa"/>
                  <w:vAlign w:val="center"/>
                </w:tcPr>
                <w:p w14:paraId="36175C7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color w:val="auto"/>
                      <w:sz w:val="21"/>
                    </w:rPr>
                  </w:pPr>
                  <w:r>
                    <w:rPr>
                      <w:rFonts w:hint="default" w:ascii="Times New Roman" w:hAnsi="Times New Roman" w:eastAsia="仿宋_GB2312" w:cs="Times New Roman"/>
                      <w:b w:val="0"/>
                      <w:bCs/>
                      <w:color w:val="auto"/>
                      <w:sz w:val="21"/>
                    </w:rPr>
                    <w:t>小计</w:t>
                  </w:r>
                </w:p>
              </w:tc>
              <w:tc>
                <w:tcPr>
                  <w:tcW w:w="741" w:type="dxa"/>
                  <w:vAlign w:val="center"/>
                </w:tcPr>
                <w:p w14:paraId="73F3F50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329.7421</w:t>
                  </w:r>
                </w:p>
              </w:tc>
              <w:tc>
                <w:tcPr>
                  <w:tcW w:w="834" w:type="dxa"/>
                  <w:vAlign w:val="center"/>
                </w:tcPr>
                <w:p w14:paraId="1B321DC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小计</w:t>
                  </w:r>
                </w:p>
              </w:tc>
              <w:tc>
                <w:tcPr>
                  <w:tcW w:w="835" w:type="dxa"/>
                  <w:vAlign w:val="center"/>
                </w:tcPr>
                <w:p w14:paraId="6AE4F8A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2839.1261</w:t>
                  </w:r>
                </w:p>
              </w:tc>
              <w:tc>
                <w:tcPr>
                  <w:tcW w:w="665" w:type="dxa"/>
                  <w:vAlign w:val="center"/>
                </w:tcPr>
                <w:p w14:paraId="1189595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小计</w:t>
                  </w:r>
                </w:p>
              </w:tc>
              <w:tc>
                <w:tcPr>
                  <w:tcW w:w="665" w:type="dxa"/>
                  <w:vAlign w:val="center"/>
                </w:tcPr>
                <w:p w14:paraId="38797F0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135.9</w:t>
                  </w:r>
                </w:p>
              </w:tc>
            </w:tr>
            <w:tr w14:paraId="1CA503D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922" w:type="dxa"/>
                  <w:vMerge w:val="continue"/>
                  <w:vAlign w:val="top"/>
                </w:tcPr>
                <w:p w14:paraId="26DD504F">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Cs/>
                      <w:color w:val="auto"/>
                      <w:sz w:val="21"/>
                    </w:rPr>
                  </w:pPr>
                </w:p>
              </w:tc>
              <w:tc>
                <w:tcPr>
                  <w:tcW w:w="1344" w:type="dxa"/>
                  <w:vMerge w:val="continue"/>
                  <w:vAlign w:val="center"/>
                </w:tcPr>
                <w:p w14:paraId="092B493A">
                  <w:pPr>
                    <w:keepNext w:val="0"/>
                    <w:keepLines w:val="0"/>
                    <w:widowControl w:val="0"/>
                    <w:suppressLineNumbers w:val="0"/>
                    <w:spacing w:before="0" w:beforeAutospacing="0" w:after="0" w:afterAutospacing="0" w:line="320" w:lineRule="exact"/>
                    <w:ind w:left="0" w:right="0"/>
                    <w:jc w:val="both"/>
                    <w:rPr>
                      <w:rFonts w:hint="default" w:ascii="Times New Roman" w:hAnsi="Times New Roman" w:eastAsia="仿宋_GB2312" w:cs="Times New Roman"/>
                      <w:bCs/>
                      <w:color w:val="auto"/>
                      <w:sz w:val="21"/>
                    </w:rPr>
                  </w:pPr>
                </w:p>
              </w:tc>
              <w:tc>
                <w:tcPr>
                  <w:tcW w:w="787" w:type="dxa"/>
                  <w:vAlign w:val="center"/>
                </w:tcPr>
                <w:p w14:paraId="4CB38C1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合计</w:t>
                  </w:r>
                </w:p>
              </w:tc>
              <w:tc>
                <w:tcPr>
                  <w:tcW w:w="5249" w:type="dxa"/>
                  <w:gridSpan w:val="7"/>
                  <w:vAlign w:val="center"/>
                </w:tcPr>
                <w:p w14:paraId="3B950AA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3291.0182</w:t>
                  </w:r>
                </w:p>
              </w:tc>
            </w:tr>
          </w:tbl>
          <w:p w14:paraId="73C4C085">
            <w:pPr>
              <w:keepNext w:val="0"/>
              <w:keepLines w:val="0"/>
              <w:suppressLineNumbers w:val="0"/>
              <w:spacing w:before="0" w:beforeAutospacing="0" w:after="0" w:afterAutospacing="0" w:line="320" w:lineRule="exact"/>
              <w:ind w:left="0" w:right="0"/>
              <w:rPr>
                <w:rFonts w:hint="eastAsia" w:ascii="Times New Roman" w:hAnsi="Times New Roman" w:eastAsia="仿宋_GB2312" w:cs="Times New Roman"/>
                <w:color w:val="auto"/>
                <w:sz w:val="21"/>
                <w:lang w:val="en-US" w:eastAsia="zh-CN"/>
              </w:rPr>
            </w:pPr>
            <w:bookmarkStart w:id="19" w:name="OLE_LINK9"/>
            <w:bookmarkStart w:id="20" w:name="OLE_LINK10"/>
            <w:r>
              <w:rPr>
                <w:rFonts w:hint="default" w:ascii="Times New Roman" w:hAnsi="Times New Roman" w:eastAsia="仿宋_GB2312" w:cs="Times New Roman"/>
                <w:color w:val="auto"/>
                <w:sz w:val="21"/>
                <w:lang w:val="zh-CN"/>
              </w:rPr>
              <w:t>备注：1、种子液制备过程的原料消耗量极小，不计入物料平衡中。2、本项目盐酸计量、投料、配制过程产生的废气在公辅工程废气中统一核算不计入物料平衡。</w:t>
            </w:r>
            <w:r>
              <w:rPr>
                <w:rFonts w:hint="eastAsia" w:eastAsia="仿宋_GB2312" w:cs="Times New Roman"/>
                <w:color w:val="auto"/>
                <w:sz w:val="21"/>
                <w:lang w:val="en-US" w:eastAsia="zh-CN"/>
              </w:rPr>
              <w:t>3、保健食品粉生产线物料平衡数据，均是以上海光玥生物科技有限公司（母公司）研发试验数据（小试）为基础，同时结合本项目的产品产能和相关主要设备参数而得出</w:t>
            </w:r>
          </w:p>
          <w:bookmarkEnd w:id="19"/>
          <w:bookmarkEnd w:id="20"/>
          <w:p w14:paraId="6E5C64E4">
            <w:pPr>
              <w:pStyle w:val="3"/>
              <w:keepNext w:val="0"/>
              <w:keepLines w:val="0"/>
              <w:suppressLineNumbers w:val="0"/>
              <w:spacing w:before="0" w:beforeAutospacing="0" w:after="0" w:afterAutospacing="0"/>
              <w:ind w:right="0"/>
              <w:rPr>
                <w:rFonts w:hint="default" w:eastAsia="仿宋_GB2312"/>
                <w:b/>
                <w:color w:val="auto"/>
                <w:sz w:val="22"/>
                <w:szCs w:val="22"/>
              </w:rPr>
            </w:pPr>
          </w:p>
          <w:p w14:paraId="7EE6C973">
            <w:pPr>
              <w:pStyle w:val="3"/>
              <w:keepNext w:val="0"/>
              <w:keepLines w:val="0"/>
              <w:suppressLineNumbers w:val="0"/>
              <w:spacing w:before="0" w:beforeAutospacing="0" w:after="0" w:afterAutospacing="0"/>
              <w:ind w:right="0"/>
              <w:rPr>
                <w:rFonts w:hint="default" w:eastAsia="仿宋_GB2312"/>
                <w:b/>
                <w:color w:val="auto"/>
                <w:sz w:val="22"/>
                <w:szCs w:val="22"/>
              </w:rPr>
            </w:pPr>
          </w:p>
          <w:p w14:paraId="71F90549">
            <w:pPr>
              <w:pStyle w:val="3"/>
              <w:keepNext w:val="0"/>
              <w:keepLines w:val="0"/>
              <w:suppressLineNumbers w:val="0"/>
              <w:spacing w:before="0" w:beforeAutospacing="0" w:after="0" w:afterAutospacing="0"/>
              <w:ind w:right="0"/>
              <w:rPr>
                <w:rFonts w:hint="default" w:eastAsia="仿宋_GB2312"/>
                <w:b/>
                <w:color w:val="auto"/>
                <w:sz w:val="22"/>
                <w:szCs w:val="22"/>
              </w:rPr>
            </w:pPr>
          </w:p>
          <w:p w14:paraId="1CCEF6AE">
            <w:pPr>
              <w:pStyle w:val="3"/>
              <w:keepNext w:val="0"/>
              <w:keepLines w:val="0"/>
              <w:suppressLineNumbers w:val="0"/>
              <w:spacing w:before="0" w:beforeAutospacing="0" w:after="0" w:afterAutospacing="0"/>
              <w:ind w:right="0"/>
              <w:rPr>
                <w:rFonts w:hint="default" w:eastAsia="仿宋_GB2312"/>
                <w:b/>
                <w:color w:val="auto"/>
                <w:sz w:val="22"/>
                <w:szCs w:val="22"/>
              </w:rPr>
            </w:pPr>
          </w:p>
          <w:p w14:paraId="5FB61B2D">
            <w:pPr>
              <w:pStyle w:val="3"/>
              <w:keepNext w:val="0"/>
              <w:keepLines w:val="0"/>
              <w:suppressLineNumbers w:val="0"/>
              <w:spacing w:before="0" w:beforeAutospacing="0" w:after="0" w:afterAutospacing="0"/>
              <w:ind w:right="0"/>
              <w:rPr>
                <w:rFonts w:hint="default" w:eastAsia="仿宋_GB2312"/>
                <w:b/>
                <w:color w:val="auto"/>
                <w:sz w:val="22"/>
                <w:szCs w:val="22"/>
              </w:rPr>
            </w:pPr>
          </w:p>
          <w:p w14:paraId="1E8F9C8F">
            <w:pPr>
              <w:pStyle w:val="3"/>
              <w:keepNext w:val="0"/>
              <w:keepLines w:val="0"/>
              <w:suppressLineNumbers w:val="0"/>
              <w:spacing w:before="0" w:beforeAutospacing="0" w:after="0" w:afterAutospacing="0"/>
              <w:ind w:right="0"/>
              <w:rPr>
                <w:rFonts w:hint="default" w:eastAsia="仿宋_GB2312"/>
                <w:b/>
                <w:color w:val="auto"/>
                <w:sz w:val="22"/>
                <w:szCs w:val="22"/>
              </w:rPr>
            </w:pPr>
          </w:p>
          <w:p w14:paraId="73D7848A">
            <w:pPr>
              <w:pStyle w:val="3"/>
              <w:keepNext w:val="0"/>
              <w:keepLines w:val="0"/>
              <w:suppressLineNumbers w:val="0"/>
              <w:spacing w:before="0" w:beforeAutospacing="0" w:after="0" w:afterAutospacing="0"/>
              <w:ind w:right="0"/>
              <w:rPr>
                <w:rFonts w:hint="default" w:eastAsia="仿宋_GB2312"/>
                <w:b/>
                <w:color w:val="auto"/>
                <w:sz w:val="22"/>
                <w:szCs w:val="22"/>
              </w:rPr>
            </w:pPr>
          </w:p>
          <w:p w14:paraId="16642F0F">
            <w:pPr>
              <w:pStyle w:val="3"/>
              <w:keepNext w:val="0"/>
              <w:keepLines w:val="0"/>
              <w:suppressLineNumbers w:val="0"/>
              <w:spacing w:before="0" w:beforeAutospacing="0" w:after="0" w:afterAutospacing="0"/>
              <w:ind w:right="0"/>
              <w:rPr>
                <w:rFonts w:hint="default" w:eastAsia="仿宋_GB2312"/>
                <w:b/>
                <w:color w:val="auto"/>
                <w:sz w:val="22"/>
                <w:szCs w:val="22"/>
              </w:rPr>
            </w:pPr>
          </w:p>
          <w:p w14:paraId="5095143C">
            <w:pPr>
              <w:pStyle w:val="3"/>
              <w:keepNext w:val="0"/>
              <w:keepLines w:val="0"/>
              <w:suppressLineNumbers w:val="0"/>
              <w:spacing w:before="0" w:beforeAutospacing="0" w:after="0" w:afterAutospacing="0"/>
              <w:ind w:right="0"/>
              <w:rPr>
                <w:rFonts w:hint="default" w:eastAsia="仿宋_GB2312"/>
                <w:b/>
                <w:color w:val="auto"/>
                <w:sz w:val="22"/>
                <w:szCs w:val="22"/>
              </w:rPr>
            </w:pPr>
          </w:p>
          <w:p w14:paraId="5156619D">
            <w:pPr>
              <w:pStyle w:val="3"/>
              <w:keepNext w:val="0"/>
              <w:keepLines w:val="0"/>
              <w:suppressLineNumbers w:val="0"/>
              <w:spacing w:before="0" w:beforeAutospacing="0" w:after="0" w:afterAutospacing="0"/>
              <w:ind w:right="0"/>
              <w:rPr>
                <w:rFonts w:hint="default" w:eastAsia="仿宋_GB2312"/>
                <w:b/>
                <w:color w:val="auto"/>
                <w:sz w:val="22"/>
                <w:szCs w:val="22"/>
              </w:rPr>
            </w:pPr>
          </w:p>
          <w:p w14:paraId="13886CC8">
            <w:pPr>
              <w:pStyle w:val="3"/>
              <w:keepNext w:val="0"/>
              <w:keepLines w:val="0"/>
              <w:suppressLineNumbers w:val="0"/>
              <w:spacing w:before="0" w:beforeAutospacing="0" w:after="0" w:afterAutospacing="0"/>
              <w:ind w:right="0"/>
              <w:rPr>
                <w:rFonts w:hint="default" w:eastAsia="仿宋_GB2312"/>
                <w:b/>
                <w:color w:val="auto"/>
                <w:sz w:val="22"/>
                <w:szCs w:val="22"/>
              </w:rPr>
            </w:pPr>
          </w:p>
          <w:p w14:paraId="6F302285">
            <w:pPr>
              <w:pStyle w:val="3"/>
              <w:keepNext w:val="0"/>
              <w:keepLines w:val="0"/>
              <w:suppressLineNumbers w:val="0"/>
              <w:spacing w:before="0" w:beforeAutospacing="0" w:after="0" w:afterAutospacing="0"/>
              <w:ind w:right="0"/>
              <w:rPr>
                <w:rFonts w:hint="default" w:eastAsia="仿宋_GB2312"/>
                <w:b/>
                <w:color w:val="auto"/>
                <w:sz w:val="22"/>
                <w:szCs w:val="22"/>
              </w:rPr>
            </w:pPr>
          </w:p>
          <w:p w14:paraId="1415AEF5">
            <w:pPr>
              <w:pStyle w:val="3"/>
              <w:keepNext w:val="0"/>
              <w:keepLines w:val="0"/>
              <w:suppressLineNumbers w:val="0"/>
              <w:spacing w:before="0" w:beforeAutospacing="0" w:after="0" w:afterAutospacing="0"/>
              <w:ind w:right="0"/>
              <w:rPr>
                <w:rFonts w:hint="default" w:eastAsia="仿宋_GB2312"/>
                <w:b/>
                <w:color w:val="auto"/>
                <w:sz w:val="22"/>
                <w:szCs w:val="22"/>
              </w:rPr>
            </w:pPr>
          </w:p>
          <w:p w14:paraId="757A54A8">
            <w:pPr>
              <w:pStyle w:val="3"/>
              <w:keepNext w:val="0"/>
              <w:keepLines w:val="0"/>
              <w:suppressLineNumbers w:val="0"/>
              <w:spacing w:before="0" w:beforeAutospacing="0" w:after="0" w:afterAutospacing="0"/>
              <w:ind w:right="0"/>
              <w:rPr>
                <w:rFonts w:hint="default" w:eastAsia="仿宋_GB2312"/>
                <w:b/>
                <w:color w:val="auto"/>
                <w:sz w:val="22"/>
                <w:szCs w:val="22"/>
              </w:rPr>
            </w:pPr>
          </w:p>
          <w:p w14:paraId="33E601B1">
            <w:pPr>
              <w:pStyle w:val="3"/>
              <w:keepNext w:val="0"/>
              <w:keepLines w:val="0"/>
              <w:suppressLineNumbers w:val="0"/>
              <w:spacing w:before="0" w:beforeAutospacing="0" w:after="0" w:afterAutospacing="0"/>
              <w:ind w:right="0"/>
              <w:rPr>
                <w:rFonts w:hint="default" w:eastAsia="仿宋_GB2312"/>
                <w:b/>
                <w:color w:val="auto"/>
                <w:sz w:val="22"/>
                <w:szCs w:val="22"/>
              </w:rPr>
            </w:pPr>
          </w:p>
          <w:p w14:paraId="3AF40604">
            <w:pPr>
              <w:keepNext w:val="0"/>
              <w:keepLines w:val="0"/>
              <w:suppressLineNumbers w:val="0"/>
              <w:spacing w:before="0" w:beforeAutospacing="0" w:after="0" w:afterAutospacing="0"/>
              <w:ind w:left="0" w:right="0"/>
              <w:jc w:val="center"/>
              <w:rPr>
                <w:rFonts w:hint="default" w:eastAsia="仿宋_GB2312"/>
                <w:color w:val="auto"/>
                <w:sz w:val="24"/>
                <w:lang w:val="zh-CN"/>
              </w:rPr>
            </w:pPr>
            <w:r>
              <w:rPr>
                <w:rFonts w:hint="default"/>
                <w:color w:val="auto"/>
              </w:rPr>
              <w:object>
                <v:shape id="_x0000_i1028" o:spt="75" type="#_x0000_t75" style="height:650.85pt;width:397.6pt;" o:ole="t" filled="f" o:preferrelative="t" stroked="f" coordsize="21600,21600">
                  <v:path/>
                  <v:fill on="f" focussize="0,0"/>
                  <v:stroke on="f"/>
                  <v:imagedata r:id="rId24" o:title=""/>
                  <o:lock v:ext="edit" aspectratio="t"/>
                  <w10:wrap type="none"/>
                  <w10:anchorlock/>
                </v:shape>
                <o:OLEObject Type="Embed" ProgID="Visio.Drawing.15" ShapeID="_x0000_i1028" DrawAspect="Content" ObjectID="_1468075728" r:id="rId23">
                  <o:LockedField>false</o:LockedField>
                </o:OLEObject>
              </w:object>
            </w:r>
          </w:p>
          <w:p w14:paraId="1AC2A78A">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图2-</w:t>
            </w:r>
            <w:r>
              <w:rPr>
                <w:rFonts w:hint="eastAsia" w:eastAsia="仿宋_GB2312"/>
                <w:b/>
                <w:color w:val="auto"/>
                <w:sz w:val="22"/>
                <w:szCs w:val="22"/>
                <w:lang w:val="en-US" w:eastAsia="zh-CN"/>
              </w:rPr>
              <w:t>4</w:t>
            </w:r>
            <w:r>
              <w:rPr>
                <w:rFonts w:hint="default" w:eastAsia="仿宋_GB2312"/>
                <w:b/>
                <w:color w:val="auto"/>
                <w:sz w:val="22"/>
                <w:szCs w:val="22"/>
              </w:rPr>
              <w:t xml:space="preserve">  本项目保健食品粉（二氢槲皮素）生产物料平衡图（kg/批次）</w:t>
            </w:r>
          </w:p>
          <w:p w14:paraId="613D328D">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fldChar w:fldCharType="begin"/>
            </w:r>
            <w:r>
              <w:rPr>
                <w:rFonts w:hint="default" w:eastAsia="仿宋_GB2312"/>
                <w:b/>
                <w:color w:val="auto"/>
                <w:sz w:val="24"/>
                <w:lang w:val="zh-CN"/>
              </w:rPr>
              <w:instrText xml:space="preserve"> = 3 \* GB3 </w:instrText>
            </w:r>
            <w:r>
              <w:rPr>
                <w:rFonts w:hint="default" w:eastAsia="仿宋_GB2312"/>
                <w:b/>
                <w:color w:val="auto"/>
                <w:sz w:val="24"/>
                <w:lang w:val="zh-CN"/>
              </w:rPr>
              <w:fldChar w:fldCharType="separate"/>
            </w:r>
            <w:r>
              <w:rPr>
                <w:rFonts w:hint="default"/>
                <w:b/>
                <w:color w:val="auto"/>
                <w:sz w:val="24"/>
                <w:lang w:val="zh-CN"/>
              </w:rPr>
              <w:t>③</w:t>
            </w:r>
            <w:r>
              <w:rPr>
                <w:rFonts w:hint="default" w:eastAsia="仿宋_GB2312"/>
                <w:b/>
                <w:color w:val="auto"/>
                <w:sz w:val="24"/>
                <w:lang w:val="zh-CN"/>
              </w:rPr>
              <w:fldChar w:fldCharType="end"/>
            </w:r>
            <w:r>
              <w:rPr>
                <w:rFonts w:hint="default" w:eastAsia="仿宋_GB2312"/>
                <w:b/>
                <w:color w:val="auto"/>
                <w:sz w:val="24"/>
                <w:lang w:val="zh-CN"/>
              </w:rPr>
              <w:t>污染物产生情况</w:t>
            </w:r>
          </w:p>
          <w:p w14:paraId="62F17F7C">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（1）有组织废气产生情况见下表。</w:t>
            </w:r>
          </w:p>
          <w:p w14:paraId="0EB776E1">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20</w:t>
            </w:r>
            <w:r>
              <w:rPr>
                <w:rFonts w:hint="default" w:eastAsia="仿宋_GB2312"/>
                <w:b/>
                <w:color w:val="auto"/>
                <w:sz w:val="22"/>
                <w:szCs w:val="22"/>
              </w:rPr>
              <w:t xml:space="preserve">  有组织废气产生情况表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239"/>
              <w:gridCol w:w="1584"/>
              <w:gridCol w:w="1037"/>
              <w:gridCol w:w="1510"/>
              <w:gridCol w:w="1387"/>
              <w:gridCol w:w="847"/>
              <w:gridCol w:w="808"/>
            </w:tblGrid>
            <w:tr w14:paraId="76DEDB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736" w:type="pct"/>
                  <w:vAlign w:val="center"/>
                </w:tcPr>
                <w:p w14:paraId="1E67FED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编号</w:t>
                  </w:r>
                </w:p>
              </w:tc>
              <w:tc>
                <w:tcPr>
                  <w:tcW w:w="941" w:type="pct"/>
                  <w:vAlign w:val="center"/>
                </w:tcPr>
                <w:p w14:paraId="4392413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污染源位置及名称</w:t>
                  </w:r>
                </w:p>
              </w:tc>
              <w:tc>
                <w:tcPr>
                  <w:tcW w:w="616" w:type="pct"/>
                  <w:vAlign w:val="center"/>
                </w:tcPr>
                <w:p w14:paraId="60C9860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897" w:type="pct"/>
                  <w:vAlign w:val="center"/>
                </w:tcPr>
                <w:p w14:paraId="4DC176C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产生量（t/a）</w:t>
                  </w:r>
                </w:p>
              </w:tc>
              <w:tc>
                <w:tcPr>
                  <w:tcW w:w="824" w:type="pct"/>
                  <w:vAlign w:val="center"/>
                </w:tcPr>
                <w:p w14:paraId="3D138AC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bookmarkStart w:id="21" w:name="OLE_LINK40"/>
                  <w:bookmarkStart w:id="22" w:name="OLE_LINK39"/>
                  <w:r>
                    <w:rPr>
                      <w:rFonts w:hint="default" w:ascii="Times New Roman" w:hAnsi="Times New Roman" w:eastAsia="仿宋_GB2312" w:cs="Times New Roman"/>
                      <w:b/>
                      <w:bCs/>
                      <w:color w:val="auto"/>
                      <w:sz w:val="21"/>
                    </w:rPr>
                    <w:t>拟采取的处理方式</w:t>
                  </w:r>
                  <w:bookmarkEnd w:id="21"/>
                  <w:bookmarkEnd w:id="22"/>
                </w:p>
              </w:tc>
              <w:tc>
                <w:tcPr>
                  <w:tcW w:w="503" w:type="pct"/>
                  <w:vAlign w:val="center"/>
                </w:tcPr>
                <w:p w14:paraId="46AE21D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排气筒编号</w:t>
                  </w:r>
                </w:p>
              </w:tc>
              <w:tc>
                <w:tcPr>
                  <w:tcW w:w="480" w:type="pct"/>
                  <w:vAlign w:val="center"/>
                </w:tcPr>
                <w:p w14:paraId="5FCE8D9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rPr>
                    <w:t>排放高度</w:t>
                  </w:r>
                </w:p>
              </w:tc>
            </w:tr>
            <w:tr w14:paraId="20C2573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restart"/>
                  <w:vAlign w:val="center"/>
                </w:tcPr>
                <w:p w14:paraId="1983985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G2-</w:t>
                  </w:r>
                  <w:r>
                    <w:rPr>
                      <w:rFonts w:hint="default" w:ascii="Times New Roman" w:hAnsi="Times New Roman" w:eastAsia="仿宋_GB2312" w:cs="Times New Roman"/>
                      <w:color w:val="auto"/>
                      <w:szCs w:val="21"/>
                      <w:lang w:val="en-US"/>
                    </w:rPr>
                    <w:t>1</w:t>
                  </w:r>
                </w:p>
              </w:tc>
              <w:tc>
                <w:tcPr>
                  <w:tcW w:w="941" w:type="pct"/>
                  <w:vMerge w:val="restart"/>
                  <w:vAlign w:val="center"/>
                </w:tcPr>
                <w:p w14:paraId="3016046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种子培养废气</w:t>
                  </w:r>
                </w:p>
              </w:tc>
              <w:tc>
                <w:tcPr>
                  <w:tcW w:w="616" w:type="pct"/>
                  <w:vAlign w:val="center"/>
                </w:tcPr>
                <w:p w14:paraId="3A28DCC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NH</w:t>
                  </w:r>
                  <w:r>
                    <w:rPr>
                      <w:rFonts w:hint="default" w:ascii="Times New Roman" w:hAnsi="Times New Roman" w:eastAsia="仿宋_GB2312" w:cs="Times New Roman"/>
                      <w:color w:val="auto"/>
                      <w:szCs w:val="21"/>
                      <w:vertAlign w:val="subscript"/>
                    </w:rPr>
                    <w:t>3</w:t>
                  </w:r>
                </w:p>
              </w:tc>
              <w:tc>
                <w:tcPr>
                  <w:tcW w:w="897" w:type="pct"/>
                  <w:vAlign w:val="center"/>
                </w:tcPr>
                <w:p w14:paraId="064B321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0.0001</w:t>
                  </w:r>
                </w:p>
              </w:tc>
              <w:tc>
                <w:tcPr>
                  <w:tcW w:w="824" w:type="pct"/>
                  <w:vMerge w:val="restart"/>
                  <w:vAlign w:val="center"/>
                </w:tcPr>
                <w:p w14:paraId="654C86A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酸吸收+碱吸收+除雾器+两级活性炭吸附</w:t>
                  </w:r>
                </w:p>
              </w:tc>
              <w:tc>
                <w:tcPr>
                  <w:tcW w:w="503" w:type="pct"/>
                  <w:vMerge w:val="restart"/>
                  <w:vAlign w:val="center"/>
                </w:tcPr>
                <w:p w14:paraId="5E84E48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DA002</w:t>
                  </w:r>
                </w:p>
              </w:tc>
              <w:tc>
                <w:tcPr>
                  <w:tcW w:w="480" w:type="pct"/>
                  <w:vMerge w:val="restart"/>
                  <w:vAlign w:val="center"/>
                </w:tcPr>
                <w:p w14:paraId="0996A81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15m</w:t>
                  </w:r>
                </w:p>
              </w:tc>
            </w:tr>
            <w:tr w14:paraId="3D830F3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4D59B36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75A733A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0193255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H</w:t>
                  </w:r>
                  <w:r>
                    <w:rPr>
                      <w:rFonts w:hint="default" w:ascii="Times New Roman" w:hAnsi="Times New Roman" w:eastAsia="仿宋_GB2312" w:cs="Times New Roman"/>
                      <w:color w:val="auto"/>
                      <w:szCs w:val="21"/>
                      <w:vertAlign w:val="subscript"/>
                    </w:rPr>
                    <w:t>2</w:t>
                  </w:r>
                  <w:r>
                    <w:rPr>
                      <w:rFonts w:hint="default" w:ascii="Times New Roman" w:hAnsi="Times New Roman" w:eastAsia="仿宋_GB2312" w:cs="Times New Roman"/>
                      <w:color w:val="auto"/>
                      <w:szCs w:val="21"/>
                    </w:rPr>
                    <w:t>S</w:t>
                  </w:r>
                </w:p>
              </w:tc>
              <w:tc>
                <w:tcPr>
                  <w:tcW w:w="897" w:type="pct"/>
                  <w:vAlign w:val="center"/>
                </w:tcPr>
                <w:p w14:paraId="0AD12F7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0.00003</w:t>
                  </w:r>
                </w:p>
              </w:tc>
              <w:tc>
                <w:tcPr>
                  <w:tcW w:w="824" w:type="pct"/>
                  <w:vMerge w:val="continue"/>
                  <w:vAlign w:val="center"/>
                </w:tcPr>
                <w:p w14:paraId="5EE296F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11D9A13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74ED35A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25A7B0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7C7839D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3245F5C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6A3CE06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CO</w:t>
                  </w:r>
                  <w:r>
                    <w:rPr>
                      <w:rFonts w:hint="eastAsia" w:ascii="Times New Roman" w:hAnsi="Times New Roman" w:cs="Times New Roman"/>
                      <w:color w:val="auto"/>
                      <w:szCs w:val="21"/>
                      <w:vertAlign w:val="subscript"/>
                      <w:lang w:val="en-US" w:eastAsia="zh-CN"/>
                    </w:rPr>
                    <w:t>2</w:t>
                  </w:r>
                </w:p>
              </w:tc>
              <w:tc>
                <w:tcPr>
                  <w:tcW w:w="897" w:type="pct"/>
                  <w:vAlign w:val="center"/>
                </w:tcPr>
                <w:p w14:paraId="699E91B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0.00136</w:t>
                  </w:r>
                </w:p>
              </w:tc>
              <w:tc>
                <w:tcPr>
                  <w:tcW w:w="824" w:type="pct"/>
                  <w:vMerge w:val="continue"/>
                  <w:vAlign w:val="center"/>
                </w:tcPr>
                <w:p w14:paraId="31388DD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4E05B2D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258F187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0828A9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3EE98F9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6CA4D82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2EBE2B9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非甲烷总烃</w:t>
                  </w:r>
                </w:p>
              </w:tc>
              <w:tc>
                <w:tcPr>
                  <w:tcW w:w="897" w:type="pct"/>
                  <w:vAlign w:val="center"/>
                </w:tcPr>
                <w:p w14:paraId="4B9854F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0.0003</w:t>
                  </w:r>
                </w:p>
              </w:tc>
              <w:tc>
                <w:tcPr>
                  <w:tcW w:w="824" w:type="pct"/>
                  <w:vMerge w:val="continue"/>
                  <w:vAlign w:val="center"/>
                </w:tcPr>
                <w:p w14:paraId="6A07D4E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6B758DA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2CA4E9D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072DD9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restart"/>
                  <w:vAlign w:val="center"/>
                </w:tcPr>
                <w:p w14:paraId="1AD7ACA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G2-</w:t>
                  </w:r>
                  <w:r>
                    <w:rPr>
                      <w:rFonts w:hint="default" w:ascii="Times New Roman" w:hAnsi="Times New Roman" w:eastAsia="仿宋_GB2312" w:cs="Times New Roman"/>
                      <w:color w:val="auto"/>
                      <w:szCs w:val="21"/>
                      <w:lang w:val="en-US"/>
                    </w:rPr>
                    <w:t>2</w:t>
                  </w:r>
                </w:p>
              </w:tc>
              <w:tc>
                <w:tcPr>
                  <w:tcW w:w="941" w:type="pct"/>
                  <w:vMerge w:val="restart"/>
                  <w:vAlign w:val="center"/>
                </w:tcPr>
                <w:p w14:paraId="352E02E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种子培养废气</w:t>
                  </w:r>
                </w:p>
              </w:tc>
              <w:tc>
                <w:tcPr>
                  <w:tcW w:w="616" w:type="pct"/>
                  <w:vAlign w:val="center"/>
                </w:tcPr>
                <w:p w14:paraId="2388BAD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NH</w:t>
                  </w:r>
                  <w:r>
                    <w:rPr>
                      <w:rFonts w:hint="default" w:ascii="Times New Roman" w:hAnsi="Times New Roman" w:eastAsia="仿宋_GB2312" w:cs="Times New Roman"/>
                      <w:color w:val="auto"/>
                      <w:szCs w:val="21"/>
                      <w:vertAlign w:val="subscript"/>
                    </w:rPr>
                    <w:t>3</w:t>
                  </w:r>
                </w:p>
              </w:tc>
              <w:tc>
                <w:tcPr>
                  <w:tcW w:w="897" w:type="pct"/>
                  <w:vAlign w:val="center"/>
                </w:tcPr>
                <w:p w14:paraId="55A0857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0.0009</w:t>
                  </w:r>
                </w:p>
              </w:tc>
              <w:tc>
                <w:tcPr>
                  <w:tcW w:w="824" w:type="pct"/>
                  <w:vMerge w:val="continue"/>
                  <w:vAlign w:val="center"/>
                </w:tcPr>
                <w:p w14:paraId="31D08BB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123453D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7AA1411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08F8788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7AA0A5C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7448DB7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5A95C7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H</w:t>
                  </w:r>
                  <w:r>
                    <w:rPr>
                      <w:rFonts w:hint="default" w:ascii="Times New Roman" w:hAnsi="Times New Roman" w:eastAsia="仿宋_GB2312" w:cs="Times New Roman"/>
                      <w:color w:val="auto"/>
                      <w:szCs w:val="21"/>
                      <w:vertAlign w:val="subscript"/>
                    </w:rPr>
                    <w:t>2</w:t>
                  </w:r>
                  <w:r>
                    <w:rPr>
                      <w:rFonts w:hint="default" w:ascii="Times New Roman" w:hAnsi="Times New Roman" w:eastAsia="仿宋_GB2312" w:cs="Times New Roman"/>
                      <w:color w:val="auto"/>
                      <w:szCs w:val="21"/>
                    </w:rPr>
                    <w:t>S</w:t>
                  </w:r>
                </w:p>
              </w:tc>
              <w:tc>
                <w:tcPr>
                  <w:tcW w:w="897" w:type="pct"/>
                  <w:vAlign w:val="center"/>
                </w:tcPr>
                <w:p w14:paraId="7C08AB2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0.0003</w:t>
                  </w:r>
                </w:p>
              </w:tc>
              <w:tc>
                <w:tcPr>
                  <w:tcW w:w="824" w:type="pct"/>
                  <w:vMerge w:val="continue"/>
                  <w:vAlign w:val="center"/>
                </w:tcPr>
                <w:p w14:paraId="3C3E1B6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2CB982E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1261A22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656753D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5363E87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62B713C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2582C0C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eastAsia" w:ascii="Times New Roman" w:hAnsi="Times New Roman" w:cs="Times New Roman"/>
                      <w:color w:val="auto"/>
                      <w:szCs w:val="21"/>
                      <w:lang w:val="en-US" w:eastAsia="zh-CN"/>
                    </w:rPr>
                    <w:t>CO</w:t>
                  </w:r>
                  <w:r>
                    <w:rPr>
                      <w:rFonts w:hint="eastAsia" w:ascii="Times New Roman" w:hAnsi="Times New Roman" w:cs="Times New Roman"/>
                      <w:color w:val="auto"/>
                      <w:szCs w:val="21"/>
                      <w:vertAlign w:val="subscript"/>
                      <w:lang w:val="en-US" w:eastAsia="zh-CN"/>
                    </w:rPr>
                    <w:t>2</w:t>
                  </w:r>
                </w:p>
              </w:tc>
              <w:tc>
                <w:tcPr>
                  <w:tcW w:w="897" w:type="pct"/>
                  <w:vAlign w:val="center"/>
                </w:tcPr>
                <w:p w14:paraId="75FC88F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0.0136</w:t>
                  </w:r>
                </w:p>
              </w:tc>
              <w:tc>
                <w:tcPr>
                  <w:tcW w:w="824" w:type="pct"/>
                  <w:vMerge w:val="continue"/>
                  <w:vAlign w:val="center"/>
                </w:tcPr>
                <w:p w14:paraId="1E87419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78F120C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5916537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12FBE4F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7D0FB63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4EF175E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235C6E7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非甲烷总烃</w:t>
                  </w:r>
                </w:p>
              </w:tc>
              <w:tc>
                <w:tcPr>
                  <w:tcW w:w="897" w:type="pct"/>
                  <w:vAlign w:val="center"/>
                </w:tcPr>
                <w:p w14:paraId="74DB3FA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0.0031</w:t>
                  </w:r>
                </w:p>
              </w:tc>
              <w:tc>
                <w:tcPr>
                  <w:tcW w:w="824" w:type="pct"/>
                  <w:vMerge w:val="continue"/>
                  <w:vAlign w:val="center"/>
                </w:tcPr>
                <w:p w14:paraId="6E395E5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29B0230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45FB08C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0ADCF70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restart"/>
                  <w:vAlign w:val="center"/>
                </w:tcPr>
                <w:p w14:paraId="39C97E2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G2-</w:t>
                  </w:r>
                  <w:r>
                    <w:rPr>
                      <w:rFonts w:hint="default" w:ascii="Times New Roman" w:hAnsi="Times New Roman" w:eastAsia="仿宋_GB2312" w:cs="Times New Roman"/>
                      <w:color w:val="auto"/>
                      <w:szCs w:val="21"/>
                      <w:lang w:val="en-US"/>
                    </w:rPr>
                    <w:t>3</w:t>
                  </w:r>
                </w:p>
              </w:tc>
              <w:tc>
                <w:tcPr>
                  <w:tcW w:w="941" w:type="pct"/>
                  <w:vMerge w:val="restart"/>
                  <w:vAlign w:val="center"/>
                </w:tcPr>
                <w:p w14:paraId="0C97DD8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发酵废气</w:t>
                  </w:r>
                </w:p>
              </w:tc>
              <w:tc>
                <w:tcPr>
                  <w:tcW w:w="616" w:type="pct"/>
                  <w:vAlign w:val="center"/>
                </w:tcPr>
                <w:p w14:paraId="16387AE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NH</w:t>
                  </w:r>
                  <w:r>
                    <w:rPr>
                      <w:rFonts w:hint="default" w:ascii="Times New Roman" w:hAnsi="Times New Roman" w:eastAsia="仿宋_GB2312" w:cs="Times New Roman"/>
                      <w:color w:val="auto"/>
                      <w:szCs w:val="21"/>
                      <w:vertAlign w:val="subscript"/>
                    </w:rPr>
                    <w:t>3</w:t>
                  </w:r>
                </w:p>
              </w:tc>
              <w:tc>
                <w:tcPr>
                  <w:tcW w:w="897" w:type="pct"/>
                  <w:vAlign w:val="center"/>
                </w:tcPr>
                <w:p w14:paraId="16ECB27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0.0142</w:t>
                  </w:r>
                </w:p>
              </w:tc>
              <w:tc>
                <w:tcPr>
                  <w:tcW w:w="824" w:type="pct"/>
                  <w:vMerge w:val="continue"/>
                  <w:vAlign w:val="center"/>
                </w:tcPr>
                <w:p w14:paraId="67FA977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4AC6AEA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3E51179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7D5D7F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654F0C9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57B18DD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2E03950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H</w:t>
                  </w:r>
                  <w:r>
                    <w:rPr>
                      <w:rFonts w:hint="default" w:ascii="Times New Roman" w:hAnsi="Times New Roman" w:eastAsia="仿宋_GB2312" w:cs="Times New Roman"/>
                      <w:color w:val="auto"/>
                      <w:szCs w:val="21"/>
                      <w:vertAlign w:val="subscript"/>
                    </w:rPr>
                    <w:t>2</w:t>
                  </w:r>
                  <w:r>
                    <w:rPr>
                      <w:rFonts w:hint="default" w:ascii="Times New Roman" w:hAnsi="Times New Roman" w:eastAsia="仿宋_GB2312" w:cs="Times New Roman"/>
                      <w:color w:val="auto"/>
                      <w:szCs w:val="21"/>
                    </w:rPr>
                    <w:t>S</w:t>
                  </w:r>
                </w:p>
              </w:tc>
              <w:tc>
                <w:tcPr>
                  <w:tcW w:w="897" w:type="pct"/>
                  <w:vAlign w:val="center"/>
                </w:tcPr>
                <w:p w14:paraId="6B553DA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0.0041</w:t>
                  </w:r>
                </w:p>
              </w:tc>
              <w:tc>
                <w:tcPr>
                  <w:tcW w:w="824" w:type="pct"/>
                  <w:vMerge w:val="continue"/>
                  <w:vAlign w:val="center"/>
                </w:tcPr>
                <w:p w14:paraId="40F342A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2B0128B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664BF2D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CBBF8B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62DD1AC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31FAC00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129DE37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eastAsia" w:ascii="Times New Roman" w:hAnsi="Times New Roman" w:cs="Times New Roman"/>
                      <w:color w:val="auto"/>
                      <w:szCs w:val="21"/>
                      <w:lang w:val="en-US" w:eastAsia="zh-CN"/>
                    </w:rPr>
                    <w:t>CO</w:t>
                  </w:r>
                  <w:r>
                    <w:rPr>
                      <w:rFonts w:hint="eastAsia" w:ascii="Times New Roman" w:hAnsi="Times New Roman" w:cs="Times New Roman"/>
                      <w:color w:val="auto"/>
                      <w:szCs w:val="21"/>
                      <w:vertAlign w:val="subscript"/>
                      <w:lang w:val="en-US" w:eastAsia="zh-CN"/>
                    </w:rPr>
                    <w:t>2</w:t>
                  </w:r>
                </w:p>
              </w:tc>
              <w:tc>
                <w:tcPr>
                  <w:tcW w:w="897" w:type="pct"/>
                  <w:vAlign w:val="center"/>
                </w:tcPr>
                <w:p w14:paraId="0B07743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0.3464</w:t>
                  </w:r>
                </w:p>
              </w:tc>
              <w:tc>
                <w:tcPr>
                  <w:tcW w:w="824" w:type="pct"/>
                  <w:vMerge w:val="continue"/>
                  <w:vAlign w:val="center"/>
                </w:tcPr>
                <w:p w14:paraId="1F719CB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5143EB7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3B2D90D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D54FE3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Merge w:val="continue"/>
                  <w:vAlign w:val="center"/>
                </w:tcPr>
                <w:p w14:paraId="57D33BA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941" w:type="pct"/>
                  <w:vMerge w:val="continue"/>
                  <w:vAlign w:val="center"/>
                </w:tcPr>
                <w:p w14:paraId="346AAD5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16" w:type="pct"/>
                  <w:vAlign w:val="center"/>
                </w:tcPr>
                <w:p w14:paraId="7A47F84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非甲烷总烃</w:t>
                  </w:r>
                </w:p>
              </w:tc>
              <w:tc>
                <w:tcPr>
                  <w:tcW w:w="897" w:type="pct"/>
                  <w:vAlign w:val="center"/>
                </w:tcPr>
                <w:p w14:paraId="29EC779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0.049</w:t>
                  </w:r>
                </w:p>
              </w:tc>
              <w:tc>
                <w:tcPr>
                  <w:tcW w:w="824" w:type="pct"/>
                  <w:vMerge w:val="continue"/>
                  <w:vAlign w:val="center"/>
                </w:tcPr>
                <w:p w14:paraId="7704639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503" w:type="pct"/>
                  <w:vMerge w:val="continue"/>
                  <w:vAlign w:val="center"/>
                </w:tcPr>
                <w:p w14:paraId="1BC540B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c>
                <w:tcPr>
                  <w:tcW w:w="480" w:type="pct"/>
                  <w:vMerge w:val="continue"/>
                  <w:vAlign w:val="center"/>
                </w:tcPr>
                <w:p w14:paraId="02E6620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EA9BE5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Align w:val="center"/>
                </w:tcPr>
                <w:p w14:paraId="28DFAB0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G2-4</w:t>
                  </w:r>
                </w:p>
              </w:tc>
              <w:tc>
                <w:tcPr>
                  <w:tcW w:w="941" w:type="pct"/>
                  <w:vAlign w:val="center"/>
                </w:tcPr>
                <w:p w14:paraId="6550311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水汽</w:t>
                  </w:r>
                </w:p>
              </w:tc>
              <w:tc>
                <w:tcPr>
                  <w:tcW w:w="616" w:type="pct"/>
                  <w:vAlign w:val="center"/>
                </w:tcPr>
                <w:p w14:paraId="1AB70CD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水汽</w:t>
                  </w:r>
                </w:p>
              </w:tc>
              <w:tc>
                <w:tcPr>
                  <w:tcW w:w="897" w:type="pct"/>
                  <w:vAlign w:val="center"/>
                </w:tcPr>
                <w:p w14:paraId="7DFEF0E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0.23</w:t>
                  </w:r>
                </w:p>
              </w:tc>
              <w:tc>
                <w:tcPr>
                  <w:tcW w:w="824" w:type="pct"/>
                  <w:vAlign w:val="center"/>
                </w:tcPr>
                <w:p w14:paraId="410A08C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w:t>
                  </w:r>
                </w:p>
              </w:tc>
              <w:tc>
                <w:tcPr>
                  <w:tcW w:w="503" w:type="pct"/>
                  <w:vAlign w:val="center"/>
                </w:tcPr>
                <w:p w14:paraId="7745A2E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w:t>
                  </w:r>
                </w:p>
              </w:tc>
              <w:tc>
                <w:tcPr>
                  <w:tcW w:w="480" w:type="pct"/>
                  <w:vMerge w:val="continue"/>
                  <w:vAlign w:val="center"/>
                </w:tcPr>
                <w:p w14:paraId="1FDE6C5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50DDEEE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736" w:type="pct"/>
                  <w:vAlign w:val="center"/>
                </w:tcPr>
                <w:p w14:paraId="6B430E2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G2-</w:t>
                  </w:r>
                  <w:r>
                    <w:rPr>
                      <w:rFonts w:hint="default" w:ascii="Times New Roman" w:hAnsi="Times New Roman" w:eastAsia="仿宋_GB2312" w:cs="Times New Roman"/>
                      <w:color w:val="auto"/>
                      <w:szCs w:val="21"/>
                      <w:lang w:val="en-US"/>
                    </w:rPr>
                    <w:t>5</w:t>
                  </w:r>
                </w:p>
              </w:tc>
              <w:tc>
                <w:tcPr>
                  <w:tcW w:w="941" w:type="pct"/>
                  <w:vAlign w:val="center"/>
                </w:tcPr>
                <w:p w14:paraId="69E3820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包装废气</w:t>
                  </w:r>
                </w:p>
              </w:tc>
              <w:tc>
                <w:tcPr>
                  <w:tcW w:w="616" w:type="pct"/>
                  <w:vAlign w:val="center"/>
                </w:tcPr>
                <w:p w14:paraId="7708C15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颗粒物</w:t>
                  </w:r>
                </w:p>
              </w:tc>
              <w:tc>
                <w:tcPr>
                  <w:tcW w:w="897" w:type="pct"/>
                  <w:vAlign w:val="center"/>
                </w:tcPr>
                <w:p w14:paraId="097DA62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0.0</w:t>
                  </w:r>
                  <w:r>
                    <w:rPr>
                      <w:rFonts w:hint="default" w:ascii="Times New Roman" w:hAnsi="Times New Roman" w:eastAsia="仿宋_GB2312" w:cs="Times New Roman"/>
                      <w:color w:val="auto"/>
                      <w:szCs w:val="21"/>
                      <w:lang w:val="en-US"/>
                    </w:rPr>
                    <w:t>043</w:t>
                  </w:r>
                </w:p>
              </w:tc>
              <w:tc>
                <w:tcPr>
                  <w:tcW w:w="824" w:type="pct"/>
                  <w:vAlign w:val="center"/>
                </w:tcPr>
                <w:p w14:paraId="1D2273F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布袋除尘</w:t>
                  </w:r>
                </w:p>
              </w:tc>
              <w:tc>
                <w:tcPr>
                  <w:tcW w:w="503" w:type="pct"/>
                  <w:vAlign w:val="center"/>
                </w:tcPr>
                <w:p w14:paraId="236B988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DA001</w:t>
                  </w:r>
                </w:p>
              </w:tc>
              <w:tc>
                <w:tcPr>
                  <w:tcW w:w="480" w:type="pct"/>
                  <w:vMerge w:val="continue"/>
                  <w:vAlign w:val="center"/>
                </w:tcPr>
                <w:p w14:paraId="19C0C08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bl>
          <w:p w14:paraId="4BDA5B0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Cs/>
                <w:color w:val="auto"/>
                <w:sz w:val="24"/>
              </w:rPr>
            </w:pPr>
            <w:r>
              <w:rPr>
                <w:rFonts w:hint="default" w:ascii="Times New Roman" w:hAnsi="Times New Roman" w:eastAsia="仿宋_GB2312" w:cs="Times New Roman"/>
                <w:color w:val="auto"/>
                <w:sz w:val="21"/>
              </w:rPr>
              <w:t>注：内包间</w:t>
            </w:r>
            <w:r>
              <w:rPr>
                <w:rFonts w:hint="default" w:ascii="Times New Roman" w:hAnsi="Times New Roman" w:eastAsia="仿宋_GB2312" w:cs="Times New Roman"/>
                <w:color w:val="auto"/>
                <w:szCs w:val="21"/>
              </w:rPr>
              <w:t>整体</w:t>
            </w:r>
            <w:r>
              <w:rPr>
                <w:rFonts w:hint="default" w:ascii="Times New Roman" w:hAnsi="Times New Roman" w:eastAsia="仿宋_GB2312" w:cs="Times New Roman"/>
                <w:color w:val="auto"/>
                <w:sz w:val="21"/>
              </w:rPr>
              <w:t>换风，捕集率按90%计，颗粒物有组织按90%，无组织按10%。</w:t>
            </w:r>
          </w:p>
          <w:p w14:paraId="5A4F69A5">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（2）无组织废气产生情况见下表。</w:t>
            </w:r>
          </w:p>
          <w:p w14:paraId="542AE118">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21</w:t>
            </w:r>
            <w:r>
              <w:rPr>
                <w:rFonts w:hint="default" w:eastAsia="仿宋_GB2312"/>
                <w:b/>
                <w:color w:val="auto"/>
                <w:sz w:val="22"/>
                <w:szCs w:val="22"/>
              </w:rPr>
              <w:t xml:space="preserve">  无组织废气产生情况表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1015"/>
              <w:gridCol w:w="1641"/>
              <w:gridCol w:w="1641"/>
              <w:gridCol w:w="1643"/>
              <w:gridCol w:w="1319"/>
            </w:tblGrid>
            <w:tr w14:paraId="09933A9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85" w:type="pct"/>
                  <w:vMerge w:val="restart"/>
                  <w:vAlign w:val="center"/>
                </w:tcPr>
                <w:p w14:paraId="377E5653">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车间</w:t>
                  </w:r>
                </w:p>
              </w:tc>
              <w:tc>
                <w:tcPr>
                  <w:tcW w:w="603" w:type="pct"/>
                  <w:vMerge w:val="restart"/>
                  <w:vAlign w:val="center"/>
                </w:tcPr>
                <w:p w14:paraId="40078598">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编号</w:t>
                  </w:r>
                </w:p>
              </w:tc>
              <w:tc>
                <w:tcPr>
                  <w:tcW w:w="975" w:type="pct"/>
                  <w:vMerge w:val="restart"/>
                  <w:vAlign w:val="center"/>
                </w:tcPr>
                <w:p w14:paraId="5B77BE1F">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污染源位置</w:t>
                  </w:r>
                </w:p>
              </w:tc>
              <w:tc>
                <w:tcPr>
                  <w:tcW w:w="1951" w:type="pct"/>
                  <w:gridSpan w:val="2"/>
                  <w:vAlign w:val="center"/>
                </w:tcPr>
                <w:p w14:paraId="7009E9BA">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污染物产生情况</w:t>
                  </w:r>
                </w:p>
              </w:tc>
              <w:tc>
                <w:tcPr>
                  <w:tcW w:w="783" w:type="pct"/>
                  <w:vMerge w:val="restart"/>
                  <w:vAlign w:val="center"/>
                </w:tcPr>
                <w:p w14:paraId="1BCA7E45">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拟采取的处理方式</w:t>
                  </w:r>
                </w:p>
              </w:tc>
            </w:tr>
            <w:tr w14:paraId="156E454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85" w:type="pct"/>
                  <w:vMerge w:val="continue"/>
                  <w:vAlign w:val="center"/>
                </w:tcPr>
                <w:p w14:paraId="77F80551">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p>
              </w:tc>
              <w:tc>
                <w:tcPr>
                  <w:tcW w:w="603" w:type="pct"/>
                  <w:vMerge w:val="continue"/>
                  <w:vAlign w:val="center"/>
                </w:tcPr>
                <w:p w14:paraId="70CB84F6">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p>
              </w:tc>
              <w:tc>
                <w:tcPr>
                  <w:tcW w:w="975" w:type="pct"/>
                  <w:vMerge w:val="continue"/>
                  <w:vAlign w:val="center"/>
                </w:tcPr>
                <w:p w14:paraId="5C9304FE">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p>
              </w:tc>
              <w:tc>
                <w:tcPr>
                  <w:tcW w:w="975" w:type="pct"/>
                  <w:vAlign w:val="center"/>
                </w:tcPr>
                <w:p w14:paraId="38A236C5">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污染物名称</w:t>
                  </w:r>
                </w:p>
              </w:tc>
              <w:tc>
                <w:tcPr>
                  <w:tcW w:w="976" w:type="pct"/>
                  <w:vAlign w:val="center"/>
                </w:tcPr>
                <w:p w14:paraId="376FF6D0">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color w:val="auto"/>
                      <w:kern w:val="0"/>
                      <w:sz w:val="21"/>
                    </w:rPr>
                    <w:t>产生量（t/a）</w:t>
                  </w:r>
                </w:p>
              </w:tc>
              <w:tc>
                <w:tcPr>
                  <w:tcW w:w="783" w:type="pct"/>
                  <w:vMerge w:val="continue"/>
                  <w:vAlign w:val="center"/>
                </w:tcPr>
                <w:p w14:paraId="28820236">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b/>
                      <w:bCs/>
                      <w:color w:val="auto"/>
                      <w:kern w:val="0"/>
                      <w:sz w:val="21"/>
                    </w:rPr>
                  </w:pPr>
                </w:p>
              </w:tc>
            </w:tr>
            <w:tr w14:paraId="2C2E304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85" w:type="pct"/>
                  <w:vAlign w:val="center"/>
                </w:tcPr>
                <w:p w14:paraId="354DB94D">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内包间</w:t>
                  </w:r>
                </w:p>
              </w:tc>
              <w:tc>
                <w:tcPr>
                  <w:tcW w:w="603" w:type="pct"/>
                  <w:vAlign w:val="top"/>
                </w:tcPr>
                <w:p w14:paraId="5BAE28B1">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G’2-5</w:t>
                  </w:r>
                </w:p>
              </w:tc>
              <w:tc>
                <w:tcPr>
                  <w:tcW w:w="975" w:type="pct"/>
                  <w:vAlign w:val="center"/>
                </w:tcPr>
                <w:p w14:paraId="5E657EF7">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包装</w:t>
                  </w:r>
                </w:p>
              </w:tc>
              <w:tc>
                <w:tcPr>
                  <w:tcW w:w="975" w:type="pct"/>
                  <w:vAlign w:val="center"/>
                </w:tcPr>
                <w:p w14:paraId="30C9EA6B">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976" w:type="pct"/>
                  <w:vAlign w:val="center"/>
                </w:tcPr>
                <w:p w14:paraId="487B017D">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0.0005</w:t>
                  </w:r>
                </w:p>
              </w:tc>
              <w:tc>
                <w:tcPr>
                  <w:tcW w:w="783" w:type="pct"/>
                  <w:vAlign w:val="center"/>
                </w:tcPr>
                <w:p w14:paraId="2BA04E85">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r>
          </w:tbl>
          <w:p w14:paraId="5ABED602">
            <w:pPr>
              <w:keepNext w:val="0"/>
              <w:keepLines w:val="0"/>
              <w:suppressLineNumbers w:val="0"/>
              <w:spacing w:before="0" w:beforeAutospacing="0" w:after="0" w:afterAutospacing="0" w:line="320" w:lineRule="exact"/>
              <w:ind w:left="0" w:right="0" w:firstLine="420" w:firstLineChars="200"/>
              <w:jc w:val="both"/>
              <w:rPr>
                <w:rFonts w:hint="default" w:ascii="Times New Roman" w:hAnsi="Times New Roman" w:eastAsia="仿宋_GB2312" w:cs="Times New Roman"/>
                <w:color w:val="auto"/>
                <w:kern w:val="0"/>
                <w:sz w:val="21"/>
                <w:szCs w:val="20"/>
                <w:lang w:val="zh-CN" w:eastAsia="zh-CN" w:bidi="ar-SA"/>
              </w:rPr>
            </w:pPr>
            <w:r>
              <w:rPr>
                <w:rFonts w:hint="eastAsia" w:ascii="Times New Roman" w:hAnsi="Times New Roman" w:eastAsia="仿宋_GB2312" w:cs="Times New Roman"/>
                <w:color w:val="auto"/>
                <w:kern w:val="0"/>
                <w:sz w:val="21"/>
                <w:szCs w:val="20"/>
                <w:lang w:val="zh-CN" w:eastAsia="zh-CN" w:bidi="ar-SA"/>
              </w:rPr>
              <w:t>注：内包间整体换风，捕集率按90%计，颗粒物有组织按90%，无组织按10%。</w:t>
            </w:r>
          </w:p>
          <w:p w14:paraId="098E64CB">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bCs/>
                <w:color w:val="auto"/>
                <w:sz w:val="24"/>
                <w:lang w:eastAsia="zh-CN"/>
              </w:rPr>
            </w:pPr>
            <w:r>
              <w:rPr>
                <w:rFonts w:hint="eastAsia" w:eastAsia="仿宋_GB2312"/>
                <w:bCs/>
                <w:color w:val="auto"/>
                <w:sz w:val="24"/>
                <w:lang w:eastAsia="zh-CN"/>
              </w:rPr>
              <w:t>（</w:t>
            </w:r>
            <w:r>
              <w:rPr>
                <w:rFonts w:hint="eastAsia" w:eastAsia="仿宋_GB2312"/>
                <w:bCs/>
                <w:color w:val="auto"/>
                <w:sz w:val="24"/>
                <w:lang w:val="en-US" w:eastAsia="zh-CN"/>
              </w:rPr>
              <w:t>3</w:t>
            </w:r>
            <w:r>
              <w:rPr>
                <w:rFonts w:hint="eastAsia" w:eastAsia="仿宋_GB2312"/>
                <w:bCs/>
                <w:color w:val="auto"/>
                <w:sz w:val="24"/>
                <w:lang w:eastAsia="zh-CN"/>
              </w:rPr>
              <w:t>）废水</w:t>
            </w:r>
            <w:r>
              <w:rPr>
                <w:rFonts w:hint="default" w:eastAsia="仿宋_GB2312"/>
                <w:bCs/>
                <w:color w:val="auto"/>
                <w:sz w:val="24"/>
              </w:rPr>
              <w:t>产生情况见下表</w:t>
            </w:r>
          </w:p>
          <w:p w14:paraId="6691E10F">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22</w:t>
            </w:r>
            <w:r>
              <w:rPr>
                <w:rFonts w:hint="default" w:eastAsia="仿宋_GB2312"/>
                <w:b/>
                <w:color w:val="auto"/>
                <w:sz w:val="22"/>
                <w:szCs w:val="22"/>
              </w:rPr>
              <w:t xml:space="preserve">  </w:t>
            </w:r>
            <w:r>
              <w:rPr>
                <w:rFonts w:hint="eastAsia" w:eastAsia="仿宋_GB2312"/>
                <w:b/>
                <w:color w:val="auto"/>
                <w:sz w:val="22"/>
                <w:szCs w:val="22"/>
                <w:lang w:eastAsia="zh-CN"/>
              </w:rPr>
              <w:t>废水</w:t>
            </w:r>
            <w:r>
              <w:rPr>
                <w:rFonts w:hint="default" w:eastAsia="仿宋_GB2312"/>
                <w:b/>
                <w:color w:val="auto"/>
                <w:sz w:val="22"/>
                <w:szCs w:val="22"/>
              </w:rPr>
              <w:t>产生源强一览表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1283"/>
              <w:gridCol w:w="1123"/>
              <w:gridCol w:w="1284"/>
              <w:gridCol w:w="1443"/>
              <w:gridCol w:w="1123"/>
              <w:gridCol w:w="1369"/>
            </w:tblGrid>
            <w:tr w14:paraId="0CF2A30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48" w:hRule="atLeast"/>
              </w:trPr>
              <w:tc>
                <w:tcPr>
                  <w:tcW w:w="468" w:type="pct"/>
                  <w:vAlign w:val="center"/>
                </w:tcPr>
                <w:p w14:paraId="2595CC1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编号</w:t>
                  </w:r>
                </w:p>
              </w:tc>
              <w:tc>
                <w:tcPr>
                  <w:tcW w:w="762" w:type="pct"/>
                  <w:vAlign w:val="center"/>
                </w:tcPr>
                <w:p w14:paraId="2A645E3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废水名称</w:t>
                  </w:r>
                </w:p>
              </w:tc>
              <w:tc>
                <w:tcPr>
                  <w:tcW w:w="667" w:type="pct"/>
                  <w:vAlign w:val="center"/>
                </w:tcPr>
                <w:p w14:paraId="1165B28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废水量（t/a）</w:t>
                  </w:r>
                </w:p>
              </w:tc>
              <w:tc>
                <w:tcPr>
                  <w:tcW w:w="763" w:type="pct"/>
                  <w:vAlign w:val="center"/>
                </w:tcPr>
                <w:p w14:paraId="5FF9DF6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857" w:type="pct"/>
                  <w:vAlign w:val="center"/>
                </w:tcPr>
                <w:p w14:paraId="2553DEE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产生浓度（mg/L）</w:t>
                  </w:r>
                </w:p>
              </w:tc>
              <w:tc>
                <w:tcPr>
                  <w:tcW w:w="667" w:type="pct"/>
                  <w:vAlign w:val="center"/>
                </w:tcPr>
                <w:p w14:paraId="7F79A24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产生量（t/a）</w:t>
                  </w:r>
                </w:p>
              </w:tc>
              <w:tc>
                <w:tcPr>
                  <w:tcW w:w="813" w:type="pct"/>
                  <w:vAlign w:val="center"/>
                </w:tcPr>
                <w:p w14:paraId="1D4D54B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拟采取的处理方式及排放去向</w:t>
                  </w:r>
                </w:p>
              </w:tc>
            </w:tr>
            <w:tr w14:paraId="6B5FB56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restart"/>
                  <w:vAlign w:val="center"/>
                </w:tcPr>
                <w:p w14:paraId="62FD8DE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W2-1</w:t>
                  </w:r>
                </w:p>
              </w:tc>
              <w:tc>
                <w:tcPr>
                  <w:tcW w:w="762" w:type="pct"/>
                  <w:vMerge w:val="restart"/>
                  <w:vAlign w:val="center"/>
                </w:tcPr>
                <w:p w14:paraId="5043C64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超滤废水</w:t>
                  </w:r>
                </w:p>
              </w:tc>
              <w:tc>
                <w:tcPr>
                  <w:tcW w:w="667" w:type="pct"/>
                  <w:vMerge w:val="restart"/>
                  <w:vAlign w:val="center"/>
                </w:tcPr>
                <w:p w14:paraId="5A8C9F2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11.28</w:t>
                  </w:r>
                </w:p>
              </w:tc>
              <w:tc>
                <w:tcPr>
                  <w:tcW w:w="763" w:type="pct"/>
                  <w:vAlign w:val="center"/>
                </w:tcPr>
                <w:p w14:paraId="7EE7AC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857" w:type="pct"/>
                  <w:vAlign w:val="center"/>
                </w:tcPr>
                <w:p w14:paraId="4EF482F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77128</w:t>
                  </w:r>
                </w:p>
              </w:tc>
              <w:tc>
                <w:tcPr>
                  <w:tcW w:w="667" w:type="pct"/>
                  <w:vAlign w:val="center"/>
                </w:tcPr>
                <w:p w14:paraId="0555F5B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0.87</w:t>
                  </w:r>
                </w:p>
              </w:tc>
              <w:tc>
                <w:tcPr>
                  <w:tcW w:w="813" w:type="pct"/>
                  <w:vMerge w:val="restart"/>
                  <w:vAlign w:val="center"/>
                </w:tcPr>
                <w:p w14:paraId="3F6A0DD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污水站处理后回用至循环冷却系统</w:t>
                  </w:r>
                </w:p>
              </w:tc>
            </w:tr>
            <w:tr w14:paraId="3AEEFCC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2DEB77C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72C0D0A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622B793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3F5984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857" w:type="pct"/>
                  <w:vAlign w:val="center"/>
                </w:tcPr>
                <w:p w14:paraId="06E58FB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361</w:t>
                  </w:r>
                </w:p>
              </w:tc>
              <w:tc>
                <w:tcPr>
                  <w:tcW w:w="667" w:type="pct"/>
                  <w:vAlign w:val="center"/>
                </w:tcPr>
                <w:p w14:paraId="3BF7B29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0.0041</w:t>
                  </w:r>
                </w:p>
              </w:tc>
              <w:tc>
                <w:tcPr>
                  <w:tcW w:w="813" w:type="pct"/>
                  <w:vMerge w:val="continue"/>
                  <w:vAlign w:val="center"/>
                </w:tcPr>
                <w:p w14:paraId="37516F8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416AD2E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6918532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4C3557C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2B1FC37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256C8DC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857" w:type="pct"/>
                  <w:vAlign w:val="center"/>
                </w:tcPr>
                <w:p w14:paraId="6B9DAFF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541</w:t>
                  </w:r>
                </w:p>
              </w:tc>
              <w:tc>
                <w:tcPr>
                  <w:tcW w:w="667" w:type="pct"/>
                  <w:vAlign w:val="center"/>
                </w:tcPr>
                <w:p w14:paraId="289EB6C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0.0061</w:t>
                  </w:r>
                </w:p>
              </w:tc>
              <w:tc>
                <w:tcPr>
                  <w:tcW w:w="813" w:type="pct"/>
                  <w:vMerge w:val="continue"/>
                  <w:vAlign w:val="center"/>
                </w:tcPr>
                <w:p w14:paraId="4989980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56F5263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421B891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518234F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5532AFF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200A90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857" w:type="pct"/>
                  <w:vAlign w:val="center"/>
                </w:tcPr>
                <w:p w14:paraId="0345DFC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621</w:t>
                  </w:r>
                </w:p>
              </w:tc>
              <w:tc>
                <w:tcPr>
                  <w:tcW w:w="667" w:type="pct"/>
                  <w:vAlign w:val="center"/>
                </w:tcPr>
                <w:p w14:paraId="02565C8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0.007</w:t>
                  </w:r>
                </w:p>
              </w:tc>
              <w:tc>
                <w:tcPr>
                  <w:tcW w:w="813" w:type="pct"/>
                  <w:vMerge w:val="continue"/>
                  <w:vAlign w:val="center"/>
                </w:tcPr>
                <w:p w14:paraId="14710BB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60824C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09164C1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65BC8A2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7A6903C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5CB8EA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857" w:type="pct"/>
                  <w:vAlign w:val="center"/>
                </w:tcPr>
                <w:p w14:paraId="180202C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1773</w:t>
                  </w:r>
                </w:p>
              </w:tc>
              <w:tc>
                <w:tcPr>
                  <w:tcW w:w="667" w:type="pct"/>
                  <w:vAlign w:val="center"/>
                </w:tcPr>
                <w:p w14:paraId="52AABF8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0.02</w:t>
                  </w:r>
                </w:p>
              </w:tc>
              <w:tc>
                <w:tcPr>
                  <w:tcW w:w="813" w:type="pct"/>
                  <w:vMerge w:val="continue"/>
                  <w:vAlign w:val="center"/>
                </w:tcPr>
                <w:p w14:paraId="144CC21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6FCBC67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68" w:type="pct"/>
                  <w:vMerge w:val="restart"/>
                  <w:vAlign w:val="center"/>
                </w:tcPr>
                <w:p w14:paraId="7885134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W2-2</w:t>
                  </w:r>
                </w:p>
              </w:tc>
              <w:tc>
                <w:tcPr>
                  <w:tcW w:w="762" w:type="pct"/>
                  <w:vMerge w:val="restart"/>
                  <w:vAlign w:val="center"/>
                </w:tcPr>
                <w:p w14:paraId="4F5DB9D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纳滤废液</w:t>
                  </w:r>
                </w:p>
              </w:tc>
              <w:tc>
                <w:tcPr>
                  <w:tcW w:w="667" w:type="pct"/>
                  <w:vMerge w:val="restart"/>
                  <w:vAlign w:val="center"/>
                </w:tcPr>
                <w:p w14:paraId="64916BB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104.596</w:t>
                  </w:r>
                </w:p>
              </w:tc>
              <w:tc>
                <w:tcPr>
                  <w:tcW w:w="763" w:type="pct"/>
                  <w:vAlign w:val="center"/>
                </w:tcPr>
                <w:p w14:paraId="31B6096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857" w:type="pct"/>
                  <w:vAlign w:val="center"/>
                </w:tcPr>
                <w:p w14:paraId="082741C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860</w:t>
                  </w:r>
                </w:p>
              </w:tc>
              <w:tc>
                <w:tcPr>
                  <w:tcW w:w="667" w:type="pct"/>
                  <w:vAlign w:val="center"/>
                </w:tcPr>
                <w:p w14:paraId="59B2334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0.09</w:t>
                  </w:r>
                </w:p>
              </w:tc>
              <w:tc>
                <w:tcPr>
                  <w:tcW w:w="813" w:type="pct"/>
                  <w:vMerge w:val="continue"/>
                  <w:vAlign w:val="center"/>
                </w:tcPr>
                <w:p w14:paraId="0DC56CA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7697D2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761EAF4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00879C3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38FC050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1C8B6B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857" w:type="pct"/>
                  <w:vAlign w:val="center"/>
                </w:tcPr>
                <w:p w14:paraId="7E76F74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6</w:t>
                  </w:r>
                </w:p>
              </w:tc>
              <w:tc>
                <w:tcPr>
                  <w:tcW w:w="667" w:type="pct"/>
                  <w:vAlign w:val="center"/>
                </w:tcPr>
                <w:p w14:paraId="14C20EB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0.0007</w:t>
                  </w:r>
                </w:p>
              </w:tc>
              <w:tc>
                <w:tcPr>
                  <w:tcW w:w="813" w:type="pct"/>
                  <w:vMerge w:val="continue"/>
                  <w:vAlign w:val="center"/>
                </w:tcPr>
                <w:p w14:paraId="542115A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89005C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00A0E50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557EEF5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1A7B0E8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0CDE09D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857" w:type="pct"/>
                  <w:vAlign w:val="center"/>
                </w:tcPr>
                <w:p w14:paraId="430D291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10</w:t>
                  </w:r>
                </w:p>
              </w:tc>
              <w:tc>
                <w:tcPr>
                  <w:tcW w:w="667" w:type="pct"/>
                  <w:vAlign w:val="center"/>
                </w:tcPr>
                <w:p w14:paraId="52B0734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0.001</w:t>
                  </w:r>
                </w:p>
              </w:tc>
              <w:tc>
                <w:tcPr>
                  <w:tcW w:w="813" w:type="pct"/>
                  <w:vMerge w:val="continue"/>
                  <w:vAlign w:val="center"/>
                </w:tcPr>
                <w:p w14:paraId="7CC7465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0E7F88A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3D08F19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5405143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58B94B2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437BDCD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857" w:type="pct"/>
                  <w:vAlign w:val="center"/>
                </w:tcPr>
                <w:p w14:paraId="629C301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822</w:t>
                  </w:r>
                </w:p>
              </w:tc>
              <w:tc>
                <w:tcPr>
                  <w:tcW w:w="667" w:type="pct"/>
                  <w:vAlign w:val="center"/>
                </w:tcPr>
                <w:p w14:paraId="2F4EFCE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0.086</w:t>
                  </w:r>
                </w:p>
              </w:tc>
              <w:tc>
                <w:tcPr>
                  <w:tcW w:w="813" w:type="pct"/>
                  <w:vMerge w:val="continue"/>
                  <w:vAlign w:val="center"/>
                </w:tcPr>
                <w:p w14:paraId="3EC900C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C60153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4F8D055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7B2956E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24E8CED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53F1D1D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857" w:type="pct"/>
                  <w:vAlign w:val="center"/>
                </w:tcPr>
                <w:p w14:paraId="175BFA5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4780</w:t>
                  </w:r>
                </w:p>
              </w:tc>
              <w:tc>
                <w:tcPr>
                  <w:tcW w:w="667" w:type="pct"/>
                  <w:vAlign w:val="center"/>
                </w:tcPr>
                <w:p w14:paraId="7635E01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0.5</w:t>
                  </w:r>
                </w:p>
              </w:tc>
              <w:tc>
                <w:tcPr>
                  <w:tcW w:w="813" w:type="pct"/>
                  <w:vMerge w:val="continue"/>
                  <w:vAlign w:val="center"/>
                </w:tcPr>
                <w:p w14:paraId="0042850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6408F6C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restart"/>
                  <w:vAlign w:val="center"/>
                </w:tcPr>
                <w:p w14:paraId="695B3FD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W2-3</w:t>
                  </w:r>
                </w:p>
              </w:tc>
              <w:tc>
                <w:tcPr>
                  <w:tcW w:w="762" w:type="pct"/>
                  <w:vMerge w:val="restart"/>
                  <w:vAlign w:val="center"/>
                </w:tcPr>
                <w:p w14:paraId="410A645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脱色树脂再生废水</w:t>
                  </w:r>
                </w:p>
              </w:tc>
              <w:tc>
                <w:tcPr>
                  <w:tcW w:w="667" w:type="pct"/>
                  <w:vMerge w:val="restart"/>
                  <w:vAlign w:val="center"/>
                </w:tcPr>
                <w:p w14:paraId="4EAC982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27.52</w:t>
                  </w:r>
                </w:p>
              </w:tc>
              <w:tc>
                <w:tcPr>
                  <w:tcW w:w="763" w:type="pct"/>
                  <w:vAlign w:val="center"/>
                </w:tcPr>
                <w:p w14:paraId="77113CC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857" w:type="pct"/>
                  <w:vAlign w:val="center"/>
                </w:tcPr>
                <w:p w14:paraId="521053D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73</w:t>
                  </w:r>
                </w:p>
              </w:tc>
              <w:tc>
                <w:tcPr>
                  <w:tcW w:w="667" w:type="pct"/>
                  <w:vAlign w:val="center"/>
                </w:tcPr>
                <w:p w14:paraId="46D99CE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0.002</w:t>
                  </w:r>
                </w:p>
              </w:tc>
              <w:tc>
                <w:tcPr>
                  <w:tcW w:w="813" w:type="pct"/>
                  <w:vMerge w:val="continue"/>
                  <w:vAlign w:val="center"/>
                </w:tcPr>
                <w:p w14:paraId="6120E8E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4ACEB08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50C48A92">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40BB832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249B2DB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1B66E7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857" w:type="pct"/>
                  <w:vAlign w:val="center"/>
                </w:tcPr>
                <w:p w14:paraId="27712E3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2.4</w:t>
                  </w:r>
                </w:p>
              </w:tc>
              <w:tc>
                <w:tcPr>
                  <w:tcW w:w="667" w:type="pct"/>
                  <w:vAlign w:val="center"/>
                </w:tcPr>
                <w:p w14:paraId="13FC380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0.00007</w:t>
                  </w:r>
                </w:p>
              </w:tc>
              <w:tc>
                <w:tcPr>
                  <w:tcW w:w="813" w:type="pct"/>
                  <w:vMerge w:val="continue"/>
                  <w:vAlign w:val="center"/>
                </w:tcPr>
                <w:p w14:paraId="611FBDE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6C541E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6B81EA5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10F706A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57EBDE0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517B58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857" w:type="pct"/>
                  <w:vAlign w:val="center"/>
                </w:tcPr>
                <w:p w14:paraId="2C4D17A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3.6</w:t>
                  </w:r>
                </w:p>
              </w:tc>
              <w:tc>
                <w:tcPr>
                  <w:tcW w:w="667" w:type="pct"/>
                  <w:vAlign w:val="center"/>
                </w:tcPr>
                <w:p w14:paraId="1A00EAC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0.0001</w:t>
                  </w:r>
                </w:p>
              </w:tc>
              <w:tc>
                <w:tcPr>
                  <w:tcW w:w="813" w:type="pct"/>
                  <w:vMerge w:val="continue"/>
                  <w:vAlign w:val="center"/>
                </w:tcPr>
                <w:p w14:paraId="1FE472D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0C480B8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26A64BE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106F8F4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34A0F03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2B90CD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857" w:type="pct"/>
                  <w:vAlign w:val="center"/>
                </w:tcPr>
                <w:p w14:paraId="7A8A9C0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17442</w:t>
                  </w:r>
                </w:p>
              </w:tc>
              <w:tc>
                <w:tcPr>
                  <w:tcW w:w="667" w:type="pct"/>
                  <w:vAlign w:val="center"/>
                </w:tcPr>
                <w:p w14:paraId="6F6E5F8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0.48</w:t>
                  </w:r>
                </w:p>
              </w:tc>
              <w:tc>
                <w:tcPr>
                  <w:tcW w:w="813" w:type="pct"/>
                  <w:vMerge w:val="continue"/>
                  <w:vAlign w:val="center"/>
                </w:tcPr>
                <w:p w14:paraId="1A91B37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40DC329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restart"/>
                  <w:vAlign w:val="center"/>
                </w:tcPr>
                <w:p w14:paraId="70F43AF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W2-4</w:t>
                  </w:r>
                </w:p>
              </w:tc>
              <w:tc>
                <w:tcPr>
                  <w:tcW w:w="762" w:type="pct"/>
                  <w:vMerge w:val="restart"/>
                  <w:vAlign w:val="center"/>
                </w:tcPr>
                <w:p w14:paraId="446B3D4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层析树脂再生废水</w:t>
                  </w:r>
                </w:p>
              </w:tc>
              <w:tc>
                <w:tcPr>
                  <w:tcW w:w="667" w:type="pct"/>
                  <w:vMerge w:val="restart"/>
                  <w:vAlign w:val="center"/>
                </w:tcPr>
                <w:p w14:paraId="3C703B2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72.511</w:t>
                  </w:r>
                </w:p>
              </w:tc>
              <w:tc>
                <w:tcPr>
                  <w:tcW w:w="763" w:type="pct"/>
                  <w:vAlign w:val="center"/>
                </w:tcPr>
                <w:p w14:paraId="18F5113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857" w:type="pct"/>
                  <w:vAlign w:val="center"/>
                </w:tcPr>
                <w:p w14:paraId="0326974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97</w:t>
                  </w:r>
                </w:p>
              </w:tc>
              <w:tc>
                <w:tcPr>
                  <w:tcW w:w="667" w:type="pct"/>
                  <w:vAlign w:val="center"/>
                </w:tcPr>
                <w:p w14:paraId="754BBD0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0.007</w:t>
                  </w:r>
                </w:p>
              </w:tc>
              <w:tc>
                <w:tcPr>
                  <w:tcW w:w="813" w:type="pct"/>
                  <w:vMerge w:val="continue"/>
                  <w:vAlign w:val="center"/>
                </w:tcPr>
                <w:p w14:paraId="6F1CB78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B2A530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2682AD2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4289AE4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76E4AA4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08E630E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857" w:type="pct"/>
                  <w:vAlign w:val="center"/>
                </w:tcPr>
                <w:p w14:paraId="1AF8F85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0.9</w:t>
                  </w:r>
                </w:p>
              </w:tc>
              <w:tc>
                <w:tcPr>
                  <w:tcW w:w="667" w:type="pct"/>
                  <w:vAlign w:val="center"/>
                </w:tcPr>
                <w:p w14:paraId="47A500E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0.00007</w:t>
                  </w:r>
                </w:p>
              </w:tc>
              <w:tc>
                <w:tcPr>
                  <w:tcW w:w="813" w:type="pct"/>
                  <w:vMerge w:val="continue"/>
                  <w:vAlign w:val="center"/>
                </w:tcPr>
                <w:p w14:paraId="06097D1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216C08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7FCC0FB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698E1DB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70195B4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4EEBA87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857" w:type="pct"/>
                  <w:vAlign w:val="center"/>
                </w:tcPr>
                <w:p w14:paraId="414FF9F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1.4</w:t>
                  </w:r>
                </w:p>
              </w:tc>
              <w:tc>
                <w:tcPr>
                  <w:tcW w:w="667" w:type="pct"/>
                  <w:vAlign w:val="center"/>
                </w:tcPr>
                <w:p w14:paraId="7FB307E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0.0001</w:t>
                  </w:r>
                </w:p>
              </w:tc>
              <w:tc>
                <w:tcPr>
                  <w:tcW w:w="813" w:type="pct"/>
                  <w:vMerge w:val="continue"/>
                  <w:vAlign w:val="center"/>
                </w:tcPr>
                <w:p w14:paraId="01E6FBA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332FEB3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4F4C6385">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1F270AA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1C6F67E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3BB1BCE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857" w:type="pct"/>
                  <w:vAlign w:val="center"/>
                </w:tcPr>
                <w:p w14:paraId="316C9AA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290</w:t>
                  </w:r>
                </w:p>
              </w:tc>
              <w:tc>
                <w:tcPr>
                  <w:tcW w:w="667" w:type="pct"/>
                  <w:vAlign w:val="center"/>
                </w:tcPr>
                <w:p w14:paraId="1163E73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0.021</w:t>
                  </w:r>
                </w:p>
              </w:tc>
              <w:tc>
                <w:tcPr>
                  <w:tcW w:w="813" w:type="pct"/>
                  <w:vMerge w:val="continue"/>
                  <w:vAlign w:val="center"/>
                </w:tcPr>
                <w:p w14:paraId="725AFC2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48D3828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center"/>
                </w:tcPr>
                <w:p w14:paraId="547187C1">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center"/>
                </w:tcPr>
                <w:p w14:paraId="2608219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center"/>
                </w:tcPr>
                <w:p w14:paraId="75A64B63">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473B029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857" w:type="pct"/>
                  <w:vAlign w:val="center"/>
                </w:tcPr>
                <w:p w14:paraId="6752B7C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16687</w:t>
                  </w:r>
                </w:p>
              </w:tc>
              <w:tc>
                <w:tcPr>
                  <w:tcW w:w="667" w:type="pct"/>
                  <w:vAlign w:val="center"/>
                </w:tcPr>
                <w:p w14:paraId="2D5937A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1.21</w:t>
                  </w:r>
                </w:p>
              </w:tc>
              <w:tc>
                <w:tcPr>
                  <w:tcW w:w="813" w:type="pct"/>
                  <w:vMerge w:val="continue"/>
                  <w:vAlign w:val="center"/>
                </w:tcPr>
                <w:p w14:paraId="3041C77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6C05DFF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68" w:type="pct"/>
                  <w:vMerge w:val="restart"/>
                  <w:vAlign w:val="center"/>
                </w:tcPr>
                <w:p w14:paraId="06F1BBF0">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W2-5</w:t>
                  </w:r>
                </w:p>
              </w:tc>
              <w:tc>
                <w:tcPr>
                  <w:tcW w:w="762" w:type="pct"/>
                  <w:vMerge w:val="restart"/>
                  <w:vAlign w:val="center"/>
                </w:tcPr>
                <w:p w14:paraId="66FCF3AE">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旋蒸废水</w:t>
                  </w:r>
                </w:p>
              </w:tc>
              <w:tc>
                <w:tcPr>
                  <w:tcW w:w="667" w:type="pct"/>
                  <w:vMerge w:val="restart"/>
                  <w:vAlign w:val="center"/>
                </w:tcPr>
                <w:p w14:paraId="5E3578FB">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8.363</w:t>
                  </w:r>
                </w:p>
              </w:tc>
              <w:tc>
                <w:tcPr>
                  <w:tcW w:w="763" w:type="pct"/>
                  <w:vAlign w:val="center"/>
                </w:tcPr>
                <w:p w14:paraId="7068BC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857" w:type="pct"/>
                  <w:vAlign w:val="center"/>
                </w:tcPr>
                <w:p w14:paraId="243F14F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1913</w:t>
                  </w:r>
                </w:p>
              </w:tc>
              <w:tc>
                <w:tcPr>
                  <w:tcW w:w="667" w:type="pct"/>
                  <w:vAlign w:val="center"/>
                </w:tcPr>
                <w:p w14:paraId="6CC5825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0.016</w:t>
                  </w:r>
                </w:p>
              </w:tc>
              <w:tc>
                <w:tcPr>
                  <w:tcW w:w="813" w:type="pct"/>
                  <w:vMerge w:val="continue"/>
                  <w:vAlign w:val="center"/>
                </w:tcPr>
                <w:p w14:paraId="48433088">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2C4930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bottom"/>
                </w:tcPr>
                <w:p w14:paraId="02BFA68D">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bottom"/>
                </w:tcPr>
                <w:p w14:paraId="41A8840F">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bottom"/>
                </w:tcPr>
                <w:p w14:paraId="6B699407">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2DEDE4A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857" w:type="pct"/>
                  <w:vAlign w:val="center"/>
                </w:tcPr>
                <w:p w14:paraId="59F387C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8</w:t>
                  </w:r>
                </w:p>
              </w:tc>
              <w:tc>
                <w:tcPr>
                  <w:tcW w:w="667" w:type="pct"/>
                  <w:vAlign w:val="center"/>
                </w:tcPr>
                <w:p w14:paraId="498CB5A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0.00007</w:t>
                  </w:r>
                </w:p>
              </w:tc>
              <w:tc>
                <w:tcPr>
                  <w:tcW w:w="813" w:type="pct"/>
                  <w:vMerge w:val="continue"/>
                  <w:vAlign w:val="center"/>
                </w:tcPr>
                <w:p w14:paraId="3727BCC4">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r w14:paraId="509E599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468" w:type="pct"/>
                  <w:vMerge w:val="continue"/>
                  <w:vAlign w:val="bottom"/>
                </w:tcPr>
                <w:p w14:paraId="13D8D97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2" w:type="pct"/>
                  <w:vMerge w:val="continue"/>
                  <w:vAlign w:val="bottom"/>
                </w:tcPr>
                <w:p w14:paraId="0A9EA40C">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667" w:type="pct"/>
                  <w:vMerge w:val="continue"/>
                  <w:vAlign w:val="bottom"/>
                </w:tcPr>
                <w:p w14:paraId="4386628A">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color w:val="auto"/>
                      <w:sz w:val="21"/>
                    </w:rPr>
                  </w:pPr>
                </w:p>
              </w:tc>
              <w:tc>
                <w:tcPr>
                  <w:tcW w:w="763" w:type="pct"/>
                  <w:vAlign w:val="center"/>
                </w:tcPr>
                <w:p w14:paraId="5D276C3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857" w:type="pct"/>
                  <w:vAlign w:val="center"/>
                </w:tcPr>
                <w:p w14:paraId="16139C6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12</w:t>
                  </w:r>
                </w:p>
              </w:tc>
              <w:tc>
                <w:tcPr>
                  <w:tcW w:w="667" w:type="pct"/>
                  <w:vAlign w:val="center"/>
                </w:tcPr>
                <w:p w14:paraId="6C67A51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0.0001</w:t>
                  </w:r>
                </w:p>
              </w:tc>
              <w:tc>
                <w:tcPr>
                  <w:tcW w:w="813" w:type="pct"/>
                  <w:vMerge w:val="continue"/>
                  <w:vAlign w:val="center"/>
                </w:tcPr>
                <w:p w14:paraId="2BCC8D96">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Cs/>
                      <w:color w:val="auto"/>
                      <w:sz w:val="21"/>
                    </w:rPr>
                  </w:pPr>
                </w:p>
              </w:tc>
            </w:tr>
          </w:tbl>
          <w:p w14:paraId="4C581CE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w:t>
            </w:r>
            <w:r>
              <w:rPr>
                <w:rFonts w:hint="eastAsia" w:eastAsia="仿宋_GB2312"/>
                <w:bCs/>
                <w:color w:val="auto"/>
                <w:sz w:val="24"/>
                <w:lang w:val="en-US" w:eastAsia="zh-CN"/>
              </w:rPr>
              <w:t>4</w:t>
            </w:r>
            <w:r>
              <w:rPr>
                <w:rFonts w:hint="default" w:eastAsia="仿宋_GB2312"/>
                <w:bCs/>
                <w:color w:val="auto"/>
                <w:sz w:val="24"/>
              </w:rPr>
              <w:t>）固废具体见下表。</w:t>
            </w:r>
          </w:p>
          <w:p w14:paraId="38A891E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23</w:t>
            </w:r>
            <w:r>
              <w:rPr>
                <w:rFonts w:hint="default" w:eastAsia="仿宋_GB2312"/>
                <w:b/>
                <w:color w:val="auto"/>
                <w:sz w:val="22"/>
                <w:szCs w:val="22"/>
              </w:rPr>
              <w:t xml:space="preserve">  固废产生源强一览表</w:t>
            </w:r>
          </w:p>
          <w:tbl>
            <w:tblPr>
              <w:tblStyle w:val="16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45" w:type="dxa"/>
                <w:bottom w:w="0" w:type="dxa"/>
                <w:right w:w="45" w:type="dxa"/>
              </w:tblCellMar>
            </w:tblPr>
            <w:tblGrid>
              <w:gridCol w:w="481"/>
              <w:gridCol w:w="470"/>
              <w:gridCol w:w="830"/>
              <w:gridCol w:w="1106"/>
              <w:gridCol w:w="857"/>
              <w:gridCol w:w="589"/>
              <w:gridCol w:w="756"/>
              <w:gridCol w:w="747"/>
              <w:gridCol w:w="690"/>
              <w:gridCol w:w="486"/>
              <w:gridCol w:w="525"/>
              <w:gridCol w:w="867"/>
            </w:tblGrid>
            <w:tr w14:paraId="11BC1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286" w:type="pct"/>
                  <w:vAlign w:val="center"/>
                </w:tcPr>
                <w:p w14:paraId="562EFB7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编号</w:t>
                  </w:r>
                </w:p>
              </w:tc>
              <w:tc>
                <w:tcPr>
                  <w:tcW w:w="279" w:type="pct"/>
                  <w:vAlign w:val="center"/>
                </w:tcPr>
                <w:p w14:paraId="69D42569">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固废名称</w:t>
                  </w:r>
                </w:p>
              </w:tc>
              <w:tc>
                <w:tcPr>
                  <w:tcW w:w="493" w:type="pct"/>
                  <w:vAlign w:val="center"/>
                </w:tcPr>
                <w:p w14:paraId="3852601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废物类别</w:t>
                  </w:r>
                </w:p>
              </w:tc>
              <w:tc>
                <w:tcPr>
                  <w:tcW w:w="657" w:type="pct"/>
                  <w:vAlign w:val="center"/>
                </w:tcPr>
                <w:p w14:paraId="7531408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废物代码</w:t>
                  </w:r>
                </w:p>
              </w:tc>
              <w:tc>
                <w:tcPr>
                  <w:tcW w:w="509" w:type="pct"/>
                  <w:vAlign w:val="center"/>
                </w:tcPr>
                <w:p w14:paraId="53CBF88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产生工序</w:t>
                  </w:r>
                </w:p>
              </w:tc>
              <w:tc>
                <w:tcPr>
                  <w:tcW w:w="350" w:type="pct"/>
                  <w:vAlign w:val="center"/>
                </w:tcPr>
                <w:p w14:paraId="6C184DD5">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性状</w:t>
                  </w:r>
                </w:p>
              </w:tc>
              <w:tc>
                <w:tcPr>
                  <w:tcW w:w="449" w:type="pct"/>
                  <w:vAlign w:val="center"/>
                </w:tcPr>
                <w:p w14:paraId="3399389C">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主要成分</w:t>
                  </w:r>
                </w:p>
              </w:tc>
              <w:tc>
                <w:tcPr>
                  <w:tcW w:w="444" w:type="pct"/>
                  <w:vAlign w:val="center"/>
                </w:tcPr>
                <w:p w14:paraId="2D6474B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有害成分</w:t>
                  </w:r>
                </w:p>
              </w:tc>
              <w:tc>
                <w:tcPr>
                  <w:tcW w:w="410" w:type="pct"/>
                  <w:vAlign w:val="center"/>
                </w:tcPr>
                <w:p w14:paraId="1160457F">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产废</w:t>
                  </w:r>
                </w:p>
                <w:p w14:paraId="75A35B51">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周期</w:t>
                  </w:r>
                </w:p>
              </w:tc>
              <w:tc>
                <w:tcPr>
                  <w:tcW w:w="289" w:type="pct"/>
                  <w:vAlign w:val="center"/>
                </w:tcPr>
                <w:p w14:paraId="51B9CEA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危险</w:t>
                  </w:r>
                </w:p>
                <w:p w14:paraId="0CE0CC2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特性</w:t>
                  </w:r>
                </w:p>
              </w:tc>
              <w:tc>
                <w:tcPr>
                  <w:tcW w:w="312" w:type="pct"/>
                  <w:vAlign w:val="center"/>
                </w:tcPr>
                <w:p w14:paraId="3677310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产生量</w:t>
                  </w:r>
                </w:p>
                <w:p w14:paraId="202116C2">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(t/a)</w:t>
                  </w:r>
                </w:p>
              </w:tc>
              <w:tc>
                <w:tcPr>
                  <w:tcW w:w="515" w:type="pct"/>
                  <w:vAlign w:val="center"/>
                </w:tcPr>
                <w:p w14:paraId="0E4270F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污染防治措施</w:t>
                  </w:r>
                </w:p>
              </w:tc>
            </w:tr>
            <w:tr w14:paraId="0D201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286" w:type="pct"/>
                  <w:vAlign w:val="center"/>
                </w:tcPr>
                <w:p w14:paraId="61E5F3C0">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S</w:t>
                  </w:r>
                  <w:r>
                    <w:rPr>
                      <w:rFonts w:hint="default" w:ascii="Times New Roman" w:hAnsi="Times New Roman"/>
                      <w:color w:val="auto"/>
                    </w:rPr>
                    <w:t>2</w:t>
                  </w:r>
                  <w:r>
                    <w:rPr>
                      <w:rFonts w:hint="eastAsia" w:ascii="Times New Roman" w:hAnsi="Times New Roman"/>
                      <w:color w:val="auto"/>
                    </w:rPr>
                    <w:t>-1</w:t>
                  </w:r>
                </w:p>
              </w:tc>
              <w:tc>
                <w:tcPr>
                  <w:tcW w:w="279" w:type="pct"/>
                  <w:vAlign w:val="center"/>
                </w:tcPr>
                <w:p w14:paraId="4D177235">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浓缩菌液</w:t>
                  </w:r>
                </w:p>
              </w:tc>
              <w:tc>
                <w:tcPr>
                  <w:tcW w:w="493" w:type="pct"/>
                  <w:vAlign w:val="center"/>
                </w:tcPr>
                <w:p w14:paraId="78615B6B">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SW59</w:t>
                  </w:r>
                </w:p>
              </w:tc>
              <w:tc>
                <w:tcPr>
                  <w:tcW w:w="657" w:type="pct"/>
                  <w:vAlign w:val="center"/>
                </w:tcPr>
                <w:p w14:paraId="6925C50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900-099-S59</w:t>
                  </w:r>
                </w:p>
              </w:tc>
              <w:tc>
                <w:tcPr>
                  <w:tcW w:w="509" w:type="pct"/>
                  <w:vAlign w:val="center"/>
                </w:tcPr>
                <w:p w14:paraId="73B6DB1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olor w:val="auto"/>
                    </w:rPr>
                    <w:t>陶瓷膜过滤</w:t>
                  </w:r>
                </w:p>
              </w:tc>
              <w:tc>
                <w:tcPr>
                  <w:tcW w:w="350" w:type="pct"/>
                  <w:vAlign w:val="center"/>
                </w:tcPr>
                <w:p w14:paraId="1E6C452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液态</w:t>
                  </w:r>
                </w:p>
              </w:tc>
              <w:tc>
                <w:tcPr>
                  <w:tcW w:w="449" w:type="pct"/>
                  <w:vAlign w:val="center"/>
                </w:tcPr>
                <w:p w14:paraId="2028CD5E">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水、菌体</w:t>
                  </w:r>
                </w:p>
              </w:tc>
              <w:tc>
                <w:tcPr>
                  <w:tcW w:w="444" w:type="pct"/>
                  <w:vAlign w:val="center"/>
                </w:tcPr>
                <w:p w14:paraId="28F32A2E">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410" w:type="pct"/>
                  <w:vAlign w:val="center"/>
                </w:tcPr>
                <w:p w14:paraId="0858A39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color w:val="auto"/>
                      <w:szCs w:val="21"/>
                    </w:rPr>
                    <w:t>每批次</w:t>
                  </w:r>
                </w:p>
              </w:tc>
              <w:tc>
                <w:tcPr>
                  <w:tcW w:w="289" w:type="pct"/>
                  <w:vAlign w:val="center"/>
                </w:tcPr>
                <w:p w14:paraId="519807E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312" w:type="pct"/>
                  <w:vAlign w:val="center"/>
                </w:tcPr>
                <w:p w14:paraId="7ABAF3A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10.87</w:t>
                  </w:r>
                </w:p>
              </w:tc>
              <w:tc>
                <w:tcPr>
                  <w:tcW w:w="515" w:type="pct"/>
                  <w:vAlign w:val="center"/>
                </w:tcPr>
                <w:p w14:paraId="77A928B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作为一般固废委外处置</w:t>
                  </w:r>
                </w:p>
              </w:tc>
            </w:tr>
          </w:tbl>
          <w:p w14:paraId="45996EBA">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sz w:val="24"/>
                <w:lang w:val="zh-CN"/>
              </w:rPr>
            </w:pPr>
          </w:p>
          <w:p w14:paraId="32E55BBA">
            <w:pPr>
              <w:pStyle w:val="2"/>
              <w:keepNext w:val="0"/>
              <w:keepLines w:val="0"/>
              <w:suppressLineNumbers w:val="0"/>
              <w:spacing w:beforeAutospacing="0" w:afterAutospacing="0"/>
              <w:ind w:left="0"/>
              <w:rPr>
                <w:rFonts w:hint="default"/>
                <w:color w:val="auto"/>
                <w:lang w:val="zh-CN"/>
              </w:rPr>
            </w:pPr>
          </w:p>
          <w:p w14:paraId="69863D7E">
            <w:pPr>
              <w:pStyle w:val="3"/>
              <w:keepNext w:val="0"/>
              <w:keepLines w:val="0"/>
              <w:suppressLineNumbers w:val="0"/>
              <w:spacing w:before="0" w:beforeAutospacing="0" w:after="0" w:afterAutospacing="0"/>
              <w:ind w:right="0"/>
              <w:rPr>
                <w:rFonts w:hint="default"/>
                <w:color w:val="auto"/>
                <w:lang w:val="zh-CN"/>
              </w:rPr>
            </w:pPr>
          </w:p>
          <w:p w14:paraId="0F8B50FE">
            <w:pPr>
              <w:pStyle w:val="3"/>
              <w:keepNext w:val="0"/>
              <w:keepLines w:val="0"/>
              <w:suppressLineNumbers w:val="0"/>
              <w:spacing w:before="0" w:beforeAutospacing="0" w:after="0" w:afterAutospacing="0"/>
              <w:ind w:right="0"/>
              <w:rPr>
                <w:rFonts w:hint="default"/>
                <w:color w:val="auto"/>
                <w:lang w:val="zh-CN"/>
              </w:rPr>
            </w:pPr>
          </w:p>
          <w:p w14:paraId="71B92516">
            <w:pPr>
              <w:pStyle w:val="3"/>
              <w:keepNext w:val="0"/>
              <w:keepLines w:val="0"/>
              <w:suppressLineNumbers w:val="0"/>
              <w:spacing w:before="0" w:beforeAutospacing="0" w:after="0" w:afterAutospacing="0"/>
              <w:ind w:right="0"/>
              <w:rPr>
                <w:rFonts w:hint="default"/>
                <w:color w:val="auto"/>
                <w:lang w:val="zh-CN"/>
              </w:rPr>
            </w:pPr>
          </w:p>
          <w:p w14:paraId="65A2D318">
            <w:pPr>
              <w:pStyle w:val="3"/>
              <w:keepNext w:val="0"/>
              <w:keepLines w:val="0"/>
              <w:suppressLineNumbers w:val="0"/>
              <w:spacing w:before="0" w:beforeAutospacing="0" w:after="0" w:afterAutospacing="0"/>
              <w:ind w:right="0"/>
              <w:rPr>
                <w:rFonts w:hint="default"/>
                <w:color w:val="auto"/>
                <w:lang w:val="zh-CN"/>
              </w:rPr>
            </w:pPr>
          </w:p>
          <w:p w14:paraId="6BAE0EF2">
            <w:pPr>
              <w:pStyle w:val="3"/>
              <w:keepNext w:val="0"/>
              <w:keepLines w:val="0"/>
              <w:suppressLineNumbers w:val="0"/>
              <w:spacing w:before="0" w:beforeAutospacing="0" w:after="0" w:afterAutospacing="0"/>
              <w:ind w:right="0"/>
              <w:rPr>
                <w:rFonts w:hint="default"/>
                <w:color w:val="auto"/>
                <w:lang w:val="zh-CN"/>
              </w:rPr>
            </w:pPr>
          </w:p>
          <w:p w14:paraId="50324597">
            <w:pPr>
              <w:pStyle w:val="3"/>
              <w:keepNext w:val="0"/>
              <w:keepLines w:val="0"/>
              <w:suppressLineNumbers w:val="0"/>
              <w:spacing w:before="0" w:beforeAutospacing="0" w:after="0" w:afterAutospacing="0"/>
              <w:ind w:right="0"/>
              <w:rPr>
                <w:rFonts w:hint="default"/>
                <w:color w:val="auto"/>
                <w:lang w:val="zh-CN"/>
              </w:rPr>
            </w:pPr>
          </w:p>
          <w:p w14:paraId="61D4F599">
            <w:pPr>
              <w:pStyle w:val="3"/>
              <w:keepNext w:val="0"/>
              <w:keepLines w:val="0"/>
              <w:suppressLineNumbers w:val="0"/>
              <w:spacing w:before="0" w:beforeAutospacing="0" w:after="0" w:afterAutospacing="0"/>
              <w:ind w:right="0"/>
              <w:rPr>
                <w:rFonts w:hint="default"/>
                <w:color w:val="auto"/>
                <w:lang w:val="zh-CN"/>
              </w:rPr>
            </w:pPr>
          </w:p>
          <w:p w14:paraId="50D81102">
            <w:pPr>
              <w:pStyle w:val="3"/>
              <w:keepNext w:val="0"/>
              <w:keepLines w:val="0"/>
              <w:suppressLineNumbers w:val="0"/>
              <w:spacing w:before="0" w:beforeAutospacing="0" w:after="0" w:afterAutospacing="0"/>
              <w:ind w:right="0"/>
              <w:rPr>
                <w:rFonts w:hint="default"/>
                <w:color w:val="auto"/>
                <w:lang w:val="zh-CN"/>
              </w:rPr>
            </w:pPr>
          </w:p>
          <w:p w14:paraId="04D50898">
            <w:pPr>
              <w:pStyle w:val="3"/>
              <w:keepNext w:val="0"/>
              <w:keepLines w:val="0"/>
              <w:suppressLineNumbers w:val="0"/>
              <w:spacing w:before="0" w:beforeAutospacing="0" w:after="0" w:afterAutospacing="0"/>
              <w:ind w:right="0"/>
              <w:rPr>
                <w:rFonts w:hint="default"/>
                <w:color w:val="auto"/>
                <w:lang w:val="zh-CN"/>
              </w:rPr>
            </w:pPr>
          </w:p>
          <w:p w14:paraId="2D9FC2F0">
            <w:pPr>
              <w:pStyle w:val="3"/>
              <w:keepNext w:val="0"/>
              <w:keepLines w:val="0"/>
              <w:suppressLineNumbers w:val="0"/>
              <w:spacing w:before="0" w:beforeAutospacing="0" w:after="0" w:afterAutospacing="0"/>
              <w:ind w:right="0"/>
              <w:rPr>
                <w:rFonts w:hint="default"/>
                <w:color w:val="auto"/>
                <w:lang w:val="zh-CN"/>
              </w:rPr>
            </w:pPr>
          </w:p>
          <w:p w14:paraId="14D90375">
            <w:pPr>
              <w:pStyle w:val="3"/>
              <w:keepNext w:val="0"/>
              <w:keepLines w:val="0"/>
              <w:suppressLineNumbers w:val="0"/>
              <w:spacing w:before="0" w:beforeAutospacing="0" w:after="0" w:afterAutospacing="0"/>
              <w:ind w:right="0"/>
              <w:rPr>
                <w:rFonts w:hint="default"/>
                <w:color w:val="auto"/>
                <w:lang w:val="zh-CN"/>
              </w:rPr>
            </w:pPr>
          </w:p>
          <w:p w14:paraId="632F206B">
            <w:pPr>
              <w:pStyle w:val="3"/>
              <w:keepNext w:val="0"/>
              <w:keepLines w:val="0"/>
              <w:suppressLineNumbers w:val="0"/>
              <w:spacing w:before="0" w:beforeAutospacing="0" w:after="0" w:afterAutospacing="0"/>
              <w:ind w:right="0"/>
              <w:rPr>
                <w:rFonts w:hint="default"/>
                <w:color w:val="auto"/>
                <w:lang w:val="zh-CN"/>
              </w:rPr>
            </w:pPr>
          </w:p>
          <w:p w14:paraId="09AA2F11">
            <w:pPr>
              <w:pStyle w:val="3"/>
              <w:keepNext w:val="0"/>
              <w:keepLines w:val="0"/>
              <w:suppressLineNumbers w:val="0"/>
              <w:spacing w:before="0" w:beforeAutospacing="0" w:after="0" w:afterAutospacing="0"/>
              <w:ind w:right="0"/>
              <w:rPr>
                <w:rFonts w:hint="default"/>
                <w:color w:val="auto"/>
                <w:lang w:val="zh-CN"/>
              </w:rPr>
            </w:pPr>
          </w:p>
          <w:p w14:paraId="6E32D39A">
            <w:pPr>
              <w:keepNext w:val="0"/>
              <w:keepLines w:val="0"/>
              <w:suppressLineNumbers w:val="0"/>
              <w:spacing w:before="0" w:beforeAutospacing="0" w:after="0" w:afterAutospacing="0" w:line="500" w:lineRule="exact"/>
              <w:ind w:left="0" w:right="0"/>
              <w:rPr>
                <w:rFonts w:hint="default" w:eastAsia="仿宋_GB2312"/>
                <w:b/>
                <w:color w:val="auto"/>
                <w:sz w:val="24"/>
                <w:highlight w:val="none"/>
                <w:lang w:val="zh-CN"/>
              </w:rPr>
            </w:pPr>
            <w:r>
              <w:rPr>
                <w:rFonts w:hint="eastAsia" w:eastAsia="仿宋_GB2312"/>
                <w:b/>
                <w:color w:val="auto"/>
                <w:sz w:val="24"/>
                <w:highlight w:val="none"/>
                <w:lang w:val="zh-CN"/>
              </w:rPr>
              <w:t>三</w:t>
            </w:r>
            <w:r>
              <w:rPr>
                <w:rFonts w:hint="default" w:eastAsia="仿宋_GB2312"/>
                <w:b/>
                <w:color w:val="auto"/>
                <w:sz w:val="24"/>
                <w:highlight w:val="none"/>
                <w:lang w:val="zh-CN"/>
              </w:rPr>
              <w:t>、保健食品胶囊项目工程分析</w:t>
            </w:r>
          </w:p>
          <w:p w14:paraId="50691DA5">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t>（一）工艺流程</w:t>
            </w:r>
          </w:p>
          <w:p w14:paraId="76412253">
            <w:pPr>
              <w:keepNext w:val="0"/>
              <w:keepLines w:val="0"/>
              <w:suppressLineNumbers w:val="0"/>
              <w:spacing w:before="0" w:beforeAutospacing="0" w:after="0" w:afterAutospacing="0"/>
              <w:ind w:left="0" w:right="0"/>
              <w:jc w:val="center"/>
              <w:rPr>
                <w:rFonts w:hint="default" w:eastAsia="仿宋_GB2312"/>
                <w:color w:val="auto"/>
                <w:sz w:val="24"/>
                <w:lang w:val="zh-CN"/>
              </w:rPr>
            </w:pPr>
            <w:r>
              <w:rPr>
                <w:rFonts w:hint="default"/>
                <w:color w:val="auto"/>
              </w:rPr>
              <w:object>
                <v:shape id="_x0000_i1029" o:spt="75" type="#_x0000_t75" style="height:473.05pt;width:387.55pt;" o:ole="t" filled="f" o:preferrelative="t" stroked="f" coordsize="21600,21600">
                  <v:path/>
                  <v:fill on="f" focussize="0,0"/>
                  <v:stroke on="f"/>
                  <v:imagedata r:id="rId26" o:title=""/>
                  <o:lock v:ext="edit" aspectratio="t"/>
                  <w10:wrap type="none"/>
                  <w10:anchorlock/>
                </v:shape>
                <o:OLEObject Type="Embed" ProgID="Visio.Drawing.15" ShapeID="_x0000_i1029" DrawAspect="Content" ObjectID="_1468075729" r:id="rId25">
                  <o:LockedField>false</o:LockedField>
                </o:OLEObject>
              </w:object>
            </w:r>
          </w:p>
          <w:p w14:paraId="1849696F">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图2-</w:t>
            </w:r>
            <w:r>
              <w:rPr>
                <w:rFonts w:hint="eastAsia" w:eastAsia="仿宋_GB2312"/>
                <w:b/>
                <w:color w:val="auto"/>
                <w:sz w:val="22"/>
                <w:szCs w:val="22"/>
                <w:lang w:val="en-US" w:eastAsia="zh-CN"/>
              </w:rPr>
              <w:t>5</w:t>
            </w:r>
            <w:r>
              <w:rPr>
                <w:rFonts w:hint="default" w:eastAsia="仿宋_GB2312"/>
                <w:b/>
                <w:color w:val="auto"/>
                <w:sz w:val="22"/>
                <w:szCs w:val="22"/>
              </w:rPr>
              <w:t xml:space="preserve">  本项目</w:t>
            </w:r>
            <w:r>
              <w:rPr>
                <w:rFonts w:hint="default" w:eastAsia="仿宋_GB2312"/>
                <w:b/>
                <w:color w:val="auto"/>
                <w:sz w:val="22"/>
                <w:szCs w:val="22"/>
                <w:highlight w:val="none"/>
              </w:rPr>
              <w:t>γ-氨基丁酸</w:t>
            </w:r>
            <w:r>
              <w:rPr>
                <w:rFonts w:hint="default" w:eastAsia="仿宋_GB2312"/>
                <w:b/>
                <w:color w:val="auto"/>
                <w:sz w:val="22"/>
                <w:szCs w:val="22"/>
              </w:rPr>
              <w:t>（二氢槲皮素）保健食品胶囊生产工艺流程图</w:t>
            </w:r>
          </w:p>
          <w:p w14:paraId="592D9758">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sz w:val="24"/>
              </w:rPr>
            </w:pPr>
            <w:r>
              <w:rPr>
                <w:rFonts w:hint="default" w:eastAsia="仿宋_GB2312"/>
                <w:b/>
                <w:bCs/>
                <w:color w:val="auto"/>
                <w:sz w:val="24"/>
              </w:rPr>
              <w:t>生产工艺流程简述：</w:t>
            </w:r>
          </w:p>
          <w:p w14:paraId="10DF6B60">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①称量、投料</w:t>
            </w:r>
          </w:p>
          <w:p w14:paraId="095267A5">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固体原辅材料称量、投料集中在一楼称量间内，固体原辅材料按需称量，称量后的固体原辅材料投入真空上料机转移至各工段机器中，该过程产生称量、投料废气，称量间整体换风。由于固体原辅材料种类较多，固体原辅材料称量、投料、配制废气在公辅工程废气中统一核算，不计入下述物料平衡。</w:t>
            </w:r>
          </w:p>
          <w:p w14:paraId="219A597C">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②混合</w:t>
            </w:r>
          </w:p>
          <w:p w14:paraId="396FB0BD">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物料经真空上料机抽入三维混合机充分混合均匀。混合过程中产生混合废气G3-1。</w:t>
            </w:r>
          </w:p>
          <w:p w14:paraId="3B0A503F">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③湿法制粒</w:t>
            </w:r>
          </w:p>
          <w:p w14:paraId="66D699F4">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混合后物料、微晶纤维素、水分别经密闭管道投入，经湿法制粒处理成颗粒。制粒过程在密闭空间和湿性条件下进行，不产生颗粒物。</w:t>
            </w:r>
          </w:p>
          <w:p w14:paraId="1B2A41BB">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④沸腾干燥</w:t>
            </w:r>
          </w:p>
          <w:p w14:paraId="1C80F1D3">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颗粒经管道进入沸腾干燥机的干燥室，蒸汽由引风机从下部导入，在干燥室内形成流态化，水分快速蒸发后随着排气带走，干燥物料。干燥后的物料通过沸腾干燥机自带的布袋捕集器收集，收料效率为99%，收料过程产生沸腾干燥废气G3-2。干燥颗粒经过真空出料系统传送至密闭料斗中。</w:t>
            </w:r>
          </w:p>
          <w:p w14:paraId="0DFE2E24">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⑤胶囊装载</w:t>
            </w:r>
          </w:p>
          <w:p w14:paraId="792CF3AE">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干燥颗粒经管道传输至全自动胶囊充填机的料斗中，胶囊皮和定量的干燥颗粒在密闭空间内完成灌装和锁囊密封。这一工段会产生少量颗粒物G3-3和少量废胶囊S3-1。</w:t>
            </w:r>
          </w:p>
          <w:p w14:paraId="4CAE388D">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⑥包装</w:t>
            </w:r>
          </w:p>
          <w:p w14:paraId="387E8840">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测试检验合格后成品经给袋式数粒装袋机包装入库。</w:t>
            </w:r>
          </w:p>
          <w:p w14:paraId="1E7593CA">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w:t>
            </w:r>
            <w:r>
              <w:rPr>
                <w:rFonts w:hint="eastAsia" w:eastAsia="仿宋_GB2312"/>
                <w:b w:val="0"/>
                <w:bCs/>
                <w:color w:val="auto"/>
                <w:sz w:val="24"/>
                <w:lang w:val="zh-CN"/>
              </w:rPr>
              <w:t>二</w:t>
            </w:r>
            <w:r>
              <w:rPr>
                <w:rFonts w:hint="default" w:eastAsia="仿宋_GB2312"/>
                <w:b w:val="0"/>
                <w:bCs/>
                <w:color w:val="auto"/>
                <w:sz w:val="24"/>
                <w:lang w:val="zh-CN"/>
              </w:rPr>
              <w:t>）</w:t>
            </w:r>
            <w:r>
              <w:rPr>
                <w:rFonts w:hint="eastAsia" w:eastAsia="仿宋_GB2312"/>
                <w:b w:val="0"/>
                <w:bCs/>
                <w:color w:val="auto"/>
                <w:sz w:val="24"/>
                <w:lang w:val="zh-CN"/>
              </w:rPr>
              <w:t>设备清单</w:t>
            </w:r>
          </w:p>
          <w:p w14:paraId="287CAAD8">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eastAsia" w:eastAsia="仿宋_GB2312"/>
                <w:b w:val="0"/>
                <w:bCs/>
                <w:color w:val="auto"/>
                <w:sz w:val="24"/>
                <w:lang w:val="zh-CN"/>
              </w:rPr>
              <w:t>本项目保健食品胶囊生产线的主要生产设备情况见下表。</w:t>
            </w:r>
          </w:p>
          <w:p w14:paraId="37F1D1A0">
            <w:pPr>
              <w:keepNext w:val="0"/>
              <w:keepLines w:val="0"/>
              <w:suppressLineNumbers w:val="0"/>
              <w:adjustRightInd w:val="0"/>
              <w:snapToGrid w:val="0"/>
              <w:spacing w:before="0" w:beforeAutospacing="0" w:after="0" w:afterAutospacing="0" w:line="500" w:lineRule="exact"/>
              <w:ind w:left="0" w:right="0"/>
              <w:jc w:val="center"/>
              <w:rPr>
                <w:rFonts w:hint="eastAsia" w:eastAsia="仿宋_GB2312"/>
                <w:b/>
                <w:color w:val="auto"/>
                <w:sz w:val="22"/>
                <w:szCs w:val="22"/>
              </w:rPr>
            </w:pPr>
            <w:r>
              <w:rPr>
                <w:rFonts w:hint="eastAsia" w:eastAsia="仿宋_GB2312"/>
                <w:b/>
                <w:color w:val="auto"/>
                <w:sz w:val="22"/>
                <w:szCs w:val="22"/>
              </w:rPr>
              <w:t>表</w:t>
            </w:r>
            <w:r>
              <w:rPr>
                <w:rFonts w:hint="eastAsia" w:eastAsia="仿宋_GB2312"/>
                <w:b/>
                <w:color w:val="auto"/>
                <w:sz w:val="22"/>
                <w:szCs w:val="22"/>
                <w:lang w:val="en-US" w:eastAsia="zh-CN"/>
              </w:rPr>
              <w:t>2-24</w:t>
            </w:r>
            <w:r>
              <w:rPr>
                <w:rFonts w:hint="eastAsia" w:eastAsia="仿宋_GB2312"/>
                <w:b/>
                <w:color w:val="auto"/>
                <w:sz w:val="22"/>
                <w:szCs w:val="22"/>
              </w:rPr>
              <w:t xml:space="preserve"> 本项目主要生产设备汇总表</w:t>
            </w:r>
          </w:p>
          <w:tbl>
            <w:tblPr>
              <w:tblStyle w:val="87"/>
              <w:tblW w:w="451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28" w:type="dxa"/>
                <w:bottom w:w="0" w:type="dxa"/>
                <w:right w:w="28" w:type="dxa"/>
              </w:tblCellMar>
            </w:tblPr>
            <w:tblGrid>
              <w:gridCol w:w="630"/>
              <w:gridCol w:w="1739"/>
              <w:gridCol w:w="1775"/>
              <w:gridCol w:w="1055"/>
              <w:gridCol w:w="1441"/>
              <w:gridCol w:w="948"/>
            </w:tblGrid>
            <w:tr w14:paraId="0DD1DDE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5" w:type="pct"/>
                  <w:shd w:val="clear" w:color="000000" w:fill="FFFFFF"/>
                  <w:noWrap/>
                  <w:vAlign w:val="center"/>
                </w:tcPr>
                <w:p w14:paraId="228A2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序号</w:t>
                  </w:r>
                </w:p>
              </w:tc>
              <w:tc>
                <w:tcPr>
                  <w:tcW w:w="1145" w:type="pct"/>
                  <w:noWrap/>
                  <w:vAlign w:val="center"/>
                </w:tcPr>
                <w:p w14:paraId="35044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设备名称</w:t>
                  </w:r>
                </w:p>
              </w:tc>
              <w:tc>
                <w:tcPr>
                  <w:tcW w:w="1169" w:type="pct"/>
                  <w:noWrap/>
                  <w:vAlign w:val="center"/>
                </w:tcPr>
                <w:p w14:paraId="0CFF3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规格型号</w:t>
                  </w:r>
                </w:p>
              </w:tc>
              <w:tc>
                <w:tcPr>
                  <w:tcW w:w="695" w:type="pct"/>
                  <w:vAlign w:val="center"/>
                </w:tcPr>
                <w:p w14:paraId="1D1B6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材质</w:t>
                  </w:r>
                </w:p>
              </w:tc>
              <w:tc>
                <w:tcPr>
                  <w:tcW w:w="949" w:type="pct"/>
                  <w:vAlign w:val="center"/>
                </w:tcPr>
                <w:p w14:paraId="26A9F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数量</w:t>
                  </w:r>
                </w:p>
                <w:p w14:paraId="469ED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（台/套）</w:t>
                  </w:r>
                </w:p>
              </w:tc>
              <w:tc>
                <w:tcPr>
                  <w:tcW w:w="624" w:type="pct"/>
                  <w:vAlign w:val="center"/>
                </w:tcPr>
                <w:p w14:paraId="23861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设备</w:t>
                  </w:r>
                </w:p>
                <w:p w14:paraId="1CD14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来源</w:t>
                  </w:r>
                </w:p>
              </w:tc>
            </w:tr>
            <w:tr w14:paraId="7D1CCED6">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5" w:type="pct"/>
                  <w:shd w:val="clear" w:color="000000" w:fill="FFFFFF"/>
                  <w:noWrap/>
                  <w:vAlign w:val="center"/>
                </w:tcPr>
                <w:p w14:paraId="6B500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c>
                <w:tcPr>
                  <w:tcW w:w="1145" w:type="pct"/>
                  <w:noWrap/>
                  <w:vAlign w:val="center"/>
                </w:tcPr>
                <w:p w14:paraId="51F12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三维混合机</w:t>
                  </w:r>
                </w:p>
              </w:tc>
              <w:tc>
                <w:tcPr>
                  <w:tcW w:w="1169" w:type="pct"/>
                  <w:noWrap/>
                  <w:vAlign w:val="center"/>
                </w:tcPr>
                <w:p w14:paraId="33EA6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FZH-200</w:t>
                  </w:r>
                </w:p>
              </w:tc>
              <w:tc>
                <w:tcPr>
                  <w:tcW w:w="695" w:type="pct"/>
                  <w:vAlign w:val="center"/>
                </w:tcPr>
                <w:p w14:paraId="7631B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不锈钢</w:t>
                  </w:r>
                </w:p>
              </w:tc>
              <w:tc>
                <w:tcPr>
                  <w:tcW w:w="949" w:type="pct"/>
                  <w:vAlign w:val="center"/>
                </w:tcPr>
                <w:p w14:paraId="41D21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c>
                <w:tcPr>
                  <w:tcW w:w="624" w:type="pct"/>
                  <w:vMerge w:val="restart"/>
                  <w:vAlign w:val="center"/>
                </w:tcPr>
                <w:p w14:paraId="2A645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国内</w:t>
                  </w:r>
                </w:p>
              </w:tc>
            </w:tr>
            <w:tr w14:paraId="4D073B3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5" w:type="pct"/>
                  <w:shd w:val="clear" w:color="000000" w:fill="FFFFFF"/>
                  <w:noWrap/>
                  <w:vAlign w:val="center"/>
                </w:tcPr>
                <w:p w14:paraId="69C35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w:t>
                  </w:r>
                </w:p>
              </w:tc>
              <w:tc>
                <w:tcPr>
                  <w:tcW w:w="1145" w:type="pct"/>
                  <w:noWrap/>
                  <w:vAlign w:val="center"/>
                </w:tcPr>
                <w:p w14:paraId="72BB8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湿法制粒机</w:t>
                  </w:r>
                </w:p>
              </w:tc>
              <w:tc>
                <w:tcPr>
                  <w:tcW w:w="1169" w:type="pct"/>
                  <w:noWrap/>
                  <w:vAlign w:val="center"/>
                </w:tcPr>
                <w:p w14:paraId="51F053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GHL-250</w:t>
                  </w:r>
                </w:p>
              </w:tc>
              <w:tc>
                <w:tcPr>
                  <w:tcW w:w="695" w:type="pct"/>
                  <w:vAlign w:val="center"/>
                </w:tcPr>
                <w:p w14:paraId="25D05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不锈钢</w:t>
                  </w:r>
                </w:p>
              </w:tc>
              <w:tc>
                <w:tcPr>
                  <w:tcW w:w="949" w:type="pct"/>
                  <w:vAlign w:val="center"/>
                </w:tcPr>
                <w:p w14:paraId="6E8C4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c>
                <w:tcPr>
                  <w:tcW w:w="624" w:type="pct"/>
                  <w:vMerge w:val="continue"/>
                  <w:vAlign w:val="center"/>
                </w:tcPr>
                <w:p w14:paraId="09548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1A790635">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5" w:type="pct"/>
                  <w:shd w:val="clear" w:color="000000" w:fill="FFFFFF"/>
                  <w:noWrap/>
                  <w:vAlign w:val="center"/>
                </w:tcPr>
                <w:p w14:paraId="162B29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c>
                <w:tcPr>
                  <w:tcW w:w="1145" w:type="pct"/>
                  <w:noWrap/>
                  <w:vAlign w:val="center"/>
                </w:tcPr>
                <w:p w14:paraId="1203F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沸腾干燥机</w:t>
                  </w:r>
                </w:p>
                <w:p w14:paraId="4DD46ADA">
                  <w:pPr>
                    <w:pStyle w:val="74"/>
                    <w:keepNext w:val="0"/>
                    <w:keepLines w:val="0"/>
                    <w:pageBreakBefore w:val="0"/>
                    <w:widowControl w:val="0"/>
                    <w:suppressLineNumbers w:val="0"/>
                    <w:tabs>
                      <w:tab w:val="left" w:pos="460"/>
                      <w:tab w:val="right" w:leader="dot" w:pos="8296"/>
                    </w:tabs>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t>（含布袋捕集器）</w:t>
                  </w:r>
                </w:p>
              </w:tc>
              <w:tc>
                <w:tcPr>
                  <w:tcW w:w="1169" w:type="pct"/>
                  <w:noWrap/>
                  <w:vAlign w:val="center"/>
                </w:tcPr>
                <w:p w14:paraId="6CE0B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GFG100</w:t>
                  </w:r>
                </w:p>
              </w:tc>
              <w:tc>
                <w:tcPr>
                  <w:tcW w:w="695" w:type="pct"/>
                  <w:vAlign w:val="center"/>
                </w:tcPr>
                <w:p w14:paraId="2D7C7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不锈钢</w:t>
                  </w:r>
                </w:p>
              </w:tc>
              <w:tc>
                <w:tcPr>
                  <w:tcW w:w="949" w:type="pct"/>
                  <w:vAlign w:val="center"/>
                </w:tcPr>
                <w:p w14:paraId="5FCEA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c>
                <w:tcPr>
                  <w:tcW w:w="624" w:type="pct"/>
                  <w:vMerge w:val="continue"/>
                  <w:vAlign w:val="center"/>
                </w:tcPr>
                <w:p w14:paraId="632BF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24BBC573">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5" w:type="pct"/>
                  <w:shd w:val="clear" w:color="000000" w:fill="FFFFFF"/>
                  <w:noWrap/>
                  <w:vAlign w:val="center"/>
                </w:tcPr>
                <w:p w14:paraId="7BF6B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w:t>
                  </w:r>
                </w:p>
              </w:tc>
              <w:tc>
                <w:tcPr>
                  <w:tcW w:w="1145" w:type="pct"/>
                  <w:noWrap/>
                  <w:vAlign w:val="center"/>
                </w:tcPr>
                <w:p w14:paraId="1FC05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胶囊充填机</w:t>
                  </w:r>
                </w:p>
              </w:tc>
              <w:tc>
                <w:tcPr>
                  <w:tcW w:w="1169" w:type="pct"/>
                  <w:noWrap/>
                  <w:vAlign w:val="center"/>
                </w:tcPr>
                <w:p w14:paraId="15B46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NJP1000</w:t>
                  </w:r>
                </w:p>
              </w:tc>
              <w:tc>
                <w:tcPr>
                  <w:tcW w:w="695" w:type="pct"/>
                  <w:vAlign w:val="center"/>
                </w:tcPr>
                <w:p w14:paraId="7BC5C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不锈钢</w:t>
                  </w:r>
                </w:p>
              </w:tc>
              <w:tc>
                <w:tcPr>
                  <w:tcW w:w="949" w:type="pct"/>
                  <w:vAlign w:val="center"/>
                </w:tcPr>
                <w:p w14:paraId="7D79F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c>
                <w:tcPr>
                  <w:tcW w:w="624" w:type="pct"/>
                  <w:vMerge w:val="continue"/>
                  <w:vAlign w:val="center"/>
                </w:tcPr>
                <w:p w14:paraId="3FBE9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5CEA4DF3">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5" w:type="pct"/>
                  <w:shd w:val="clear" w:color="000000" w:fill="FFFFFF"/>
                  <w:noWrap/>
                  <w:vAlign w:val="center"/>
                </w:tcPr>
                <w:p w14:paraId="4BFD0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w:t>
                  </w:r>
                </w:p>
              </w:tc>
              <w:tc>
                <w:tcPr>
                  <w:tcW w:w="1145" w:type="pct"/>
                  <w:noWrap/>
                  <w:vAlign w:val="center"/>
                </w:tcPr>
                <w:p w14:paraId="328E90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给袋式数粒装袋机</w:t>
                  </w:r>
                </w:p>
              </w:tc>
              <w:tc>
                <w:tcPr>
                  <w:tcW w:w="1169" w:type="pct"/>
                  <w:noWrap/>
                  <w:vAlign w:val="center"/>
                </w:tcPr>
                <w:p w14:paraId="26A42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695" w:type="pct"/>
                  <w:vAlign w:val="center"/>
                </w:tcPr>
                <w:p w14:paraId="12A548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不锈钢</w:t>
                  </w:r>
                </w:p>
              </w:tc>
              <w:tc>
                <w:tcPr>
                  <w:tcW w:w="949" w:type="pct"/>
                  <w:vAlign w:val="center"/>
                </w:tcPr>
                <w:p w14:paraId="49EE3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c>
                <w:tcPr>
                  <w:tcW w:w="624" w:type="pct"/>
                  <w:vMerge w:val="continue"/>
                  <w:vAlign w:val="center"/>
                </w:tcPr>
                <w:p w14:paraId="19903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2BEA99B6">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5" w:type="pct"/>
                  <w:shd w:val="clear" w:color="000000" w:fill="FFFFFF"/>
                  <w:noWrap/>
                  <w:vAlign w:val="center"/>
                </w:tcPr>
                <w:p w14:paraId="61A2C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w:t>
                  </w:r>
                </w:p>
              </w:tc>
              <w:tc>
                <w:tcPr>
                  <w:tcW w:w="1145" w:type="pct"/>
                  <w:noWrap/>
                  <w:vAlign w:val="center"/>
                </w:tcPr>
                <w:p w14:paraId="2CD75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Cs/>
                      <w:color w:val="auto"/>
                      <w:kern w:val="0"/>
                      <w:sz w:val="21"/>
                    </w:rPr>
                    <w:t>电子秤</w:t>
                  </w:r>
                </w:p>
              </w:tc>
              <w:tc>
                <w:tcPr>
                  <w:tcW w:w="1169" w:type="pct"/>
                  <w:noWrap/>
                  <w:vAlign w:val="center"/>
                </w:tcPr>
                <w:p w14:paraId="34B52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Cs/>
                      <w:color w:val="auto"/>
                      <w:kern w:val="0"/>
                      <w:sz w:val="21"/>
                    </w:rPr>
                    <w:t>/</w:t>
                  </w:r>
                </w:p>
              </w:tc>
              <w:tc>
                <w:tcPr>
                  <w:tcW w:w="695" w:type="pct"/>
                  <w:vAlign w:val="center"/>
                </w:tcPr>
                <w:p w14:paraId="1D827F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不锈钢</w:t>
                  </w:r>
                </w:p>
              </w:tc>
              <w:tc>
                <w:tcPr>
                  <w:tcW w:w="949" w:type="pct"/>
                  <w:vAlign w:val="center"/>
                </w:tcPr>
                <w:p w14:paraId="652C1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c>
                <w:tcPr>
                  <w:tcW w:w="624" w:type="pct"/>
                  <w:vMerge w:val="continue"/>
                  <w:vAlign w:val="center"/>
                </w:tcPr>
                <w:p w14:paraId="24522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5B2E1C64">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5" w:type="pct"/>
                  <w:shd w:val="clear" w:color="000000" w:fill="FFFFFF"/>
                  <w:noWrap/>
                  <w:vAlign w:val="center"/>
                </w:tcPr>
                <w:p w14:paraId="5AE8D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w:t>
                  </w:r>
                </w:p>
              </w:tc>
              <w:tc>
                <w:tcPr>
                  <w:tcW w:w="1145" w:type="pct"/>
                  <w:noWrap/>
                  <w:vAlign w:val="center"/>
                </w:tcPr>
                <w:p w14:paraId="42DEF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Cs/>
                      <w:color w:val="auto"/>
                      <w:kern w:val="0"/>
                      <w:sz w:val="21"/>
                    </w:rPr>
                    <w:t>负压称量罩</w:t>
                  </w:r>
                </w:p>
              </w:tc>
              <w:tc>
                <w:tcPr>
                  <w:tcW w:w="1169" w:type="pct"/>
                  <w:noWrap/>
                  <w:vAlign w:val="center"/>
                </w:tcPr>
                <w:p w14:paraId="3462B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bCs/>
                      <w:color w:val="auto"/>
                      <w:kern w:val="0"/>
                      <w:sz w:val="21"/>
                    </w:rPr>
                    <w:t>/</w:t>
                  </w:r>
                </w:p>
              </w:tc>
              <w:tc>
                <w:tcPr>
                  <w:tcW w:w="695" w:type="pct"/>
                  <w:vAlign w:val="center"/>
                </w:tcPr>
                <w:p w14:paraId="7F4430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不锈钢</w:t>
                  </w:r>
                </w:p>
              </w:tc>
              <w:tc>
                <w:tcPr>
                  <w:tcW w:w="949" w:type="pct"/>
                  <w:vAlign w:val="center"/>
                </w:tcPr>
                <w:p w14:paraId="31D81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c>
                <w:tcPr>
                  <w:tcW w:w="624" w:type="pct"/>
                  <w:vMerge w:val="continue"/>
                  <w:vAlign w:val="center"/>
                </w:tcPr>
                <w:p w14:paraId="6ECA3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bl>
          <w:p w14:paraId="7F992795">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t>（</w:t>
            </w:r>
            <w:r>
              <w:rPr>
                <w:rFonts w:hint="eastAsia" w:eastAsia="仿宋_GB2312"/>
                <w:b/>
                <w:color w:val="auto"/>
                <w:sz w:val="24"/>
                <w:lang w:val="zh-CN"/>
              </w:rPr>
              <w:t>三</w:t>
            </w:r>
            <w:r>
              <w:rPr>
                <w:rFonts w:hint="default" w:eastAsia="仿宋_GB2312"/>
                <w:b/>
                <w:color w:val="auto"/>
                <w:sz w:val="24"/>
                <w:lang w:val="zh-CN"/>
              </w:rPr>
              <w:t>）物料平衡</w:t>
            </w:r>
          </w:p>
          <w:p w14:paraId="67EF7C0B">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1、γ-氨基丁酸、二氢槲皮素保健食品胶囊物料平衡</w:t>
            </w:r>
          </w:p>
          <w:p w14:paraId="27B2C202">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fldChar w:fldCharType="begin"/>
            </w:r>
            <w:r>
              <w:rPr>
                <w:rFonts w:hint="default" w:eastAsia="仿宋_GB2312"/>
                <w:b w:val="0"/>
                <w:bCs/>
                <w:color w:val="auto"/>
                <w:sz w:val="24"/>
                <w:lang w:val="zh-CN"/>
              </w:rPr>
              <w:instrText xml:space="preserve"> = 1 \* GB3 </w:instrText>
            </w:r>
            <w:r>
              <w:rPr>
                <w:rFonts w:hint="default" w:eastAsia="仿宋_GB2312"/>
                <w:b w:val="0"/>
                <w:bCs/>
                <w:color w:val="auto"/>
                <w:sz w:val="24"/>
                <w:lang w:val="zh-CN"/>
              </w:rPr>
              <w:fldChar w:fldCharType="separate"/>
            </w:r>
            <w:r>
              <w:rPr>
                <w:rFonts w:hint="default" w:eastAsia="仿宋_GB2312"/>
                <w:b w:val="0"/>
                <w:bCs/>
                <w:color w:val="auto"/>
                <w:sz w:val="24"/>
                <w:lang w:val="zh-CN"/>
              </w:rPr>
              <w:t>①</w:t>
            </w:r>
            <w:r>
              <w:rPr>
                <w:rFonts w:hint="default" w:eastAsia="仿宋_GB2312"/>
                <w:b w:val="0"/>
                <w:bCs/>
                <w:color w:val="auto"/>
                <w:sz w:val="24"/>
                <w:lang w:val="zh-CN"/>
              </w:rPr>
              <w:fldChar w:fldCharType="end"/>
            </w:r>
            <w:r>
              <w:rPr>
                <w:rFonts w:hint="default" w:eastAsia="仿宋_GB2312"/>
                <w:b w:val="0"/>
                <w:bCs/>
                <w:color w:val="auto"/>
                <w:sz w:val="24"/>
                <w:lang w:val="zh-CN"/>
              </w:rPr>
              <w:t>原辅材料用量</w:t>
            </w:r>
          </w:p>
          <w:p w14:paraId="5F820C91">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eastAsia" w:eastAsia="仿宋_GB2312"/>
                <w:b/>
                <w:color w:val="auto"/>
                <w:sz w:val="22"/>
                <w:szCs w:val="22"/>
              </w:rPr>
              <w:t>表</w:t>
            </w:r>
            <w:r>
              <w:rPr>
                <w:rFonts w:hint="eastAsia" w:eastAsia="仿宋_GB2312"/>
                <w:b/>
                <w:color w:val="auto"/>
                <w:sz w:val="22"/>
                <w:szCs w:val="22"/>
                <w:lang w:val="en-US" w:eastAsia="zh-CN"/>
              </w:rPr>
              <w:t>2-25</w:t>
            </w:r>
            <w:r>
              <w:rPr>
                <w:rFonts w:hint="default" w:eastAsia="仿宋_GB2312"/>
                <w:b/>
                <w:color w:val="auto"/>
                <w:sz w:val="22"/>
                <w:szCs w:val="22"/>
              </w:rPr>
              <w:t xml:space="preserve">   </w:t>
            </w:r>
            <w:r>
              <w:rPr>
                <w:rFonts w:hint="eastAsia" w:eastAsia="仿宋_GB2312"/>
                <w:b/>
                <w:color w:val="auto"/>
                <w:sz w:val="22"/>
                <w:szCs w:val="22"/>
              </w:rPr>
              <w:t>本项目γ-氨基丁酸保健食品胶囊原辅料用量情况</w:t>
            </w:r>
          </w:p>
          <w:tbl>
            <w:tblPr>
              <w:tblStyle w:val="1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88"/>
              <w:gridCol w:w="1179"/>
              <w:gridCol w:w="835"/>
              <w:gridCol w:w="514"/>
              <w:gridCol w:w="785"/>
              <w:gridCol w:w="845"/>
              <w:gridCol w:w="1479"/>
              <w:gridCol w:w="1233"/>
              <w:gridCol w:w="554"/>
            </w:tblGrid>
            <w:tr w14:paraId="7E417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587" w:type="pct"/>
                  <w:noWrap/>
                  <w:tcMar>
                    <w:left w:w="57" w:type="dxa"/>
                    <w:right w:w="57" w:type="dxa"/>
                  </w:tcMar>
                  <w:vAlign w:val="center"/>
                </w:tcPr>
                <w:p w14:paraId="5309A95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生产线</w:t>
                  </w:r>
                </w:p>
              </w:tc>
              <w:tc>
                <w:tcPr>
                  <w:tcW w:w="700" w:type="pct"/>
                  <w:noWrap/>
                  <w:tcMar>
                    <w:left w:w="57" w:type="dxa"/>
                    <w:right w:w="57" w:type="dxa"/>
                  </w:tcMar>
                  <w:vAlign w:val="center"/>
                </w:tcPr>
                <w:p w14:paraId="1D98315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物料名称</w:t>
                  </w:r>
                </w:p>
              </w:tc>
              <w:tc>
                <w:tcPr>
                  <w:tcW w:w="496" w:type="pct"/>
                  <w:noWrap/>
                  <w:tcMar>
                    <w:left w:w="57" w:type="dxa"/>
                    <w:right w:w="57" w:type="dxa"/>
                  </w:tcMar>
                  <w:vAlign w:val="center"/>
                </w:tcPr>
                <w:p w14:paraId="4EF539F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规格</w:t>
                  </w:r>
                </w:p>
              </w:tc>
              <w:tc>
                <w:tcPr>
                  <w:tcW w:w="305" w:type="pct"/>
                  <w:noWrap/>
                  <w:tcMar>
                    <w:left w:w="57" w:type="dxa"/>
                    <w:right w:w="57" w:type="dxa"/>
                  </w:tcMar>
                  <w:vAlign w:val="center"/>
                </w:tcPr>
                <w:p w14:paraId="58E2FA6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形态</w:t>
                  </w:r>
                </w:p>
              </w:tc>
              <w:tc>
                <w:tcPr>
                  <w:tcW w:w="466" w:type="pct"/>
                  <w:vAlign w:val="center"/>
                </w:tcPr>
                <w:p w14:paraId="3D6126A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单耗</w:t>
                  </w:r>
                </w:p>
                <w:p w14:paraId="528405F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(kg/t产品)</w:t>
                  </w:r>
                </w:p>
              </w:tc>
              <w:tc>
                <w:tcPr>
                  <w:tcW w:w="502" w:type="pct"/>
                  <w:vAlign w:val="center"/>
                </w:tcPr>
                <w:p w14:paraId="1B5746F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年用量(t/a)</w:t>
                  </w:r>
                </w:p>
              </w:tc>
              <w:tc>
                <w:tcPr>
                  <w:tcW w:w="878" w:type="pct"/>
                  <w:noWrap/>
                  <w:tcMar>
                    <w:left w:w="57" w:type="dxa"/>
                    <w:right w:w="57" w:type="dxa"/>
                  </w:tcMar>
                  <w:vAlign w:val="center"/>
                </w:tcPr>
                <w:p w14:paraId="678701A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包装</w:t>
                  </w:r>
                </w:p>
                <w:p w14:paraId="0DCDF4F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方式及规格</w:t>
                  </w:r>
                </w:p>
              </w:tc>
              <w:tc>
                <w:tcPr>
                  <w:tcW w:w="732" w:type="pct"/>
                  <w:noWrap/>
                  <w:tcMar>
                    <w:left w:w="57" w:type="dxa"/>
                    <w:right w:w="57" w:type="dxa"/>
                  </w:tcMar>
                  <w:vAlign w:val="center"/>
                </w:tcPr>
                <w:p w14:paraId="4E0F06A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来源及</w:t>
                  </w:r>
                </w:p>
                <w:p w14:paraId="533741B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运输</w:t>
                  </w:r>
                </w:p>
              </w:tc>
              <w:tc>
                <w:tcPr>
                  <w:tcW w:w="329" w:type="pct"/>
                  <w:vAlign w:val="center"/>
                </w:tcPr>
                <w:p w14:paraId="42D069A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存储地点</w:t>
                  </w:r>
                </w:p>
              </w:tc>
            </w:tr>
            <w:tr w14:paraId="22F5E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587" w:type="pct"/>
                  <w:vMerge w:val="restart"/>
                  <w:noWrap/>
                  <w:tcMar>
                    <w:left w:w="57" w:type="dxa"/>
                    <w:right w:w="57" w:type="dxa"/>
                  </w:tcMar>
                  <w:vAlign w:val="center"/>
                </w:tcPr>
                <w:p w14:paraId="3794D06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γ-氨基丁酸保健食品胶囊</w:t>
                  </w:r>
                </w:p>
              </w:tc>
              <w:tc>
                <w:tcPr>
                  <w:tcW w:w="700" w:type="pct"/>
                  <w:noWrap/>
                  <w:tcMar>
                    <w:left w:w="57" w:type="dxa"/>
                    <w:right w:w="57" w:type="dxa"/>
                  </w:tcMar>
                  <w:vAlign w:val="center"/>
                </w:tcPr>
                <w:p w14:paraId="2EEE3F8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微晶纤维素</w:t>
                  </w:r>
                </w:p>
              </w:tc>
              <w:tc>
                <w:tcPr>
                  <w:tcW w:w="496" w:type="pct"/>
                  <w:noWrap/>
                  <w:tcMar>
                    <w:left w:w="57" w:type="dxa"/>
                    <w:right w:w="57" w:type="dxa"/>
                  </w:tcMar>
                  <w:vAlign w:val="center"/>
                </w:tcPr>
                <w:p w14:paraId="16B0239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99%</w:t>
                  </w:r>
                </w:p>
              </w:tc>
              <w:tc>
                <w:tcPr>
                  <w:tcW w:w="305" w:type="pct"/>
                  <w:noWrap/>
                  <w:tcMar>
                    <w:left w:w="57" w:type="dxa"/>
                    <w:right w:w="57" w:type="dxa"/>
                  </w:tcMar>
                  <w:vAlign w:val="center"/>
                </w:tcPr>
                <w:p w14:paraId="2944984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粉状</w:t>
                  </w:r>
                </w:p>
              </w:tc>
              <w:tc>
                <w:tcPr>
                  <w:tcW w:w="466" w:type="pct"/>
                  <w:vAlign w:val="center"/>
                </w:tcPr>
                <w:p w14:paraId="7DFEA52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37.33</w:t>
                  </w:r>
                </w:p>
              </w:tc>
              <w:tc>
                <w:tcPr>
                  <w:tcW w:w="502" w:type="pct"/>
                  <w:vAlign w:val="center"/>
                </w:tcPr>
                <w:p w14:paraId="5D53FF5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0.168</w:t>
                  </w:r>
                </w:p>
              </w:tc>
              <w:tc>
                <w:tcPr>
                  <w:tcW w:w="878" w:type="pct"/>
                  <w:noWrap/>
                  <w:tcMar>
                    <w:left w:w="57" w:type="dxa"/>
                    <w:right w:w="57" w:type="dxa"/>
                  </w:tcMar>
                  <w:vAlign w:val="center"/>
                </w:tcPr>
                <w:p w14:paraId="1F3FB1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桶装，25kg</w:t>
                  </w:r>
                  <w:r>
                    <w:rPr>
                      <w:rFonts w:hint="default" w:ascii="Times New Roman" w:hAnsi="Times New Roman"/>
                      <w:color w:val="auto"/>
                    </w:rPr>
                    <w:t xml:space="preserve"> </w:t>
                  </w:r>
                </w:p>
              </w:tc>
              <w:tc>
                <w:tcPr>
                  <w:tcW w:w="732" w:type="pct"/>
                  <w:vMerge w:val="restart"/>
                  <w:noWrap/>
                  <w:tcMar>
                    <w:left w:w="57" w:type="dxa"/>
                    <w:right w:w="57" w:type="dxa"/>
                  </w:tcMar>
                  <w:vAlign w:val="center"/>
                </w:tcPr>
                <w:p w14:paraId="36768DC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s="Calibri"/>
                      <w:color w:val="auto"/>
                      <w:szCs w:val="21"/>
                    </w:rPr>
                    <w:t>国内，公路运输，桶装汽车运输</w:t>
                  </w:r>
                </w:p>
              </w:tc>
              <w:tc>
                <w:tcPr>
                  <w:tcW w:w="329" w:type="pct"/>
                  <w:vMerge w:val="restart"/>
                  <w:vAlign w:val="center"/>
                </w:tcPr>
                <w:p w14:paraId="43EEA5D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s="Calibri"/>
                      <w:color w:val="auto"/>
                      <w:szCs w:val="21"/>
                      <w:lang w:val="en-US"/>
                    </w:rPr>
                    <w:t>阴凉库</w:t>
                  </w:r>
                </w:p>
              </w:tc>
            </w:tr>
            <w:tr w14:paraId="36587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587" w:type="pct"/>
                  <w:vMerge w:val="continue"/>
                  <w:noWrap/>
                  <w:tcMar>
                    <w:left w:w="57" w:type="dxa"/>
                    <w:right w:w="57" w:type="dxa"/>
                  </w:tcMar>
                  <w:vAlign w:val="center"/>
                </w:tcPr>
                <w:p w14:paraId="4F3FABB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700" w:type="pct"/>
                  <w:noWrap/>
                  <w:tcMar>
                    <w:left w:w="57" w:type="dxa"/>
                    <w:right w:w="57" w:type="dxa"/>
                  </w:tcMar>
                  <w:vAlign w:val="center"/>
                </w:tcPr>
                <w:p w14:paraId="16E7047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cs="Calibri"/>
                      <w:color w:val="auto"/>
                      <w:szCs w:val="21"/>
                    </w:rPr>
                    <w:t>低聚原花青素</w:t>
                  </w:r>
                </w:p>
              </w:tc>
              <w:tc>
                <w:tcPr>
                  <w:tcW w:w="496" w:type="pct"/>
                  <w:noWrap/>
                  <w:tcMar>
                    <w:left w:w="57" w:type="dxa"/>
                    <w:right w:w="57" w:type="dxa"/>
                  </w:tcMar>
                  <w:vAlign w:val="center"/>
                </w:tcPr>
                <w:p w14:paraId="6D381C4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95%</w:t>
                  </w:r>
                </w:p>
              </w:tc>
              <w:tc>
                <w:tcPr>
                  <w:tcW w:w="305" w:type="pct"/>
                  <w:noWrap/>
                  <w:tcMar>
                    <w:left w:w="57" w:type="dxa"/>
                    <w:right w:w="57" w:type="dxa"/>
                  </w:tcMar>
                  <w:vAlign w:val="center"/>
                </w:tcPr>
                <w:p w14:paraId="4442435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cs="Calibri"/>
                      <w:color w:val="auto"/>
                      <w:szCs w:val="21"/>
                    </w:rPr>
                    <w:t>粉状</w:t>
                  </w:r>
                </w:p>
              </w:tc>
              <w:tc>
                <w:tcPr>
                  <w:tcW w:w="466" w:type="pct"/>
                  <w:vAlign w:val="center"/>
                </w:tcPr>
                <w:p w14:paraId="706F8A6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289.72</w:t>
                  </w:r>
                </w:p>
              </w:tc>
              <w:tc>
                <w:tcPr>
                  <w:tcW w:w="502" w:type="pct"/>
                  <w:vAlign w:val="center"/>
                </w:tcPr>
                <w:p w14:paraId="0CE9AED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1</w:t>
                  </w:r>
                  <w:r>
                    <w:rPr>
                      <w:rFonts w:hint="default" w:ascii="Times New Roman" w:hAnsi="Times New Roman"/>
                      <w:color w:val="auto"/>
                    </w:rPr>
                    <w:t>.</w:t>
                  </w:r>
                  <w:r>
                    <w:rPr>
                      <w:rFonts w:hint="eastAsia" w:ascii="Times New Roman" w:hAnsi="Times New Roman"/>
                      <w:color w:val="auto"/>
                      <w:lang w:val="en-US"/>
                    </w:rPr>
                    <w:t>3</w:t>
                  </w:r>
                </w:p>
              </w:tc>
              <w:tc>
                <w:tcPr>
                  <w:tcW w:w="878" w:type="pct"/>
                  <w:noWrap/>
                  <w:tcMar>
                    <w:left w:w="57" w:type="dxa"/>
                    <w:right w:w="57" w:type="dxa"/>
                  </w:tcMar>
                  <w:vAlign w:val="center"/>
                </w:tcPr>
                <w:p w14:paraId="24F0C3C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桶装，25kg</w:t>
                  </w:r>
                  <w:r>
                    <w:rPr>
                      <w:rFonts w:hint="default" w:ascii="Times New Roman" w:hAnsi="Times New Roman"/>
                      <w:color w:val="auto"/>
                    </w:rPr>
                    <w:t xml:space="preserve"> </w:t>
                  </w:r>
                </w:p>
              </w:tc>
              <w:tc>
                <w:tcPr>
                  <w:tcW w:w="732" w:type="pct"/>
                  <w:vMerge w:val="continue"/>
                  <w:noWrap/>
                  <w:tcMar>
                    <w:left w:w="57" w:type="dxa"/>
                    <w:right w:w="57" w:type="dxa"/>
                  </w:tcMar>
                  <w:vAlign w:val="center"/>
                </w:tcPr>
                <w:p w14:paraId="373ED32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329" w:type="pct"/>
                  <w:vMerge w:val="continue"/>
                  <w:vAlign w:val="center"/>
                </w:tcPr>
                <w:p w14:paraId="088B9A2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r>
            <w:tr w14:paraId="1B4A8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587" w:type="pct"/>
                  <w:vMerge w:val="continue"/>
                  <w:noWrap/>
                  <w:tcMar>
                    <w:left w:w="57" w:type="dxa"/>
                    <w:right w:w="57" w:type="dxa"/>
                  </w:tcMar>
                  <w:vAlign w:val="center"/>
                </w:tcPr>
                <w:p w14:paraId="7277CE3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700" w:type="pct"/>
                  <w:noWrap/>
                  <w:tcMar>
                    <w:left w:w="57" w:type="dxa"/>
                    <w:right w:w="57" w:type="dxa"/>
                  </w:tcMar>
                  <w:vAlign w:val="center"/>
                </w:tcPr>
                <w:p w14:paraId="5319132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石榴提取物</w:t>
                  </w:r>
                </w:p>
              </w:tc>
              <w:tc>
                <w:tcPr>
                  <w:tcW w:w="496" w:type="pct"/>
                  <w:noWrap/>
                  <w:tcMar>
                    <w:left w:w="57" w:type="dxa"/>
                    <w:right w:w="57" w:type="dxa"/>
                  </w:tcMar>
                  <w:vAlign w:val="center"/>
                </w:tcPr>
                <w:p w14:paraId="17962EC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98%</w:t>
                  </w:r>
                </w:p>
              </w:tc>
              <w:tc>
                <w:tcPr>
                  <w:tcW w:w="305" w:type="pct"/>
                  <w:noWrap/>
                  <w:tcMar>
                    <w:left w:w="57" w:type="dxa"/>
                    <w:right w:w="57" w:type="dxa"/>
                  </w:tcMar>
                  <w:vAlign w:val="center"/>
                </w:tcPr>
                <w:p w14:paraId="583A0B2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粉状</w:t>
                  </w:r>
                </w:p>
              </w:tc>
              <w:tc>
                <w:tcPr>
                  <w:tcW w:w="466" w:type="pct"/>
                  <w:vAlign w:val="center"/>
                </w:tcPr>
                <w:p w14:paraId="7F2C6B1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289.19</w:t>
                  </w:r>
                </w:p>
              </w:tc>
              <w:tc>
                <w:tcPr>
                  <w:tcW w:w="502" w:type="pct"/>
                  <w:vAlign w:val="center"/>
                </w:tcPr>
                <w:p w14:paraId="32FE794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1.3</w:t>
                  </w:r>
                </w:p>
              </w:tc>
              <w:tc>
                <w:tcPr>
                  <w:tcW w:w="878" w:type="pct"/>
                  <w:noWrap/>
                  <w:tcMar>
                    <w:left w:w="57" w:type="dxa"/>
                    <w:right w:w="57" w:type="dxa"/>
                  </w:tcMar>
                  <w:vAlign w:val="center"/>
                </w:tcPr>
                <w:p w14:paraId="6C89EA5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桶装，25kg</w:t>
                  </w:r>
                </w:p>
              </w:tc>
              <w:tc>
                <w:tcPr>
                  <w:tcW w:w="732" w:type="pct"/>
                  <w:vMerge w:val="continue"/>
                  <w:noWrap/>
                  <w:tcMar>
                    <w:left w:w="57" w:type="dxa"/>
                    <w:right w:w="57" w:type="dxa"/>
                  </w:tcMar>
                  <w:vAlign w:val="center"/>
                </w:tcPr>
                <w:p w14:paraId="26D2B36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329" w:type="pct"/>
                  <w:vMerge w:val="continue"/>
                  <w:vAlign w:val="center"/>
                </w:tcPr>
                <w:p w14:paraId="59CEC7D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r>
            <w:tr w14:paraId="7E69E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587" w:type="pct"/>
                  <w:vMerge w:val="continue"/>
                  <w:noWrap/>
                  <w:tcMar>
                    <w:left w:w="57" w:type="dxa"/>
                    <w:right w:w="57" w:type="dxa"/>
                  </w:tcMar>
                  <w:vAlign w:val="center"/>
                </w:tcPr>
                <w:p w14:paraId="6DA4B78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700" w:type="pct"/>
                  <w:noWrap/>
                  <w:tcMar>
                    <w:left w:w="57" w:type="dxa"/>
                    <w:right w:w="57" w:type="dxa"/>
                  </w:tcMar>
                  <w:vAlign w:val="center"/>
                </w:tcPr>
                <w:p w14:paraId="53C3C26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cs="Calibri"/>
                      <w:color w:val="auto"/>
                      <w:szCs w:val="21"/>
                    </w:rPr>
                    <w:t>植物胶囊壳</w:t>
                  </w:r>
                </w:p>
              </w:tc>
              <w:tc>
                <w:tcPr>
                  <w:tcW w:w="496" w:type="pct"/>
                  <w:noWrap/>
                  <w:tcMar>
                    <w:left w:w="57" w:type="dxa"/>
                    <w:right w:w="57" w:type="dxa"/>
                  </w:tcMar>
                  <w:vAlign w:val="center"/>
                </w:tcPr>
                <w:p w14:paraId="7FCF9B8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食品级</w:t>
                  </w:r>
                </w:p>
              </w:tc>
              <w:tc>
                <w:tcPr>
                  <w:tcW w:w="305" w:type="pct"/>
                  <w:noWrap/>
                  <w:tcMar>
                    <w:left w:w="57" w:type="dxa"/>
                    <w:right w:w="57" w:type="dxa"/>
                  </w:tcMar>
                  <w:vAlign w:val="center"/>
                </w:tcPr>
                <w:p w14:paraId="6C767E3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cs="Calibri"/>
                      <w:color w:val="auto"/>
                      <w:szCs w:val="21"/>
                    </w:rPr>
                    <w:t>固体</w:t>
                  </w:r>
                </w:p>
              </w:tc>
              <w:tc>
                <w:tcPr>
                  <w:tcW w:w="466" w:type="pct"/>
                  <w:vAlign w:val="center"/>
                </w:tcPr>
                <w:p w14:paraId="6E45134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340</w:t>
                  </w:r>
                </w:p>
              </w:tc>
              <w:tc>
                <w:tcPr>
                  <w:tcW w:w="502" w:type="pct"/>
                  <w:vAlign w:val="center"/>
                </w:tcPr>
                <w:p w14:paraId="4E4E851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1.53</w:t>
                  </w:r>
                </w:p>
              </w:tc>
              <w:tc>
                <w:tcPr>
                  <w:tcW w:w="878" w:type="pct"/>
                  <w:noWrap/>
                  <w:tcMar>
                    <w:left w:w="57" w:type="dxa"/>
                    <w:right w:w="57" w:type="dxa"/>
                  </w:tcMar>
                  <w:vAlign w:val="center"/>
                </w:tcPr>
                <w:p w14:paraId="5CC462D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箱装，25kg</w:t>
                  </w:r>
                  <w:r>
                    <w:rPr>
                      <w:rFonts w:hint="default" w:ascii="Times New Roman" w:hAnsi="Times New Roman"/>
                      <w:color w:val="auto"/>
                    </w:rPr>
                    <w:t xml:space="preserve"> </w:t>
                  </w:r>
                </w:p>
              </w:tc>
              <w:tc>
                <w:tcPr>
                  <w:tcW w:w="732" w:type="pct"/>
                  <w:vMerge w:val="continue"/>
                  <w:noWrap/>
                  <w:tcMar>
                    <w:left w:w="57" w:type="dxa"/>
                    <w:right w:w="57" w:type="dxa"/>
                  </w:tcMar>
                  <w:vAlign w:val="center"/>
                </w:tcPr>
                <w:p w14:paraId="3E69D53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329" w:type="pct"/>
                  <w:vMerge w:val="continue"/>
                  <w:vAlign w:val="center"/>
                </w:tcPr>
                <w:p w14:paraId="290A7B6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r>
            <w:tr w14:paraId="5DF08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587" w:type="pct"/>
                  <w:vMerge w:val="continue"/>
                  <w:noWrap/>
                  <w:tcMar>
                    <w:left w:w="57" w:type="dxa"/>
                    <w:right w:w="57" w:type="dxa"/>
                  </w:tcMar>
                  <w:vAlign w:val="center"/>
                </w:tcPr>
                <w:p w14:paraId="4FC3B3E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Kg</w:t>
                  </w:r>
                </w:p>
              </w:tc>
              <w:tc>
                <w:tcPr>
                  <w:tcW w:w="700" w:type="pct"/>
                  <w:noWrap/>
                  <w:tcMar>
                    <w:left w:w="57" w:type="dxa"/>
                    <w:right w:w="57" w:type="dxa"/>
                  </w:tcMar>
                  <w:vAlign w:val="center"/>
                </w:tcPr>
                <w:p w14:paraId="587AFFB1">
                  <w:pPr>
                    <w:pStyle w:val="165"/>
                    <w:keepNext w:val="0"/>
                    <w:keepLines w:val="0"/>
                    <w:widowControl w:val="0"/>
                    <w:suppressLineNumbers w:val="0"/>
                    <w:snapToGrid w:val="0"/>
                    <w:spacing w:before="0" w:beforeAutospacing="0" w:after="0" w:afterAutospacing="0" w:line="320" w:lineRule="exact"/>
                    <w:ind w:left="0" w:right="0"/>
                    <w:rPr>
                      <w:rFonts w:hint="eastAsia" w:cs="Calibri"/>
                      <w:color w:val="auto"/>
                      <w:szCs w:val="21"/>
                    </w:rPr>
                  </w:pPr>
                  <w:r>
                    <w:rPr>
                      <w:rFonts w:hint="eastAsia" w:ascii="Times New Roman" w:hAnsi="Times New Roman"/>
                      <w:color w:val="auto"/>
                    </w:rPr>
                    <w:t>γ-氨基丁酸</w:t>
                  </w:r>
                </w:p>
              </w:tc>
              <w:tc>
                <w:tcPr>
                  <w:tcW w:w="496" w:type="pct"/>
                  <w:noWrap/>
                  <w:tcMar>
                    <w:left w:w="57" w:type="dxa"/>
                    <w:right w:w="57" w:type="dxa"/>
                  </w:tcMar>
                  <w:vAlign w:val="center"/>
                </w:tcPr>
                <w:p w14:paraId="4F855B0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9</w:t>
                  </w:r>
                  <w:r>
                    <w:rPr>
                      <w:rFonts w:hint="default" w:ascii="Times New Roman" w:hAnsi="Times New Roman"/>
                      <w:color w:val="auto"/>
                    </w:rPr>
                    <w:t>8</w:t>
                  </w:r>
                  <w:r>
                    <w:rPr>
                      <w:rFonts w:hint="eastAsia" w:ascii="Times New Roman" w:hAnsi="Times New Roman"/>
                      <w:color w:val="auto"/>
                      <w:lang w:val="en-US" w:eastAsia="zh-CN"/>
                    </w:rPr>
                    <w:t>.5</w:t>
                  </w:r>
                  <w:r>
                    <w:rPr>
                      <w:rFonts w:hint="default" w:ascii="Times New Roman" w:hAnsi="Times New Roman"/>
                      <w:color w:val="auto"/>
                    </w:rPr>
                    <w:t>%</w:t>
                  </w:r>
                </w:p>
              </w:tc>
              <w:tc>
                <w:tcPr>
                  <w:tcW w:w="305" w:type="pct"/>
                  <w:noWrap/>
                  <w:tcMar>
                    <w:left w:w="57" w:type="dxa"/>
                    <w:right w:w="57" w:type="dxa"/>
                  </w:tcMar>
                  <w:vAlign w:val="center"/>
                </w:tcPr>
                <w:p w14:paraId="6387F1F9">
                  <w:pPr>
                    <w:pStyle w:val="165"/>
                    <w:keepNext w:val="0"/>
                    <w:keepLines w:val="0"/>
                    <w:widowControl w:val="0"/>
                    <w:suppressLineNumbers w:val="0"/>
                    <w:snapToGrid w:val="0"/>
                    <w:spacing w:before="0" w:beforeAutospacing="0" w:after="0" w:afterAutospacing="0" w:line="320" w:lineRule="exact"/>
                    <w:ind w:left="0" w:right="0"/>
                    <w:rPr>
                      <w:rFonts w:hint="eastAsia" w:cs="Calibri"/>
                      <w:color w:val="auto"/>
                      <w:szCs w:val="21"/>
                    </w:rPr>
                  </w:pPr>
                  <w:r>
                    <w:rPr>
                      <w:rFonts w:hint="eastAsia" w:cs="Calibri"/>
                      <w:color w:val="auto"/>
                      <w:szCs w:val="21"/>
                    </w:rPr>
                    <w:t>粉状</w:t>
                  </w:r>
                </w:p>
              </w:tc>
              <w:tc>
                <w:tcPr>
                  <w:tcW w:w="466" w:type="pct"/>
                  <w:vAlign w:val="center"/>
                </w:tcPr>
                <w:p w14:paraId="50E0175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66.6</w:t>
                  </w:r>
                  <w:r>
                    <w:rPr>
                      <w:rFonts w:hint="default" w:ascii="Times New Roman" w:hAnsi="Times New Roman"/>
                      <w:color w:val="auto"/>
                    </w:rPr>
                    <w:t>7</w:t>
                  </w:r>
                </w:p>
              </w:tc>
              <w:tc>
                <w:tcPr>
                  <w:tcW w:w="502" w:type="pct"/>
                  <w:vAlign w:val="center"/>
                </w:tcPr>
                <w:p w14:paraId="20E8CB4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0.3</w:t>
                  </w:r>
                </w:p>
              </w:tc>
              <w:tc>
                <w:tcPr>
                  <w:tcW w:w="878" w:type="pct"/>
                  <w:noWrap/>
                  <w:tcMar>
                    <w:left w:w="57" w:type="dxa"/>
                    <w:right w:w="57" w:type="dxa"/>
                  </w:tcMar>
                  <w:vAlign w:val="center"/>
                </w:tcPr>
                <w:p w14:paraId="620630C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袋装</w:t>
                  </w:r>
                </w:p>
              </w:tc>
              <w:tc>
                <w:tcPr>
                  <w:tcW w:w="732" w:type="pct"/>
                  <w:noWrap/>
                  <w:tcMar>
                    <w:left w:w="57" w:type="dxa"/>
                    <w:right w:w="57" w:type="dxa"/>
                  </w:tcMar>
                  <w:vAlign w:val="center"/>
                </w:tcPr>
                <w:p w14:paraId="03BCF8D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自制</w:t>
                  </w:r>
                </w:p>
              </w:tc>
              <w:tc>
                <w:tcPr>
                  <w:tcW w:w="329" w:type="pct"/>
                  <w:vAlign w:val="center"/>
                </w:tcPr>
                <w:p w14:paraId="50D8687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成品冷库</w:t>
                  </w:r>
                </w:p>
              </w:tc>
            </w:tr>
            <w:tr w14:paraId="5630D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587" w:type="pct"/>
                  <w:vMerge w:val="continue"/>
                  <w:noWrap/>
                  <w:tcMar>
                    <w:left w:w="57" w:type="dxa"/>
                    <w:right w:w="57" w:type="dxa"/>
                  </w:tcMar>
                  <w:vAlign w:val="center"/>
                </w:tcPr>
                <w:p w14:paraId="6013AEB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700" w:type="pct"/>
                  <w:noWrap/>
                  <w:tcMar>
                    <w:left w:w="57" w:type="dxa"/>
                    <w:right w:w="57" w:type="dxa"/>
                  </w:tcMar>
                  <w:vAlign w:val="center"/>
                </w:tcPr>
                <w:p w14:paraId="0920318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纯水</w:t>
                  </w:r>
                </w:p>
              </w:tc>
              <w:tc>
                <w:tcPr>
                  <w:tcW w:w="496" w:type="pct"/>
                  <w:noWrap/>
                  <w:tcMar>
                    <w:left w:w="57" w:type="dxa"/>
                    <w:right w:w="57" w:type="dxa"/>
                  </w:tcMar>
                  <w:vAlign w:val="center"/>
                </w:tcPr>
                <w:p w14:paraId="7608775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305" w:type="pct"/>
                  <w:noWrap/>
                  <w:tcMar>
                    <w:left w:w="57" w:type="dxa"/>
                    <w:right w:w="57" w:type="dxa"/>
                  </w:tcMar>
                  <w:vAlign w:val="center"/>
                </w:tcPr>
                <w:p w14:paraId="2B92410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液体</w:t>
                  </w:r>
                </w:p>
              </w:tc>
              <w:tc>
                <w:tcPr>
                  <w:tcW w:w="466" w:type="pct"/>
                  <w:vAlign w:val="center"/>
                </w:tcPr>
                <w:p w14:paraId="1CAF985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88.8</w:t>
                  </w:r>
                  <w:r>
                    <w:rPr>
                      <w:rFonts w:hint="default" w:ascii="Times New Roman" w:hAnsi="Times New Roman"/>
                      <w:color w:val="auto"/>
                    </w:rPr>
                    <w:t>9</w:t>
                  </w:r>
                </w:p>
              </w:tc>
              <w:tc>
                <w:tcPr>
                  <w:tcW w:w="502" w:type="pct"/>
                  <w:vAlign w:val="center"/>
                </w:tcPr>
                <w:p w14:paraId="04BBB51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0.4</w:t>
                  </w:r>
                </w:p>
              </w:tc>
              <w:tc>
                <w:tcPr>
                  <w:tcW w:w="878" w:type="pct"/>
                  <w:noWrap/>
                  <w:tcMar>
                    <w:left w:w="57" w:type="dxa"/>
                    <w:right w:w="57" w:type="dxa"/>
                  </w:tcMar>
                  <w:vAlign w:val="center"/>
                </w:tcPr>
                <w:p w14:paraId="184A7BC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w:t>
                  </w:r>
                </w:p>
              </w:tc>
              <w:tc>
                <w:tcPr>
                  <w:tcW w:w="732" w:type="pct"/>
                  <w:noWrap/>
                  <w:tcMar>
                    <w:left w:w="57" w:type="dxa"/>
                    <w:right w:w="57" w:type="dxa"/>
                  </w:tcMar>
                  <w:vAlign w:val="center"/>
                </w:tcPr>
                <w:p w14:paraId="34A352C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自制</w:t>
                  </w:r>
                </w:p>
              </w:tc>
              <w:tc>
                <w:tcPr>
                  <w:tcW w:w="329" w:type="pct"/>
                  <w:vAlign w:val="center"/>
                </w:tcPr>
                <w:p w14:paraId="3090829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纯水间</w:t>
                  </w:r>
                </w:p>
              </w:tc>
            </w:tr>
          </w:tbl>
          <w:p w14:paraId="1B362282">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eastAsia" w:eastAsia="仿宋_GB2312"/>
                <w:b w:val="0"/>
                <w:bCs/>
                <w:color w:val="auto"/>
                <w:sz w:val="24"/>
                <w:lang w:val="zh-CN"/>
              </w:rPr>
              <w:t>本项目二氢槲皮素保健食品胶囊生产主要原辅料消耗情况下表。</w:t>
            </w:r>
          </w:p>
          <w:p w14:paraId="43F71163">
            <w:pPr>
              <w:keepNext w:val="0"/>
              <w:keepLines w:val="0"/>
              <w:suppressLineNumbers w:val="0"/>
              <w:adjustRightInd w:val="0"/>
              <w:snapToGrid w:val="0"/>
              <w:spacing w:before="0" w:beforeAutospacing="0" w:after="0" w:afterAutospacing="0" w:line="500" w:lineRule="exact"/>
              <w:ind w:left="0" w:right="0"/>
              <w:jc w:val="center"/>
              <w:rPr>
                <w:rFonts w:hint="eastAsia" w:eastAsia="仿宋_GB2312"/>
                <w:b/>
                <w:color w:val="auto"/>
                <w:sz w:val="22"/>
                <w:szCs w:val="22"/>
              </w:rPr>
            </w:pPr>
            <w:r>
              <w:rPr>
                <w:rFonts w:hint="eastAsia" w:eastAsia="仿宋_GB2312"/>
                <w:b/>
                <w:color w:val="auto"/>
                <w:sz w:val="22"/>
                <w:szCs w:val="22"/>
              </w:rPr>
              <w:t>表</w:t>
            </w:r>
            <w:r>
              <w:rPr>
                <w:rFonts w:hint="eastAsia" w:eastAsia="仿宋_GB2312"/>
                <w:b/>
                <w:color w:val="auto"/>
                <w:sz w:val="22"/>
                <w:szCs w:val="22"/>
                <w:lang w:val="en-US" w:eastAsia="zh-CN"/>
              </w:rPr>
              <w:t>2-26</w:t>
            </w:r>
            <w:r>
              <w:rPr>
                <w:rFonts w:hint="eastAsia" w:eastAsia="仿宋_GB2312"/>
                <w:b/>
                <w:color w:val="auto"/>
                <w:sz w:val="22"/>
                <w:szCs w:val="22"/>
              </w:rPr>
              <w:t xml:space="preserve">   二氢槲皮素保健食品胶囊原辅料用量情况</w:t>
            </w:r>
          </w:p>
          <w:tbl>
            <w:tblPr>
              <w:tblStyle w:val="16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68"/>
              <w:gridCol w:w="1295"/>
              <w:gridCol w:w="744"/>
              <w:gridCol w:w="638"/>
              <w:gridCol w:w="1013"/>
              <w:gridCol w:w="887"/>
              <w:gridCol w:w="1147"/>
              <w:gridCol w:w="1020"/>
              <w:gridCol w:w="895"/>
            </w:tblGrid>
            <w:tr w14:paraId="7466E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7" w:type="pct"/>
                  <w:noWrap/>
                  <w:tcMar>
                    <w:left w:w="57" w:type="dxa"/>
                    <w:right w:w="57" w:type="dxa"/>
                  </w:tcMar>
                  <w:vAlign w:val="center"/>
                </w:tcPr>
                <w:p w14:paraId="36F8DCD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生产线</w:t>
                  </w:r>
                </w:p>
              </w:tc>
              <w:tc>
                <w:tcPr>
                  <w:tcW w:w="770" w:type="pct"/>
                  <w:noWrap/>
                  <w:tcMar>
                    <w:left w:w="57" w:type="dxa"/>
                    <w:right w:w="57" w:type="dxa"/>
                  </w:tcMar>
                  <w:vAlign w:val="center"/>
                </w:tcPr>
                <w:p w14:paraId="32E4847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物料名称</w:t>
                  </w:r>
                </w:p>
              </w:tc>
              <w:tc>
                <w:tcPr>
                  <w:tcW w:w="442" w:type="pct"/>
                  <w:noWrap/>
                  <w:tcMar>
                    <w:left w:w="57" w:type="dxa"/>
                    <w:right w:w="57" w:type="dxa"/>
                  </w:tcMar>
                  <w:vAlign w:val="center"/>
                </w:tcPr>
                <w:p w14:paraId="325D6DF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规格</w:t>
                  </w:r>
                </w:p>
              </w:tc>
              <w:tc>
                <w:tcPr>
                  <w:tcW w:w="379" w:type="pct"/>
                  <w:noWrap/>
                  <w:tcMar>
                    <w:left w:w="57" w:type="dxa"/>
                    <w:right w:w="57" w:type="dxa"/>
                  </w:tcMar>
                  <w:vAlign w:val="center"/>
                </w:tcPr>
                <w:p w14:paraId="03BC003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形态</w:t>
                  </w:r>
                </w:p>
              </w:tc>
              <w:tc>
                <w:tcPr>
                  <w:tcW w:w="602" w:type="pct"/>
                  <w:vAlign w:val="center"/>
                </w:tcPr>
                <w:p w14:paraId="30BD870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单耗</w:t>
                  </w:r>
                </w:p>
                <w:p w14:paraId="3A1DE6A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(kg/t产品)</w:t>
                  </w:r>
                </w:p>
              </w:tc>
              <w:tc>
                <w:tcPr>
                  <w:tcW w:w="527" w:type="pct"/>
                  <w:vAlign w:val="center"/>
                </w:tcPr>
                <w:p w14:paraId="28519F5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年用量(t/a)</w:t>
                  </w:r>
                </w:p>
              </w:tc>
              <w:tc>
                <w:tcPr>
                  <w:tcW w:w="682" w:type="pct"/>
                  <w:noWrap/>
                  <w:tcMar>
                    <w:left w:w="57" w:type="dxa"/>
                    <w:right w:w="57" w:type="dxa"/>
                  </w:tcMar>
                  <w:vAlign w:val="center"/>
                </w:tcPr>
                <w:p w14:paraId="0D4E7FE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包装</w:t>
                  </w:r>
                </w:p>
                <w:p w14:paraId="100462F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方式及规格</w:t>
                  </w:r>
                </w:p>
              </w:tc>
              <w:tc>
                <w:tcPr>
                  <w:tcW w:w="606" w:type="pct"/>
                  <w:noWrap/>
                  <w:tcMar>
                    <w:left w:w="57" w:type="dxa"/>
                    <w:right w:w="57" w:type="dxa"/>
                  </w:tcMar>
                  <w:vAlign w:val="center"/>
                </w:tcPr>
                <w:p w14:paraId="6E7C1B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来源及</w:t>
                  </w:r>
                </w:p>
                <w:p w14:paraId="52C055B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运输</w:t>
                  </w:r>
                </w:p>
              </w:tc>
              <w:tc>
                <w:tcPr>
                  <w:tcW w:w="532" w:type="pct"/>
                  <w:vAlign w:val="center"/>
                </w:tcPr>
                <w:p w14:paraId="5904FF1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存储地点</w:t>
                  </w:r>
                </w:p>
              </w:tc>
            </w:tr>
            <w:tr w14:paraId="6FFF0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7" w:type="pct"/>
                  <w:vMerge w:val="restart"/>
                  <w:noWrap/>
                  <w:tcMar>
                    <w:left w:w="57" w:type="dxa"/>
                    <w:right w:w="57" w:type="dxa"/>
                  </w:tcMar>
                  <w:vAlign w:val="center"/>
                </w:tcPr>
                <w:p w14:paraId="7B0392E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二氢槲皮素保健食品胶囊</w:t>
                  </w:r>
                </w:p>
              </w:tc>
              <w:tc>
                <w:tcPr>
                  <w:tcW w:w="770" w:type="pct"/>
                  <w:noWrap/>
                  <w:tcMar>
                    <w:left w:w="57" w:type="dxa"/>
                    <w:right w:w="57" w:type="dxa"/>
                  </w:tcMar>
                  <w:vAlign w:val="center"/>
                </w:tcPr>
                <w:p w14:paraId="5322D1D7">
                  <w:pPr>
                    <w:pStyle w:val="165"/>
                    <w:keepNext w:val="0"/>
                    <w:keepLines w:val="0"/>
                    <w:widowControl w:val="0"/>
                    <w:suppressLineNumbers w:val="0"/>
                    <w:snapToGrid w:val="0"/>
                    <w:spacing w:before="0" w:beforeAutospacing="0" w:after="0" w:afterAutospacing="0" w:line="320" w:lineRule="exact"/>
                    <w:ind w:left="0" w:right="0"/>
                    <w:rPr>
                      <w:rFonts w:hint="eastAsia" w:ascii="仿宋_GB2312" w:hAnsi="仿宋_GB2312" w:eastAsia="仿宋_GB2312" w:cs="仿宋_GB2312"/>
                      <w:color w:val="auto"/>
                      <w:kern w:val="0"/>
                      <w:sz w:val="21"/>
                      <w:szCs w:val="21"/>
                      <w:lang w:val="zh-CN" w:eastAsia="zh-CN" w:bidi="ar-SA"/>
                    </w:rPr>
                  </w:pPr>
                  <w:r>
                    <w:rPr>
                      <w:rFonts w:hint="eastAsia" w:ascii="仿宋_GB2312" w:hAnsi="仿宋_GB2312" w:eastAsia="仿宋_GB2312" w:cs="仿宋_GB2312"/>
                      <w:color w:val="auto"/>
                      <w:kern w:val="0"/>
                      <w:sz w:val="21"/>
                      <w:szCs w:val="21"/>
                      <w:lang w:val="zh-CN" w:eastAsia="zh-CN" w:bidi="ar-SA"/>
                    </w:rPr>
                    <w:t>微晶纤维素</w:t>
                  </w:r>
                </w:p>
              </w:tc>
              <w:tc>
                <w:tcPr>
                  <w:tcW w:w="442" w:type="pct"/>
                  <w:noWrap/>
                  <w:tcMar>
                    <w:left w:w="57" w:type="dxa"/>
                    <w:right w:w="57" w:type="dxa"/>
                  </w:tcMar>
                  <w:vAlign w:val="center"/>
                </w:tcPr>
                <w:p w14:paraId="29E758D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99%</w:t>
                  </w:r>
                </w:p>
              </w:tc>
              <w:tc>
                <w:tcPr>
                  <w:tcW w:w="379" w:type="pct"/>
                  <w:noWrap/>
                  <w:tcMar>
                    <w:left w:w="57" w:type="dxa"/>
                    <w:right w:w="57" w:type="dxa"/>
                  </w:tcMar>
                  <w:vAlign w:val="center"/>
                </w:tcPr>
                <w:p w14:paraId="52FDA1F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粉状</w:t>
                  </w:r>
                </w:p>
              </w:tc>
              <w:tc>
                <w:tcPr>
                  <w:tcW w:w="602" w:type="pct"/>
                  <w:vAlign w:val="center"/>
                </w:tcPr>
                <w:p w14:paraId="3BAAB94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37.3</w:t>
                  </w:r>
                  <w:r>
                    <w:rPr>
                      <w:rFonts w:hint="eastAsia" w:ascii="Times New Roman" w:hAnsi="Times New Roman"/>
                      <w:color w:val="auto"/>
                      <w:lang w:val="en-US"/>
                    </w:rPr>
                    <w:t>3</w:t>
                  </w:r>
                </w:p>
              </w:tc>
              <w:tc>
                <w:tcPr>
                  <w:tcW w:w="527" w:type="pct"/>
                  <w:vAlign w:val="center"/>
                </w:tcPr>
                <w:p w14:paraId="520C806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0.042</w:t>
                  </w:r>
                </w:p>
              </w:tc>
              <w:tc>
                <w:tcPr>
                  <w:tcW w:w="682" w:type="pct"/>
                  <w:noWrap/>
                  <w:tcMar>
                    <w:left w:w="57" w:type="dxa"/>
                    <w:right w:w="57" w:type="dxa"/>
                  </w:tcMar>
                  <w:vAlign w:val="center"/>
                </w:tcPr>
                <w:p w14:paraId="5DB5047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桶装，25kg</w:t>
                  </w:r>
                  <w:r>
                    <w:rPr>
                      <w:rFonts w:hint="default" w:ascii="Times New Roman" w:hAnsi="Times New Roman"/>
                      <w:color w:val="auto"/>
                    </w:rPr>
                    <w:t xml:space="preserve"> </w:t>
                  </w:r>
                </w:p>
              </w:tc>
              <w:tc>
                <w:tcPr>
                  <w:tcW w:w="606" w:type="pct"/>
                  <w:vMerge w:val="restart"/>
                  <w:noWrap/>
                  <w:tcMar>
                    <w:left w:w="57" w:type="dxa"/>
                    <w:right w:w="57" w:type="dxa"/>
                  </w:tcMar>
                  <w:vAlign w:val="center"/>
                </w:tcPr>
                <w:p w14:paraId="7B16E82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s="Calibri"/>
                      <w:color w:val="auto"/>
                      <w:szCs w:val="21"/>
                    </w:rPr>
                    <w:t>国内，公路运输，桶装汽车运输</w:t>
                  </w:r>
                </w:p>
              </w:tc>
              <w:tc>
                <w:tcPr>
                  <w:tcW w:w="532" w:type="pct"/>
                  <w:vMerge w:val="restart"/>
                  <w:vAlign w:val="center"/>
                </w:tcPr>
                <w:p w14:paraId="5CF8D38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lang w:val="en-US"/>
                    </w:rPr>
                  </w:pPr>
                  <w:r>
                    <w:rPr>
                      <w:rFonts w:hint="eastAsia" w:ascii="Times New Roman" w:hAnsi="Times New Roman" w:cs="Calibri"/>
                      <w:color w:val="auto"/>
                      <w:szCs w:val="21"/>
                      <w:lang w:val="en-US"/>
                    </w:rPr>
                    <w:t>阴凉库</w:t>
                  </w:r>
                </w:p>
              </w:tc>
            </w:tr>
            <w:tr w14:paraId="0F96E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7" w:type="pct"/>
                  <w:vMerge w:val="continue"/>
                  <w:noWrap/>
                  <w:tcMar>
                    <w:left w:w="57" w:type="dxa"/>
                    <w:right w:w="57" w:type="dxa"/>
                  </w:tcMar>
                  <w:vAlign w:val="center"/>
                </w:tcPr>
                <w:p w14:paraId="7C22E9A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770" w:type="pct"/>
                  <w:noWrap/>
                  <w:tcMar>
                    <w:left w:w="57" w:type="dxa"/>
                    <w:right w:w="57" w:type="dxa"/>
                  </w:tcMar>
                  <w:vAlign w:val="center"/>
                </w:tcPr>
                <w:p w14:paraId="4CC31866">
                  <w:pPr>
                    <w:keepNext w:val="0"/>
                    <w:keepLines w:val="0"/>
                    <w:suppressLineNumbers w:val="0"/>
                    <w:spacing w:before="0" w:beforeAutospacing="0" w:after="0" w:afterAutospacing="0" w:line="320" w:lineRule="exact"/>
                    <w:ind w:left="0" w:right="0"/>
                    <w:jc w:val="center"/>
                    <w:rPr>
                      <w:rFonts w:hint="eastAsia" w:ascii="仿宋_GB2312" w:hAnsi="仿宋_GB2312" w:eastAsia="仿宋_GB2312" w:cs="仿宋_GB2312"/>
                      <w:color w:val="auto"/>
                      <w:kern w:val="0"/>
                      <w:sz w:val="21"/>
                      <w:szCs w:val="21"/>
                      <w:lang w:val="zh-CN" w:eastAsia="zh-CN" w:bidi="ar-SA"/>
                    </w:rPr>
                  </w:pPr>
                  <w:r>
                    <w:rPr>
                      <w:rFonts w:hint="eastAsia" w:ascii="仿宋_GB2312" w:hAnsi="仿宋_GB2312" w:eastAsia="仿宋_GB2312" w:cs="仿宋_GB2312"/>
                      <w:color w:val="auto"/>
                      <w:kern w:val="0"/>
                      <w:sz w:val="21"/>
                      <w:szCs w:val="21"/>
                      <w:lang w:val="zh-CN" w:eastAsia="zh-CN" w:bidi="ar-SA"/>
                    </w:rPr>
                    <w:t>水飞蓟提取物</w:t>
                  </w:r>
                </w:p>
              </w:tc>
              <w:tc>
                <w:tcPr>
                  <w:tcW w:w="442" w:type="pct"/>
                  <w:noWrap/>
                  <w:tcMar>
                    <w:left w:w="57" w:type="dxa"/>
                    <w:right w:w="57" w:type="dxa"/>
                  </w:tcMar>
                  <w:vAlign w:val="center"/>
                </w:tcPr>
                <w:p w14:paraId="43434DE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99%</w:t>
                  </w:r>
                </w:p>
              </w:tc>
              <w:tc>
                <w:tcPr>
                  <w:tcW w:w="379" w:type="pct"/>
                  <w:noWrap/>
                  <w:tcMar>
                    <w:left w:w="57" w:type="dxa"/>
                    <w:right w:w="57" w:type="dxa"/>
                  </w:tcMar>
                  <w:vAlign w:val="center"/>
                </w:tcPr>
                <w:p w14:paraId="4F2B939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粉状</w:t>
                  </w:r>
                </w:p>
              </w:tc>
              <w:tc>
                <w:tcPr>
                  <w:tcW w:w="602" w:type="pct"/>
                  <w:vAlign w:val="center"/>
                </w:tcPr>
                <w:p w14:paraId="5133D03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423.36</w:t>
                  </w:r>
                </w:p>
              </w:tc>
              <w:tc>
                <w:tcPr>
                  <w:tcW w:w="527" w:type="pct"/>
                  <w:vAlign w:val="center"/>
                </w:tcPr>
                <w:p w14:paraId="2670051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0.476</w:t>
                  </w:r>
                </w:p>
              </w:tc>
              <w:tc>
                <w:tcPr>
                  <w:tcW w:w="682" w:type="pct"/>
                  <w:noWrap/>
                  <w:tcMar>
                    <w:left w:w="57" w:type="dxa"/>
                    <w:right w:w="57" w:type="dxa"/>
                  </w:tcMar>
                  <w:vAlign w:val="center"/>
                </w:tcPr>
                <w:p w14:paraId="4CB2534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桶装，25kg</w:t>
                  </w:r>
                </w:p>
              </w:tc>
              <w:tc>
                <w:tcPr>
                  <w:tcW w:w="606" w:type="pct"/>
                  <w:vMerge w:val="continue"/>
                  <w:noWrap/>
                  <w:tcMar>
                    <w:left w:w="57" w:type="dxa"/>
                    <w:right w:w="57" w:type="dxa"/>
                  </w:tcMar>
                  <w:vAlign w:val="center"/>
                </w:tcPr>
                <w:p w14:paraId="47FF1BF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c>
                <w:tcPr>
                  <w:tcW w:w="532" w:type="pct"/>
                  <w:vMerge w:val="continue"/>
                  <w:vAlign w:val="center"/>
                </w:tcPr>
                <w:p w14:paraId="1F73DE2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27F0C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7" w:type="pct"/>
                  <w:vMerge w:val="continue"/>
                  <w:noWrap/>
                  <w:tcMar>
                    <w:left w:w="57" w:type="dxa"/>
                    <w:right w:w="57" w:type="dxa"/>
                  </w:tcMar>
                  <w:vAlign w:val="center"/>
                </w:tcPr>
                <w:p w14:paraId="03975DA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770" w:type="pct"/>
                  <w:noWrap/>
                  <w:tcMar>
                    <w:left w:w="57" w:type="dxa"/>
                    <w:right w:w="57" w:type="dxa"/>
                  </w:tcMar>
                  <w:vAlign w:val="center"/>
                </w:tcPr>
                <w:p w14:paraId="0CBC978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植物胶囊壳</w:t>
                  </w:r>
                </w:p>
              </w:tc>
              <w:tc>
                <w:tcPr>
                  <w:tcW w:w="442" w:type="pct"/>
                  <w:noWrap/>
                  <w:tcMar>
                    <w:left w:w="57" w:type="dxa"/>
                    <w:right w:w="57" w:type="dxa"/>
                  </w:tcMar>
                  <w:vAlign w:val="center"/>
                </w:tcPr>
                <w:p w14:paraId="7BA5B88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食品级</w:t>
                  </w:r>
                </w:p>
              </w:tc>
              <w:tc>
                <w:tcPr>
                  <w:tcW w:w="379" w:type="pct"/>
                  <w:noWrap/>
                  <w:tcMar>
                    <w:left w:w="57" w:type="dxa"/>
                    <w:right w:w="57" w:type="dxa"/>
                  </w:tcMar>
                  <w:vAlign w:val="center"/>
                </w:tcPr>
                <w:p w14:paraId="2C5411B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固体</w:t>
                  </w:r>
                </w:p>
              </w:tc>
              <w:tc>
                <w:tcPr>
                  <w:tcW w:w="602" w:type="pct"/>
                  <w:vAlign w:val="center"/>
                </w:tcPr>
                <w:p w14:paraId="64282FB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340</w:t>
                  </w:r>
                </w:p>
              </w:tc>
              <w:tc>
                <w:tcPr>
                  <w:tcW w:w="527" w:type="pct"/>
                  <w:vAlign w:val="center"/>
                </w:tcPr>
                <w:p w14:paraId="1D742A7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0.3825</w:t>
                  </w:r>
                </w:p>
              </w:tc>
              <w:tc>
                <w:tcPr>
                  <w:tcW w:w="682" w:type="pct"/>
                  <w:noWrap/>
                  <w:tcMar>
                    <w:left w:w="57" w:type="dxa"/>
                    <w:right w:w="57" w:type="dxa"/>
                  </w:tcMar>
                  <w:vAlign w:val="center"/>
                </w:tcPr>
                <w:p w14:paraId="341CF53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箱装，25kg</w:t>
                  </w:r>
                  <w:r>
                    <w:rPr>
                      <w:rFonts w:hint="default" w:ascii="Times New Roman" w:hAnsi="Times New Roman"/>
                      <w:color w:val="auto"/>
                    </w:rPr>
                    <w:t xml:space="preserve"> </w:t>
                  </w:r>
                </w:p>
              </w:tc>
              <w:tc>
                <w:tcPr>
                  <w:tcW w:w="606" w:type="pct"/>
                  <w:vMerge w:val="continue"/>
                  <w:noWrap/>
                  <w:tcMar>
                    <w:left w:w="57" w:type="dxa"/>
                    <w:right w:w="57" w:type="dxa"/>
                  </w:tcMar>
                  <w:vAlign w:val="center"/>
                </w:tcPr>
                <w:p w14:paraId="41F2724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c>
                <w:tcPr>
                  <w:tcW w:w="532" w:type="pct"/>
                  <w:vMerge w:val="continue"/>
                  <w:vAlign w:val="center"/>
                </w:tcPr>
                <w:p w14:paraId="1DB54F8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p>
              </w:tc>
            </w:tr>
            <w:tr w14:paraId="638A2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7" w:type="pct"/>
                  <w:vMerge w:val="continue"/>
                  <w:noWrap/>
                  <w:tcMar>
                    <w:left w:w="57" w:type="dxa"/>
                    <w:right w:w="57" w:type="dxa"/>
                  </w:tcMar>
                  <w:vAlign w:val="center"/>
                </w:tcPr>
                <w:p w14:paraId="715D5C7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770" w:type="pct"/>
                  <w:noWrap/>
                  <w:tcMar>
                    <w:left w:w="57" w:type="dxa"/>
                    <w:right w:w="57" w:type="dxa"/>
                  </w:tcMar>
                  <w:vAlign w:val="center"/>
                </w:tcPr>
                <w:p w14:paraId="557B1797">
                  <w:pPr>
                    <w:pStyle w:val="165"/>
                    <w:keepNext w:val="0"/>
                    <w:keepLines w:val="0"/>
                    <w:widowControl w:val="0"/>
                    <w:suppressLineNumbers w:val="0"/>
                    <w:snapToGrid w:val="0"/>
                    <w:spacing w:before="0" w:beforeAutospacing="0" w:after="0" w:afterAutospacing="0" w:line="320" w:lineRule="exact"/>
                    <w:ind w:left="0" w:right="0"/>
                    <w:rPr>
                      <w:rFonts w:hint="eastAsia" w:cs="Calibri"/>
                      <w:color w:val="auto"/>
                      <w:szCs w:val="21"/>
                    </w:rPr>
                  </w:pPr>
                  <w:r>
                    <w:rPr>
                      <w:rFonts w:hint="eastAsia" w:ascii="Times New Roman" w:hAnsi="Times New Roman"/>
                      <w:color w:val="auto"/>
                    </w:rPr>
                    <w:t>二氢槲皮素</w:t>
                  </w:r>
                </w:p>
              </w:tc>
              <w:tc>
                <w:tcPr>
                  <w:tcW w:w="442" w:type="pct"/>
                  <w:noWrap/>
                  <w:tcMar>
                    <w:left w:w="57" w:type="dxa"/>
                    <w:right w:w="57" w:type="dxa"/>
                  </w:tcMar>
                  <w:vAlign w:val="center"/>
                </w:tcPr>
                <w:p w14:paraId="73995DD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9</w:t>
                  </w:r>
                  <w:r>
                    <w:rPr>
                      <w:rFonts w:hint="default" w:ascii="Times New Roman" w:hAnsi="Times New Roman"/>
                      <w:color w:val="auto"/>
                    </w:rPr>
                    <w:t>8%</w:t>
                  </w:r>
                </w:p>
              </w:tc>
              <w:tc>
                <w:tcPr>
                  <w:tcW w:w="379" w:type="pct"/>
                  <w:noWrap/>
                  <w:tcMar>
                    <w:left w:w="57" w:type="dxa"/>
                    <w:right w:w="57" w:type="dxa"/>
                  </w:tcMar>
                  <w:vAlign w:val="center"/>
                </w:tcPr>
                <w:p w14:paraId="6F2ADEA5">
                  <w:pPr>
                    <w:pStyle w:val="165"/>
                    <w:keepNext w:val="0"/>
                    <w:keepLines w:val="0"/>
                    <w:widowControl w:val="0"/>
                    <w:suppressLineNumbers w:val="0"/>
                    <w:snapToGrid w:val="0"/>
                    <w:spacing w:before="0" w:beforeAutospacing="0" w:after="0" w:afterAutospacing="0" w:line="320" w:lineRule="exact"/>
                    <w:ind w:left="0" w:right="0"/>
                    <w:rPr>
                      <w:rFonts w:hint="eastAsia" w:cs="Calibri"/>
                      <w:color w:val="auto"/>
                      <w:szCs w:val="21"/>
                    </w:rPr>
                  </w:pPr>
                  <w:r>
                    <w:rPr>
                      <w:rFonts w:hint="eastAsia" w:cs="Calibri"/>
                      <w:color w:val="auto"/>
                      <w:szCs w:val="21"/>
                    </w:rPr>
                    <w:t>粉状</w:t>
                  </w:r>
                </w:p>
              </w:tc>
              <w:tc>
                <w:tcPr>
                  <w:tcW w:w="602" w:type="pct"/>
                  <w:vAlign w:val="center"/>
                </w:tcPr>
                <w:p w14:paraId="4B122C4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222.2</w:t>
                  </w:r>
                  <w:r>
                    <w:rPr>
                      <w:rFonts w:hint="eastAsia" w:ascii="Times New Roman" w:hAnsi="Times New Roman"/>
                      <w:color w:val="auto"/>
                      <w:lang w:val="en-US"/>
                    </w:rPr>
                    <w:t>2</w:t>
                  </w:r>
                </w:p>
              </w:tc>
              <w:tc>
                <w:tcPr>
                  <w:tcW w:w="527" w:type="pct"/>
                  <w:vAlign w:val="center"/>
                </w:tcPr>
                <w:p w14:paraId="55D2CAD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0.25</w:t>
                  </w:r>
                </w:p>
              </w:tc>
              <w:tc>
                <w:tcPr>
                  <w:tcW w:w="682" w:type="pct"/>
                  <w:noWrap/>
                  <w:tcMar>
                    <w:left w:w="57" w:type="dxa"/>
                    <w:right w:w="57" w:type="dxa"/>
                  </w:tcMar>
                  <w:vAlign w:val="center"/>
                </w:tcPr>
                <w:p w14:paraId="59D5742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袋装</w:t>
                  </w:r>
                </w:p>
              </w:tc>
              <w:tc>
                <w:tcPr>
                  <w:tcW w:w="606" w:type="pct"/>
                  <w:noWrap/>
                  <w:tcMar>
                    <w:left w:w="57" w:type="dxa"/>
                    <w:right w:w="57" w:type="dxa"/>
                  </w:tcMar>
                  <w:vAlign w:val="center"/>
                </w:tcPr>
                <w:p w14:paraId="1919275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自制</w:t>
                  </w:r>
                </w:p>
              </w:tc>
              <w:tc>
                <w:tcPr>
                  <w:tcW w:w="532" w:type="pct"/>
                  <w:vAlign w:val="center"/>
                </w:tcPr>
                <w:p w14:paraId="1B605C4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成品冷库</w:t>
                  </w:r>
                </w:p>
              </w:tc>
            </w:tr>
            <w:tr w14:paraId="29814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7" w:type="pct"/>
                  <w:vMerge w:val="continue"/>
                  <w:noWrap/>
                  <w:tcMar>
                    <w:left w:w="57" w:type="dxa"/>
                    <w:right w:w="57" w:type="dxa"/>
                  </w:tcMar>
                  <w:vAlign w:val="center"/>
                </w:tcPr>
                <w:p w14:paraId="29536DB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770" w:type="pct"/>
                  <w:noWrap/>
                  <w:tcMar>
                    <w:left w:w="57" w:type="dxa"/>
                    <w:right w:w="57" w:type="dxa"/>
                  </w:tcMar>
                  <w:vAlign w:val="center"/>
                </w:tcPr>
                <w:p w14:paraId="522B313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cs="Calibri"/>
                      <w:color w:val="auto"/>
                      <w:szCs w:val="21"/>
                    </w:rPr>
                    <w:t>纯水</w:t>
                  </w:r>
                </w:p>
              </w:tc>
              <w:tc>
                <w:tcPr>
                  <w:tcW w:w="442" w:type="pct"/>
                  <w:noWrap/>
                  <w:tcMar>
                    <w:left w:w="57" w:type="dxa"/>
                    <w:right w:w="57" w:type="dxa"/>
                  </w:tcMar>
                  <w:vAlign w:val="center"/>
                </w:tcPr>
                <w:p w14:paraId="5662DF8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379" w:type="pct"/>
                  <w:noWrap/>
                  <w:tcMar>
                    <w:left w:w="57" w:type="dxa"/>
                    <w:right w:w="57" w:type="dxa"/>
                  </w:tcMar>
                  <w:vAlign w:val="center"/>
                </w:tcPr>
                <w:p w14:paraId="464F4A6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液体</w:t>
                  </w:r>
                </w:p>
              </w:tc>
              <w:tc>
                <w:tcPr>
                  <w:tcW w:w="602" w:type="pct"/>
                  <w:vAlign w:val="center"/>
                </w:tcPr>
                <w:p w14:paraId="64F0DA1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88.8</w:t>
                  </w:r>
                  <w:r>
                    <w:rPr>
                      <w:rFonts w:hint="default" w:ascii="Times New Roman" w:hAnsi="Times New Roman"/>
                      <w:color w:val="auto"/>
                    </w:rPr>
                    <w:t>9</w:t>
                  </w:r>
                </w:p>
              </w:tc>
              <w:tc>
                <w:tcPr>
                  <w:tcW w:w="527" w:type="pct"/>
                  <w:vAlign w:val="center"/>
                </w:tcPr>
                <w:p w14:paraId="737E3A6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0.1</w:t>
                  </w:r>
                </w:p>
              </w:tc>
              <w:tc>
                <w:tcPr>
                  <w:tcW w:w="682" w:type="pct"/>
                  <w:noWrap/>
                  <w:tcMar>
                    <w:left w:w="57" w:type="dxa"/>
                    <w:right w:w="57" w:type="dxa"/>
                  </w:tcMar>
                  <w:vAlign w:val="center"/>
                </w:tcPr>
                <w:p w14:paraId="59897A0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w:t>
                  </w:r>
                </w:p>
              </w:tc>
              <w:tc>
                <w:tcPr>
                  <w:tcW w:w="606" w:type="pct"/>
                  <w:noWrap/>
                  <w:tcMar>
                    <w:left w:w="57" w:type="dxa"/>
                    <w:right w:w="57" w:type="dxa"/>
                  </w:tcMar>
                  <w:vAlign w:val="center"/>
                </w:tcPr>
                <w:p w14:paraId="3E017B2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自制</w:t>
                  </w:r>
                </w:p>
              </w:tc>
              <w:tc>
                <w:tcPr>
                  <w:tcW w:w="532" w:type="pct"/>
                  <w:vAlign w:val="center"/>
                </w:tcPr>
                <w:p w14:paraId="44C693E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纯水间</w:t>
                  </w:r>
                </w:p>
              </w:tc>
            </w:tr>
          </w:tbl>
          <w:p w14:paraId="6A8FC05C">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fldChar w:fldCharType="begin"/>
            </w:r>
            <w:r>
              <w:rPr>
                <w:rFonts w:hint="default" w:eastAsia="仿宋_GB2312"/>
                <w:b/>
                <w:color w:val="auto"/>
                <w:sz w:val="24"/>
                <w:lang w:val="zh-CN"/>
              </w:rPr>
              <w:instrText xml:space="preserve"> = 2 \* GB3 </w:instrText>
            </w:r>
            <w:r>
              <w:rPr>
                <w:rFonts w:hint="default" w:eastAsia="仿宋_GB2312"/>
                <w:b/>
                <w:color w:val="auto"/>
                <w:sz w:val="24"/>
                <w:lang w:val="zh-CN"/>
              </w:rPr>
              <w:fldChar w:fldCharType="separate"/>
            </w:r>
            <w:r>
              <w:rPr>
                <w:rFonts w:hint="default"/>
                <w:b/>
                <w:color w:val="auto"/>
                <w:sz w:val="24"/>
                <w:lang w:val="zh-CN"/>
              </w:rPr>
              <w:t>②</w:t>
            </w:r>
            <w:r>
              <w:rPr>
                <w:rFonts w:hint="default" w:eastAsia="仿宋_GB2312"/>
                <w:b/>
                <w:color w:val="auto"/>
                <w:sz w:val="24"/>
                <w:lang w:val="zh-CN"/>
              </w:rPr>
              <w:fldChar w:fldCharType="end"/>
            </w:r>
            <w:r>
              <w:rPr>
                <w:rFonts w:hint="default" w:eastAsia="仿宋_GB2312"/>
                <w:b/>
                <w:color w:val="auto"/>
                <w:sz w:val="24"/>
                <w:lang w:val="zh-CN"/>
              </w:rPr>
              <w:t>物料平衡</w:t>
            </w:r>
          </w:p>
          <w:p w14:paraId="44DA1F03">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lang w:val="zh-CN"/>
              </w:rPr>
            </w:pPr>
            <w:r>
              <w:rPr>
                <w:rFonts w:hint="default" w:eastAsia="仿宋_GB2312"/>
                <w:b w:val="0"/>
                <w:bCs/>
                <w:color w:val="auto"/>
                <w:sz w:val="24"/>
                <w:lang w:val="zh-CN"/>
              </w:rPr>
              <w:t>γ-氨基</w:t>
            </w:r>
            <w:r>
              <w:rPr>
                <w:rFonts w:hint="default" w:eastAsia="仿宋_GB2312"/>
                <w:b w:val="0"/>
                <w:bCs/>
                <w:color w:val="auto"/>
                <w:sz w:val="24"/>
                <w:highlight w:val="none"/>
                <w:lang w:val="zh-CN"/>
              </w:rPr>
              <w:t>丁酸</w:t>
            </w:r>
            <w:r>
              <w:rPr>
                <w:rFonts w:hint="default" w:eastAsia="仿宋_GB2312"/>
                <w:b w:val="0"/>
                <w:bCs/>
                <w:color w:val="auto"/>
                <w:sz w:val="24"/>
                <w:lang w:val="zh-CN"/>
              </w:rPr>
              <w:t>保健食品胶囊生产物料平衡表见下表。</w:t>
            </w:r>
          </w:p>
          <w:p w14:paraId="3CD1FE37">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p>
          <w:p w14:paraId="7F07AA0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p>
          <w:p w14:paraId="1A918B46">
            <w:pPr>
              <w:pStyle w:val="2"/>
              <w:keepNext w:val="0"/>
              <w:keepLines w:val="0"/>
              <w:suppressLineNumbers w:val="0"/>
              <w:spacing w:beforeAutospacing="0" w:afterAutospacing="0"/>
              <w:ind w:left="0"/>
              <w:rPr>
                <w:rFonts w:hint="default"/>
                <w:color w:val="auto"/>
              </w:rPr>
            </w:pPr>
          </w:p>
          <w:p w14:paraId="0536B198">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27</w:t>
            </w:r>
            <w:r>
              <w:rPr>
                <w:rFonts w:hint="default" w:eastAsia="仿宋_GB2312"/>
                <w:b/>
                <w:color w:val="auto"/>
                <w:sz w:val="22"/>
                <w:szCs w:val="22"/>
              </w:rPr>
              <w:t xml:space="preserve">  γ-氨基丁酸保健食品胶囊物料平衡表（单位：kg/批次）</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030"/>
              <w:gridCol w:w="1002"/>
              <w:gridCol w:w="712"/>
              <w:gridCol w:w="700"/>
              <w:gridCol w:w="772"/>
              <w:gridCol w:w="737"/>
              <w:gridCol w:w="343"/>
              <w:gridCol w:w="651"/>
              <w:gridCol w:w="720"/>
            </w:tblGrid>
            <w:tr w14:paraId="226DB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49" w:type="dxa"/>
                  <w:gridSpan w:val="2"/>
                  <w:vAlign w:val="center"/>
                </w:tcPr>
                <w:p w14:paraId="7CEDB9B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入方</w:t>
                  </w:r>
                </w:p>
              </w:tc>
              <w:tc>
                <w:tcPr>
                  <w:tcW w:w="5637" w:type="dxa"/>
                  <w:gridSpan w:val="8"/>
                  <w:vAlign w:val="center"/>
                </w:tcPr>
                <w:p w14:paraId="00CA21C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出方</w:t>
                  </w:r>
                </w:p>
              </w:tc>
            </w:tr>
            <w:tr w14:paraId="615FF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49" w:type="dxa"/>
                  <w:gridSpan w:val="2"/>
                  <w:vAlign w:val="center"/>
                </w:tcPr>
                <w:p w14:paraId="0C9C283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原辅料</w:t>
                  </w:r>
                </w:p>
              </w:tc>
              <w:tc>
                <w:tcPr>
                  <w:tcW w:w="1714" w:type="dxa"/>
                  <w:gridSpan w:val="2"/>
                  <w:vAlign w:val="center"/>
                </w:tcPr>
                <w:p w14:paraId="1C78E16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产品</w:t>
                  </w:r>
                </w:p>
              </w:tc>
              <w:tc>
                <w:tcPr>
                  <w:tcW w:w="1472" w:type="dxa"/>
                  <w:gridSpan w:val="2"/>
                  <w:vAlign w:val="center"/>
                </w:tcPr>
                <w:p w14:paraId="7E907B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废气</w:t>
                  </w:r>
                </w:p>
              </w:tc>
              <w:tc>
                <w:tcPr>
                  <w:tcW w:w="1080" w:type="dxa"/>
                  <w:gridSpan w:val="2"/>
                  <w:vAlign w:val="center"/>
                </w:tcPr>
                <w:p w14:paraId="30EB76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废水</w:t>
                  </w:r>
                </w:p>
              </w:tc>
              <w:tc>
                <w:tcPr>
                  <w:tcW w:w="1371" w:type="dxa"/>
                  <w:gridSpan w:val="2"/>
                  <w:vAlign w:val="center"/>
                </w:tcPr>
                <w:p w14:paraId="354489D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固废</w:t>
                  </w:r>
                </w:p>
              </w:tc>
            </w:tr>
            <w:tr w14:paraId="7CA8E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2249" w:type="dxa"/>
                  <w:gridSpan w:val="2"/>
                </w:tcPr>
                <w:p w14:paraId="118B8302">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微晶纤维素2.1</w:t>
                  </w:r>
                </w:p>
                <w:p w14:paraId="37ED75E7">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γ-氨基丁酸3.75</w:t>
                  </w:r>
                </w:p>
                <w:p w14:paraId="40D48F29">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低聚原花青素16.297</w:t>
                  </w:r>
                </w:p>
                <w:p w14:paraId="5F81E283">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石榴提取物16.267</w:t>
                  </w:r>
                </w:p>
                <w:p w14:paraId="7865422B">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植物胶囊壳19.125</w:t>
                  </w:r>
                </w:p>
                <w:p w14:paraId="23C8E962">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纯水5</w:t>
                  </w:r>
                </w:p>
              </w:tc>
              <w:tc>
                <w:tcPr>
                  <w:tcW w:w="1002" w:type="dxa"/>
                </w:tcPr>
                <w:p w14:paraId="751AC475">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eastAsia" w:ascii="Times New Roman" w:hAnsi="Times New Roman" w:eastAsia="仿宋_GB2312" w:cs="Times New Roman"/>
                      <w:color w:val="auto"/>
                      <w:kern w:val="0"/>
                      <w:sz w:val="21"/>
                    </w:rPr>
                    <w:t>γ-氨基丁酸保健食品胶囊</w:t>
                  </w:r>
                </w:p>
              </w:tc>
              <w:tc>
                <w:tcPr>
                  <w:tcW w:w="712" w:type="dxa"/>
                </w:tcPr>
                <w:p w14:paraId="13946C19">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56.25</w:t>
                  </w:r>
                </w:p>
              </w:tc>
              <w:tc>
                <w:tcPr>
                  <w:tcW w:w="1472" w:type="dxa"/>
                  <w:gridSpan w:val="2"/>
                </w:tcPr>
                <w:p w14:paraId="21450123">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G3-1-1  0.35</w:t>
                  </w:r>
                </w:p>
                <w:p w14:paraId="19076056">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G3-1-2  5.18</w:t>
                  </w:r>
                </w:p>
                <w:p w14:paraId="64CD4E6B">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G3-1-3  0.376</w:t>
                  </w:r>
                </w:p>
                <w:p w14:paraId="7FAEEA05">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p>
              </w:tc>
              <w:tc>
                <w:tcPr>
                  <w:tcW w:w="1080" w:type="dxa"/>
                  <w:gridSpan w:val="2"/>
                </w:tcPr>
                <w:p w14:paraId="4141BE10">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1371" w:type="dxa"/>
                  <w:gridSpan w:val="2"/>
                </w:tcPr>
                <w:p w14:paraId="3DA49BE2">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S3-1-1 0.383</w:t>
                  </w:r>
                </w:p>
              </w:tc>
            </w:tr>
            <w:tr w14:paraId="571A4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19" w:type="dxa"/>
                  <w:vMerge w:val="restart"/>
                  <w:vAlign w:val="center"/>
                </w:tcPr>
                <w:p w14:paraId="28C9F9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合计</w:t>
                  </w:r>
                </w:p>
              </w:tc>
              <w:tc>
                <w:tcPr>
                  <w:tcW w:w="1030" w:type="dxa"/>
                  <w:vMerge w:val="restart"/>
                  <w:vAlign w:val="center"/>
                </w:tcPr>
                <w:p w14:paraId="1583ED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bookmarkStart w:id="23" w:name="RANGE!AE198"/>
                  <w:r>
                    <w:rPr>
                      <w:rFonts w:hint="default" w:ascii="Times New Roman" w:hAnsi="Times New Roman" w:eastAsia="仿宋_GB2312" w:cs="Times New Roman"/>
                      <w:color w:val="auto"/>
                      <w:kern w:val="0"/>
                      <w:sz w:val="21"/>
                    </w:rPr>
                    <w:t>62.</w:t>
                  </w:r>
                  <w:bookmarkEnd w:id="23"/>
                  <w:r>
                    <w:rPr>
                      <w:rFonts w:hint="default" w:ascii="Times New Roman" w:hAnsi="Times New Roman" w:eastAsia="仿宋_GB2312" w:cs="Times New Roman"/>
                      <w:color w:val="auto"/>
                      <w:kern w:val="0"/>
                      <w:sz w:val="21"/>
                    </w:rPr>
                    <w:t>539</w:t>
                  </w:r>
                </w:p>
              </w:tc>
              <w:tc>
                <w:tcPr>
                  <w:tcW w:w="1002" w:type="dxa"/>
                  <w:vAlign w:val="center"/>
                </w:tcPr>
                <w:p w14:paraId="1E94E63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小计</w:t>
                  </w:r>
                </w:p>
              </w:tc>
              <w:tc>
                <w:tcPr>
                  <w:tcW w:w="712" w:type="dxa"/>
                  <w:vAlign w:val="center"/>
                </w:tcPr>
                <w:p w14:paraId="3C81B29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56.25</w:t>
                  </w:r>
                </w:p>
              </w:tc>
              <w:tc>
                <w:tcPr>
                  <w:tcW w:w="700" w:type="dxa"/>
                  <w:vAlign w:val="center"/>
                </w:tcPr>
                <w:p w14:paraId="1DB8C31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小计</w:t>
                  </w:r>
                </w:p>
              </w:tc>
              <w:tc>
                <w:tcPr>
                  <w:tcW w:w="772" w:type="dxa"/>
                  <w:vAlign w:val="center"/>
                </w:tcPr>
                <w:p w14:paraId="5ADF798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5.906</w:t>
                  </w:r>
                </w:p>
              </w:tc>
              <w:tc>
                <w:tcPr>
                  <w:tcW w:w="737" w:type="dxa"/>
                  <w:vAlign w:val="center"/>
                </w:tcPr>
                <w:p w14:paraId="08B65BC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小计</w:t>
                  </w:r>
                </w:p>
              </w:tc>
              <w:tc>
                <w:tcPr>
                  <w:tcW w:w="343" w:type="dxa"/>
                  <w:vAlign w:val="center"/>
                </w:tcPr>
                <w:p w14:paraId="60015EC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w:t>
                  </w:r>
                </w:p>
              </w:tc>
              <w:tc>
                <w:tcPr>
                  <w:tcW w:w="651" w:type="dxa"/>
                  <w:vAlign w:val="center"/>
                </w:tcPr>
                <w:p w14:paraId="35F0E71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小计</w:t>
                  </w:r>
                </w:p>
              </w:tc>
              <w:tc>
                <w:tcPr>
                  <w:tcW w:w="720" w:type="dxa"/>
                  <w:vAlign w:val="center"/>
                </w:tcPr>
                <w:p w14:paraId="390D66F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0.383</w:t>
                  </w:r>
                </w:p>
              </w:tc>
            </w:tr>
            <w:tr w14:paraId="558A7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19" w:type="dxa"/>
                  <w:vMerge w:val="continue"/>
                  <w:vAlign w:val="center"/>
                </w:tcPr>
                <w:p w14:paraId="4560D366">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kern w:val="0"/>
                      <w:sz w:val="21"/>
                    </w:rPr>
                  </w:pPr>
                </w:p>
              </w:tc>
              <w:tc>
                <w:tcPr>
                  <w:tcW w:w="1030" w:type="dxa"/>
                  <w:vMerge w:val="continue"/>
                  <w:vAlign w:val="center"/>
                </w:tcPr>
                <w:p w14:paraId="427E8EE9">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kern w:val="0"/>
                      <w:sz w:val="21"/>
                    </w:rPr>
                  </w:pPr>
                </w:p>
              </w:tc>
              <w:tc>
                <w:tcPr>
                  <w:tcW w:w="1002" w:type="dxa"/>
                  <w:vAlign w:val="center"/>
                </w:tcPr>
                <w:p w14:paraId="3F72802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合计</w:t>
                  </w:r>
                </w:p>
              </w:tc>
              <w:tc>
                <w:tcPr>
                  <w:tcW w:w="4635" w:type="dxa"/>
                  <w:gridSpan w:val="7"/>
                  <w:vAlign w:val="center"/>
                </w:tcPr>
                <w:p w14:paraId="6FBB4E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62.539</w:t>
                  </w:r>
                </w:p>
              </w:tc>
            </w:tr>
          </w:tbl>
          <w:p w14:paraId="06E29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textAlignment w:val="auto"/>
              <w:rPr>
                <w:rFonts w:hint="eastAsia" w:eastAsia="仿宋_GB2312"/>
                <w:b w:val="0"/>
                <w:bCs/>
                <w:color w:val="auto"/>
                <w:sz w:val="24"/>
                <w:highlight w:val="none"/>
                <w:lang w:val="zh-CN"/>
              </w:rPr>
            </w:pPr>
            <w:r>
              <w:rPr>
                <w:rFonts w:hint="eastAsia" w:ascii="仿宋_GB2312" w:hAnsi="仿宋_GB2312" w:eastAsia="仿宋_GB2312" w:cs="仿宋_GB2312"/>
                <w:b w:val="0"/>
                <w:bCs/>
                <w:color w:val="auto"/>
                <w:sz w:val="21"/>
                <w:szCs w:val="21"/>
                <w:highlight w:val="none"/>
                <w:lang w:val="zh-CN"/>
              </w:rPr>
              <w:t>备注：</w:t>
            </w:r>
            <w:r>
              <w:rPr>
                <w:rFonts w:hint="eastAsia" w:ascii="仿宋_GB2312" w:hAnsi="仿宋_GB2312" w:eastAsia="仿宋_GB2312" w:cs="仿宋_GB2312"/>
                <w:bCs/>
                <w:color w:val="auto"/>
                <w:sz w:val="21"/>
                <w:szCs w:val="21"/>
                <w:lang w:eastAsia="zh-CN"/>
              </w:rPr>
              <w:t>保健食品胶囊生产线物料平衡数据，均是以上海光玥生物科技有限公司（母公司）研发试验数据（小试）为基础，同时结合本项目的产品产能和相关主要设备参数而得出。</w:t>
            </w:r>
          </w:p>
          <w:p w14:paraId="5CCFF6CC">
            <w:pPr>
              <w:keepNext w:val="0"/>
              <w:keepLines w:val="0"/>
              <w:suppressLineNumbers w:val="0"/>
              <w:spacing w:before="0" w:beforeAutospacing="0" w:after="0" w:afterAutospacing="0" w:line="500" w:lineRule="exact"/>
              <w:ind w:left="0" w:right="0" w:firstLine="480" w:firstLineChars="200"/>
              <w:rPr>
                <w:rFonts w:hint="default" w:eastAsia="仿宋_GB2312"/>
                <w:b w:val="0"/>
                <w:bCs/>
                <w:color w:val="auto"/>
                <w:sz w:val="24"/>
                <w:highlight w:val="yellow"/>
                <w:lang w:val="zh-CN"/>
              </w:rPr>
            </w:pPr>
            <w:r>
              <w:rPr>
                <w:rFonts w:hint="eastAsia" w:eastAsia="仿宋_GB2312"/>
                <w:b w:val="0"/>
                <w:bCs/>
                <w:color w:val="auto"/>
                <w:sz w:val="24"/>
                <w:highlight w:val="none"/>
                <w:lang w:val="zh-CN"/>
              </w:rPr>
              <w:t>二氢槲皮素保健食品胶囊生产</w:t>
            </w:r>
            <w:r>
              <w:rPr>
                <w:rFonts w:hint="default" w:eastAsia="仿宋_GB2312"/>
                <w:b w:val="0"/>
                <w:bCs/>
                <w:color w:val="auto"/>
                <w:sz w:val="24"/>
                <w:highlight w:val="none"/>
                <w:lang w:val="zh-CN"/>
              </w:rPr>
              <w:t>物料平衡表见</w:t>
            </w:r>
            <w:r>
              <w:rPr>
                <w:rFonts w:hint="eastAsia" w:eastAsia="仿宋_GB2312"/>
                <w:b w:val="0"/>
                <w:bCs/>
                <w:color w:val="auto"/>
                <w:sz w:val="24"/>
                <w:highlight w:val="none"/>
                <w:lang w:val="zh-CN"/>
              </w:rPr>
              <w:t>下表</w:t>
            </w:r>
            <w:r>
              <w:rPr>
                <w:rFonts w:hint="default" w:eastAsia="仿宋_GB2312"/>
                <w:b w:val="0"/>
                <w:bCs/>
                <w:color w:val="auto"/>
                <w:sz w:val="24"/>
                <w:highlight w:val="none"/>
                <w:lang w:val="zh-CN"/>
              </w:rPr>
              <w:t>。</w:t>
            </w:r>
          </w:p>
          <w:p w14:paraId="2446245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eastAsia" w:eastAsia="仿宋_GB2312"/>
                <w:b/>
                <w:color w:val="auto"/>
                <w:sz w:val="22"/>
                <w:szCs w:val="22"/>
              </w:rPr>
              <w:t>表</w:t>
            </w:r>
            <w:r>
              <w:rPr>
                <w:rFonts w:hint="eastAsia" w:eastAsia="仿宋_GB2312"/>
                <w:b/>
                <w:color w:val="auto"/>
                <w:sz w:val="22"/>
                <w:szCs w:val="22"/>
                <w:lang w:val="en-US" w:eastAsia="zh-CN"/>
              </w:rPr>
              <w:t>2-28</w:t>
            </w:r>
            <w:r>
              <w:rPr>
                <w:rFonts w:hint="eastAsia" w:eastAsia="仿宋_GB2312"/>
                <w:b/>
                <w:color w:val="auto"/>
                <w:sz w:val="22"/>
                <w:szCs w:val="22"/>
              </w:rPr>
              <w:t xml:space="preserve"> </w:t>
            </w:r>
            <w:r>
              <w:rPr>
                <w:rFonts w:hint="default" w:eastAsia="仿宋_GB2312"/>
                <w:b/>
                <w:color w:val="auto"/>
                <w:sz w:val="22"/>
                <w:szCs w:val="22"/>
              </w:rPr>
              <w:t xml:space="preserve"> </w:t>
            </w:r>
            <w:r>
              <w:rPr>
                <w:rFonts w:hint="eastAsia" w:eastAsia="仿宋_GB2312"/>
                <w:b/>
                <w:color w:val="auto"/>
                <w:sz w:val="22"/>
                <w:szCs w:val="22"/>
              </w:rPr>
              <w:t xml:space="preserve">二氢槲皮素保健食品胶囊物料平衡表 </w:t>
            </w:r>
            <w:r>
              <w:rPr>
                <w:rFonts w:hint="default" w:eastAsia="仿宋_GB2312"/>
                <w:b/>
                <w:color w:val="auto"/>
                <w:sz w:val="22"/>
                <w:szCs w:val="22"/>
              </w:rPr>
              <w:t xml:space="preserve">        </w:t>
            </w:r>
            <w:r>
              <w:rPr>
                <w:rFonts w:hint="eastAsia" w:eastAsia="仿宋_GB2312"/>
                <w:b/>
                <w:color w:val="auto"/>
                <w:sz w:val="22"/>
                <w:szCs w:val="22"/>
              </w:rPr>
              <w:t>单位：kg</w:t>
            </w:r>
            <w:r>
              <w:rPr>
                <w:rFonts w:hint="default" w:eastAsia="仿宋_GB2312"/>
                <w:b/>
                <w:color w:val="auto"/>
                <w:sz w:val="22"/>
                <w:szCs w:val="22"/>
              </w:rPr>
              <w:t>/</w:t>
            </w:r>
            <w:r>
              <w:rPr>
                <w:rFonts w:hint="eastAsia" w:eastAsia="仿宋_GB2312"/>
                <w:b/>
                <w:color w:val="auto"/>
                <w:sz w:val="22"/>
                <w:szCs w:val="22"/>
              </w:rPr>
              <w:t>批</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018"/>
              <w:gridCol w:w="1015"/>
              <w:gridCol w:w="713"/>
              <w:gridCol w:w="707"/>
              <w:gridCol w:w="763"/>
              <w:gridCol w:w="651"/>
              <w:gridCol w:w="696"/>
              <w:gridCol w:w="744"/>
              <w:gridCol w:w="831"/>
            </w:tblGrid>
            <w:tr w14:paraId="65514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37" w:type="dxa"/>
                  <w:gridSpan w:val="2"/>
                  <w:vAlign w:val="center"/>
                </w:tcPr>
                <w:p w14:paraId="39A0F9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入方</w:t>
                  </w:r>
                </w:p>
              </w:tc>
              <w:tc>
                <w:tcPr>
                  <w:tcW w:w="6120" w:type="dxa"/>
                  <w:gridSpan w:val="8"/>
                  <w:vAlign w:val="center"/>
                </w:tcPr>
                <w:p w14:paraId="6E65EFB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出方</w:t>
                  </w:r>
                </w:p>
              </w:tc>
            </w:tr>
            <w:tr w14:paraId="10033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37" w:type="dxa"/>
                  <w:gridSpan w:val="2"/>
                  <w:vAlign w:val="center"/>
                </w:tcPr>
                <w:p w14:paraId="7344B26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原辅料</w:t>
                  </w:r>
                </w:p>
              </w:tc>
              <w:tc>
                <w:tcPr>
                  <w:tcW w:w="1728" w:type="dxa"/>
                  <w:gridSpan w:val="2"/>
                  <w:vAlign w:val="center"/>
                </w:tcPr>
                <w:p w14:paraId="1128D3F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产品</w:t>
                  </w:r>
                </w:p>
              </w:tc>
              <w:tc>
                <w:tcPr>
                  <w:tcW w:w="1470" w:type="dxa"/>
                  <w:gridSpan w:val="2"/>
                  <w:vAlign w:val="center"/>
                </w:tcPr>
                <w:p w14:paraId="1689F1B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废气</w:t>
                  </w:r>
                </w:p>
              </w:tc>
              <w:tc>
                <w:tcPr>
                  <w:tcW w:w="1347" w:type="dxa"/>
                  <w:gridSpan w:val="2"/>
                  <w:vAlign w:val="center"/>
                </w:tcPr>
                <w:p w14:paraId="2E7BB72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废水</w:t>
                  </w:r>
                </w:p>
              </w:tc>
              <w:tc>
                <w:tcPr>
                  <w:tcW w:w="1575" w:type="dxa"/>
                  <w:gridSpan w:val="2"/>
                  <w:vAlign w:val="center"/>
                </w:tcPr>
                <w:p w14:paraId="258BFEC3">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固废</w:t>
                  </w:r>
                </w:p>
              </w:tc>
            </w:tr>
            <w:tr w14:paraId="07DD3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2237" w:type="dxa"/>
                  <w:gridSpan w:val="2"/>
                  <w:vAlign w:val="center"/>
                </w:tcPr>
                <w:p w14:paraId="7C9E7AAA">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微晶纤维素</w:t>
                  </w:r>
                  <w:r>
                    <w:rPr>
                      <w:rFonts w:hint="default" w:ascii="Times New Roman" w:hAnsi="Times New Roman" w:eastAsia="仿宋_GB2312" w:cs="Times New Roman"/>
                      <w:color w:val="auto"/>
                      <w:sz w:val="21"/>
                    </w:rPr>
                    <w:t>2.1</w:t>
                  </w:r>
                </w:p>
                <w:p w14:paraId="6C82E07B">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二氢槲皮素</w:t>
                  </w:r>
                  <w:r>
                    <w:rPr>
                      <w:rFonts w:hint="default" w:ascii="Times New Roman" w:hAnsi="Times New Roman" w:eastAsia="仿宋_GB2312" w:cs="Times New Roman"/>
                      <w:color w:val="auto"/>
                      <w:sz w:val="21"/>
                    </w:rPr>
                    <w:t>12.5</w:t>
                  </w:r>
                </w:p>
                <w:p w14:paraId="2DA1C572">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水飞蓟提取物</w:t>
                  </w:r>
                  <w:r>
                    <w:rPr>
                      <w:rFonts w:hint="default" w:ascii="Times New Roman" w:hAnsi="Times New Roman" w:eastAsia="仿宋_GB2312" w:cs="Times New Roman"/>
                      <w:color w:val="auto"/>
                      <w:sz w:val="21"/>
                    </w:rPr>
                    <w:t>23.814</w:t>
                  </w:r>
                </w:p>
                <w:p w14:paraId="7DB6C038">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植物胶囊壳</w:t>
                  </w:r>
                  <w:r>
                    <w:rPr>
                      <w:rFonts w:hint="default" w:ascii="Times New Roman" w:hAnsi="Times New Roman" w:eastAsia="仿宋_GB2312" w:cs="Times New Roman"/>
                      <w:color w:val="auto"/>
                      <w:sz w:val="21"/>
                    </w:rPr>
                    <w:t>19.125</w:t>
                  </w:r>
                </w:p>
                <w:p w14:paraId="7915B269">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纯水</w:t>
                  </w:r>
                  <w:r>
                    <w:rPr>
                      <w:rFonts w:hint="default" w:ascii="Times New Roman" w:hAnsi="Times New Roman" w:eastAsia="仿宋_GB2312" w:cs="Times New Roman"/>
                      <w:color w:val="auto"/>
                      <w:sz w:val="21"/>
                    </w:rPr>
                    <w:t>5</w:t>
                  </w:r>
                </w:p>
              </w:tc>
              <w:tc>
                <w:tcPr>
                  <w:tcW w:w="1015" w:type="dxa"/>
                  <w:vAlign w:val="center"/>
                </w:tcPr>
                <w:p w14:paraId="078C08C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二氢槲皮素保健食品胶囊</w:t>
                  </w:r>
                </w:p>
              </w:tc>
              <w:tc>
                <w:tcPr>
                  <w:tcW w:w="713" w:type="dxa"/>
                  <w:vAlign w:val="center"/>
                </w:tcPr>
                <w:p w14:paraId="755815D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56.25</w:t>
                  </w:r>
                </w:p>
              </w:tc>
              <w:tc>
                <w:tcPr>
                  <w:tcW w:w="1470" w:type="dxa"/>
                  <w:gridSpan w:val="2"/>
                  <w:vAlign w:val="center"/>
                </w:tcPr>
                <w:p w14:paraId="5A6A4B10">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G3-2-1</w:t>
                  </w:r>
                  <w:r>
                    <w:rPr>
                      <w:rFonts w:hint="default" w:ascii="Times New Roman" w:hAnsi="Times New Roman" w:eastAsia="仿宋_GB2312" w:cs="Times New Roman"/>
                      <w:color w:val="auto"/>
                      <w:kern w:val="0"/>
                      <w:sz w:val="21"/>
                    </w:rPr>
                    <w:t xml:space="preserve"> </w:t>
                  </w:r>
                  <w:r>
                    <w:rPr>
                      <w:rFonts w:hint="default" w:ascii="Times New Roman" w:hAnsi="Times New Roman" w:eastAsia="仿宋_GB2312" w:cs="Times New Roman"/>
                      <w:color w:val="auto"/>
                      <w:sz w:val="21"/>
                    </w:rPr>
                    <w:t>0.35</w:t>
                  </w:r>
                </w:p>
                <w:p w14:paraId="364F866C">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G3-2-2</w:t>
                  </w:r>
                  <w:r>
                    <w:rPr>
                      <w:rFonts w:hint="default" w:ascii="Times New Roman" w:hAnsi="Times New Roman" w:eastAsia="仿宋_GB2312" w:cs="Times New Roman"/>
                      <w:color w:val="auto"/>
                      <w:kern w:val="0"/>
                      <w:sz w:val="21"/>
                    </w:rPr>
                    <w:t xml:space="preserve">  </w:t>
                  </w:r>
                  <w:r>
                    <w:rPr>
                      <w:rFonts w:hint="default" w:ascii="Times New Roman" w:hAnsi="Times New Roman" w:eastAsia="仿宋_GB2312" w:cs="Times New Roman"/>
                      <w:color w:val="auto"/>
                      <w:sz w:val="21"/>
                    </w:rPr>
                    <w:t>5.18</w:t>
                  </w:r>
                </w:p>
                <w:p w14:paraId="54B496D2">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G3-2-3</w:t>
                  </w:r>
                  <w:r>
                    <w:rPr>
                      <w:rFonts w:hint="default" w:ascii="Times New Roman" w:hAnsi="Times New Roman" w:eastAsia="仿宋_GB2312" w:cs="Times New Roman"/>
                      <w:color w:val="auto"/>
                      <w:kern w:val="0"/>
                      <w:sz w:val="21"/>
                    </w:rPr>
                    <w:t xml:space="preserve">  </w:t>
                  </w:r>
                  <w:r>
                    <w:rPr>
                      <w:rFonts w:hint="default" w:ascii="Times New Roman" w:hAnsi="Times New Roman" w:eastAsia="仿宋_GB2312" w:cs="Times New Roman"/>
                      <w:color w:val="auto"/>
                      <w:sz w:val="21"/>
                    </w:rPr>
                    <w:t>0.376</w:t>
                  </w:r>
                </w:p>
              </w:tc>
              <w:tc>
                <w:tcPr>
                  <w:tcW w:w="1347" w:type="dxa"/>
                  <w:gridSpan w:val="2"/>
                  <w:vAlign w:val="center"/>
                </w:tcPr>
                <w:p w14:paraId="7033D7EF">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1575" w:type="dxa"/>
                  <w:gridSpan w:val="2"/>
                  <w:vAlign w:val="center"/>
                </w:tcPr>
                <w:p w14:paraId="414F72A7">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S3-2-1</w:t>
                  </w:r>
                  <w:r>
                    <w:rPr>
                      <w:rFonts w:hint="default" w:ascii="Times New Roman" w:hAnsi="Times New Roman" w:eastAsia="仿宋_GB2312" w:cs="Times New Roman"/>
                      <w:color w:val="auto"/>
                      <w:kern w:val="0"/>
                      <w:sz w:val="21"/>
                    </w:rPr>
                    <w:t xml:space="preserve">  </w:t>
                  </w:r>
                  <w:r>
                    <w:rPr>
                      <w:rFonts w:hint="default" w:ascii="Times New Roman" w:hAnsi="Times New Roman" w:eastAsia="仿宋_GB2312" w:cs="Times New Roman"/>
                      <w:color w:val="auto"/>
                      <w:sz w:val="21"/>
                    </w:rPr>
                    <w:t>0.383</w:t>
                  </w:r>
                </w:p>
              </w:tc>
            </w:tr>
            <w:tr w14:paraId="369BD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19" w:type="dxa"/>
                  <w:vMerge w:val="restart"/>
                  <w:vAlign w:val="center"/>
                </w:tcPr>
                <w:p w14:paraId="5BD013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合计</w:t>
                  </w:r>
                </w:p>
              </w:tc>
              <w:tc>
                <w:tcPr>
                  <w:tcW w:w="1018" w:type="dxa"/>
                  <w:vMerge w:val="restart"/>
                  <w:vAlign w:val="center"/>
                </w:tcPr>
                <w:p w14:paraId="3CC64F3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62.539</w:t>
                  </w:r>
                </w:p>
              </w:tc>
              <w:tc>
                <w:tcPr>
                  <w:tcW w:w="1015" w:type="dxa"/>
                  <w:vAlign w:val="center"/>
                </w:tcPr>
                <w:p w14:paraId="6693D4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小计</w:t>
                  </w:r>
                </w:p>
              </w:tc>
              <w:tc>
                <w:tcPr>
                  <w:tcW w:w="713" w:type="dxa"/>
                  <w:vAlign w:val="center"/>
                </w:tcPr>
                <w:p w14:paraId="17F7CCC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56.25</w:t>
                  </w:r>
                </w:p>
              </w:tc>
              <w:tc>
                <w:tcPr>
                  <w:tcW w:w="707" w:type="dxa"/>
                  <w:vAlign w:val="center"/>
                </w:tcPr>
                <w:p w14:paraId="5699268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小计</w:t>
                  </w:r>
                </w:p>
              </w:tc>
              <w:tc>
                <w:tcPr>
                  <w:tcW w:w="763" w:type="dxa"/>
                  <w:vAlign w:val="center"/>
                </w:tcPr>
                <w:p w14:paraId="00FE2ED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5.906</w:t>
                  </w:r>
                </w:p>
              </w:tc>
              <w:tc>
                <w:tcPr>
                  <w:tcW w:w="651" w:type="dxa"/>
                  <w:vAlign w:val="center"/>
                </w:tcPr>
                <w:p w14:paraId="13D7FD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小计</w:t>
                  </w:r>
                </w:p>
              </w:tc>
              <w:tc>
                <w:tcPr>
                  <w:tcW w:w="696" w:type="dxa"/>
                  <w:vAlign w:val="center"/>
                </w:tcPr>
                <w:p w14:paraId="7B43F1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w:t>
                  </w:r>
                </w:p>
              </w:tc>
              <w:tc>
                <w:tcPr>
                  <w:tcW w:w="744" w:type="dxa"/>
                  <w:vAlign w:val="center"/>
                </w:tcPr>
                <w:p w14:paraId="2EF786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小计</w:t>
                  </w:r>
                </w:p>
              </w:tc>
              <w:tc>
                <w:tcPr>
                  <w:tcW w:w="831" w:type="dxa"/>
                  <w:vAlign w:val="center"/>
                </w:tcPr>
                <w:p w14:paraId="17AAC3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0.383</w:t>
                  </w:r>
                </w:p>
              </w:tc>
            </w:tr>
            <w:tr w14:paraId="6A0BB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19" w:type="dxa"/>
                  <w:vMerge w:val="continue"/>
                  <w:vAlign w:val="center"/>
                </w:tcPr>
                <w:p w14:paraId="50B7654B">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p>
              </w:tc>
              <w:tc>
                <w:tcPr>
                  <w:tcW w:w="1018" w:type="dxa"/>
                  <w:vMerge w:val="continue"/>
                  <w:vAlign w:val="center"/>
                </w:tcPr>
                <w:p w14:paraId="2F692633">
                  <w:pPr>
                    <w:keepNext w:val="0"/>
                    <w:keepLines w:val="0"/>
                    <w:suppressLineNumbers w:val="0"/>
                    <w:spacing w:before="0" w:beforeAutospacing="0" w:after="0" w:afterAutospacing="0" w:line="320" w:lineRule="exact"/>
                    <w:ind w:left="0" w:right="0"/>
                    <w:jc w:val="left"/>
                    <w:rPr>
                      <w:rFonts w:hint="default" w:ascii="Times New Roman" w:hAnsi="Times New Roman" w:eastAsia="仿宋_GB2312" w:cs="Times New Roman"/>
                      <w:color w:val="auto"/>
                      <w:kern w:val="0"/>
                      <w:sz w:val="21"/>
                    </w:rPr>
                  </w:pPr>
                </w:p>
              </w:tc>
              <w:tc>
                <w:tcPr>
                  <w:tcW w:w="1015" w:type="dxa"/>
                  <w:vAlign w:val="center"/>
                </w:tcPr>
                <w:p w14:paraId="5A23C0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合计</w:t>
                  </w:r>
                </w:p>
              </w:tc>
              <w:tc>
                <w:tcPr>
                  <w:tcW w:w="5105" w:type="dxa"/>
                  <w:gridSpan w:val="7"/>
                  <w:vAlign w:val="center"/>
                </w:tcPr>
                <w:p w14:paraId="6AA243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62.539</w:t>
                  </w:r>
                </w:p>
              </w:tc>
            </w:tr>
          </w:tbl>
          <w:p w14:paraId="367B31D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rPr>
                <w:rFonts w:hint="default" w:ascii="Times New Roman" w:hAnsi="Times New Roman" w:eastAsia="仿宋_GB2312" w:cs="Times New Roman"/>
                <w:b w:val="0"/>
                <w:bCs/>
                <w:color w:val="auto"/>
                <w:kern w:val="2"/>
                <w:sz w:val="24"/>
                <w:szCs w:val="24"/>
                <w:lang w:val="zh-CN" w:eastAsia="zh-CN" w:bidi="ar-SA"/>
              </w:rPr>
            </w:pPr>
            <w:r>
              <w:rPr>
                <w:rFonts w:hint="eastAsia" w:ascii="仿宋_GB2312" w:hAnsi="仿宋_GB2312" w:eastAsia="仿宋_GB2312" w:cs="仿宋_GB2312"/>
                <w:b w:val="0"/>
                <w:bCs/>
                <w:color w:val="auto"/>
                <w:kern w:val="2"/>
                <w:sz w:val="21"/>
                <w:szCs w:val="21"/>
                <w:highlight w:val="none"/>
                <w:lang w:val="zh-CN" w:eastAsia="zh-CN" w:bidi="ar-SA"/>
              </w:rPr>
              <w:t>备注：保健食品胶囊生产线物料平衡数据，均是以上海光玥生物科技有限公司（母公司）研发试验数据（小试）为基础，同时结合本项目的产品产能和相关主要设备参数而得出。</w:t>
            </w:r>
          </w:p>
          <w:p w14:paraId="4C45D0C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b w:val="0"/>
                <w:bCs/>
                <w:color w:val="auto"/>
                <w:kern w:val="2"/>
                <w:sz w:val="24"/>
                <w:szCs w:val="24"/>
                <w:lang w:val="zh-CN" w:eastAsia="zh-CN" w:bidi="ar-SA"/>
              </w:rPr>
            </w:pPr>
            <w:r>
              <w:rPr>
                <w:rFonts w:hint="default" w:ascii="Times New Roman" w:hAnsi="Times New Roman" w:eastAsia="仿宋_GB2312" w:cs="Times New Roman"/>
                <w:b w:val="0"/>
                <w:bCs/>
                <w:color w:val="auto"/>
                <w:kern w:val="2"/>
                <w:sz w:val="24"/>
                <w:szCs w:val="24"/>
                <w:lang w:val="zh-CN" w:eastAsia="zh-CN" w:bidi="ar-SA"/>
              </w:rPr>
              <w:t>本项目</w:t>
            </w:r>
            <w:r>
              <w:rPr>
                <w:rFonts w:hint="eastAsia" w:ascii="Times New Roman" w:hAnsi="Times New Roman" w:eastAsia="仿宋_GB2312" w:cs="Times New Roman"/>
                <w:b w:val="0"/>
                <w:bCs/>
                <w:color w:val="auto"/>
                <w:kern w:val="2"/>
                <w:sz w:val="24"/>
                <w:szCs w:val="24"/>
                <w:lang w:val="zh-CN" w:eastAsia="zh-CN" w:bidi="ar-SA"/>
              </w:rPr>
              <w:t>γ-氨基丁酸</w:t>
            </w:r>
            <w:r>
              <w:rPr>
                <w:rFonts w:hint="default" w:ascii="Times New Roman" w:hAnsi="Times New Roman" w:eastAsia="仿宋_GB2312" w:cs="Times New Roman"/>
                <w:b w:val="0"/>
                <w:bCs/>
                <w:color w:val="auto"/>
                <w:kern w:val="2"/>
                <w:sz w:val="24"/>
                <w:szCs w:val="24"/>
                <w:lang w:val="zh-CN" w:eastAsia="zh-CN" w:bidi="ar-SA"/>
              </w:rPr>
              <w:t>保健食品胶囊生产物料平衡图见</w:t>
            </w:r>
            <w:r>
              <w:rPr>
                <w:rFonts w:hint="eastAsia" w:ascii="Times New Roman" w:hAnsi="Times New Roman" w:eastAsia="仿宋_GB2312" w:cs="Times New Roman"/>
                <w:b w:val="0"/>
                <w:bCs/>
                <w:color w:val="auto"/>
                <w:kern w:val="2"/>
                <w:sz w:val="24"/>
                <w:szCs w:val="24"/>
                <w:lang w:val="zh-CN" w:eastAsia="zh-CN" w:bidi="ar-SA"/>
              </w:rPr>
              <w:t>下</w:t>
            </w:r>
            <w:r>
              <w:rPr>
                <w:rFonts w:hint="default" w:ascii="Times New Roman" w:hAnsi="Times New Roman" w:eastAsia="仿宋_GB2312" w:cs="Times New Roman"/>
                <w:b w:val="0"/>
                <w:bCs/>
                <w:color w:val="auto"/>
                <w:kern w:val="2"/>
                <w:sz w:val="24"/>
                <w:szCs w:val="24"/>
                <w:lang w:val="zh-CN" w:eastAsia="zh-CN" w:bidi="ar-SA"/>
              </w:rPr>
              <w:t>图</w:t>
            </w:r>
          </w:p>
          <w:p w14:paraId="40963A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_GB2312"/>
                <w:b/>
                <w:color w:val="auto"/>
                <w:sz w:val="22"/>
                <w:szCs w:val="22"/>
              </w:rPr>
            </w:pPr>
            <w:r>
              <w:rPr>
                <w:rFonts w:hint="default"/>
                <w:color w:val="auto"/>
              </w:rPr>
              <w:object>
                <v:shape id="_x0000_i1030" o:spt="75" type="#_x0000_t75" style="height:501.6pt;width:394.25pt;" o:ole="t" filled="f" o:preferrelative="t" stroked="f" coordsize="21600,21600">
                  <v:path/>
                  <v:fill on="f" focussize="0,0"/>
                  <v:stroke on="f"/>
                  <v:imagedata r:id="rId28" o:title=""/>
                  <o:lock v:ext="edit" aspectratio="t"/>
                  <w10:wrap type="none"/>
                  <w10:anchorlock/>
                </v:shape>
                <o:OLEObject Type="Embed" ProgID="Visio.Drawing.15" ShapeID="_x0000_i1030" DrawAspect="Content" ObjectID="_1468075730" r:id="rId27">
                  <o:LockedField>false</o:LockedField>
                </o:OLEObject>
              </w:object>
            </w:r>
          </w:p>
          <w:p w14:paraId="4D63CC2F">
            <w:pPr>
              <w:keepNext w:val="0"/>
              <w:keepLines w:val="0"/>
              <w:suppressLineNumbers w:val="0"/>
              <w:spacing w:before="0" w:beforeAutospacing="0" w:after="0" w:afterAutospacing="0"/>
              <w:ind w:left="0" w:right="0"/>
              <w:jc w:val="center"/>
              <w:rPr>
                <w:rFonts w:hint="default" w:eastAsia="仿宋_GB2312"/>
                <w:b/>
                <w:color w:val="auto"/>
                <w:sz w:val="22"/>
                <w:szCs w:val="22"/>
              </w:rPr>
            </w:pPr>
            <w:r>
              <w:rPr>
                <w:rFonts w:hint="default" w:eastAsia="仿宋_GB2312"/>
                <w:b/>
                <w:color w:val="auto"/>
                <w:sz w:val="22"/>
                <w:szCs w:val="22"/>
              </w:rPr>
              <w:t>图2-</w:t>
            </w:r>
            <w:r>
              <w:rPr>
                <w:rFonts w:hint="eastAsia" w:eastAsia="仿宋_GB2312"/>
                <w:b/>
                <w:color w:val="auto"/>
                <w:sz w:val="22"/>
                <w:szCs w:val="22"/>
                <w:lang w:val="en-US" w:eastAsia="zh-CN"/>
              </w:rPr>
              <w:t>6</w:t>
            </w:r>
            <w:r>
              <w:rPr>
                <w:rFonts w:hint="default" w:eastAsia="仿宋_GB2312"/>
                <w:b/>
                <w:color w:val="auto"/>
                <w:sz w:val="22"/>
                <w:szCs w:val="22"/>
              </w:rPr>
              <w:t xml:space="preserve">  γ-氨基丁酸保健食品胶囊生产物料平衡图（kg/批）</w:t>
            </w:r>
          </w:p>
          <w:p w14:paraId="22B1572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1259" w:right="0"/>
              <w:textAlignment w:val="auto"/>
              <w:rPr>
                <w:rFonts w:hint="default" w:ascii="Times New Roman" w:hAnsi="Times New Roman" w:eastAsia="仿宋_GB2312" w:cs="Times New Roman"/>
                <w:b w:val="0"/>
                <w:bCs/>
                <w:color w:val="auto"/>
                <w:kern w:val="2"/>
                <w:sz w:val="24"/>
                <w:szCs w:val="24"/>
                <w:lang w:val="zh-CN" w:eastAsia="zh-CN" w:bidi="ar-SA"/>
              </w:rPr>
            </w:pPr>
          </w:p>
          <w:p w14:paraId="4281C0F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1259" w:right="0"/>
              <w:textAlignment w:val="auto"/>
              <w:rPr>
                <w:rFonts w:hint="default" w:ascii="Times New Roman" w:hAnsi="Times New Roman" w:eastAsia="仿宋_GB2312" w:cs="Times New Roman"/>
                <w:b w:val="0"/>
                <w:bCs/>
                <w:color w:val="auto"/>
                <w:kern w:val="2"/>
                <w:sz w:val="24"/>
                <w:szCs w:val="24"/>
                <w:lang w:val="zh-CN" w:eastAsia="zh-CN" w:bidi="ar-SA"/>
              </w:rPr>
            </w:pPr>
          </w:p>
          <w:p w14:paraId="445FE34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1259" w:right="0"/>
              <w:textAlignment w:val="auto"/>
              <w:rPr>
                <w:rFonts w:hint="default" w:ascii="Times New Roman" w:hAnsi="Times New Roman" w:eastAsia="仿宋_GB2312" w:cs="Times New Roman"/>
                <w:b w:val="0"/>
                <w:bCs/>
                <w:color w:val="auto"/>
                <w:kern w:val="2"/>
                <w:sz w:val="24"/>
                <w:szCs w:val="24"/>
                <w:lang w:val="zh-CN" w:eastAsia="zh-CN" w:bidi="ar-SA"/>
              </w:rPr>
            </w:pPr>
          </w:p>
          <w:p w14:paraId="3EF0501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1259" w:right="0"/>
              <w:textAlignment w:val="auto"/>
              <w:rPr>
                <w:rFonts w:hint="default" w:ascii="Times New Roman" w:hAnsi="Times New Roman" w:eastAsia="仿宋_GB2312" w:cs="Times New Roman"/>
                <w:b w:val="0"/>
                <w:bCs/>
                <w:color w:val="auto"/>
                <w:kern w:val="2"/>
                <w:sz w:val="24"/>
                <w:szCs w:val="24"/>
                <w:lang w:val="zh-CN" w:eastAsia="zh-CN" w:bidi="ar-SA"/>
              </w:rPr>
            </w:pPr>
          </w:p>
          <w:p w14:paraId="030AB64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1259" w:right="0"/>
              <w:textAlignment w:val="auto"/>
              <w:rPr>
                <w:rFonts w:hint="default" w:ascii="Times New Roman" w:hAnsi="Times New Roman" w:eastAsia="仿宋_GB2312" w:cs="Times New Roman"/>
                <w:b w:val="0"/>
                <w:bCs/>
                <w:color w:val="auto"/>
                <w:kern w:val="2"/>
                <w:sz w:val="24"/>
                <w:szCs w:val="24"/>
                <w:lang w:val="zh-CN" w:eastAsia="zh-CN" w:bidi="ar-SA"/>
              </w:rPr>
            </w:pPr>
          </w:p>
          <w:p w14:paraId="47D5547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1259" w:right="0"/>
              <w:textAlignment w:val="auto"/>
              <w:rPr>
                <w:rFonts w:hint="default" w:ascii="Times New Roman" w:hAnsi="Times New Roman" w:eastAsia="仿宋_GB2312" w:cs="Times New Roman"/>
                <w:b w:val="0"/>
                <w:bCs/>
                <w:color w:val="auto"/>
                <w:kern w:val="2"/>
                <w:sz w:val="24"/>
                <w:szCs w:val="24"/>
                <w:lang w:val="zh-CN" w:eastAsia="zh-CN" w:bidi="ar-SA"/>
              </w:rPr>
            </w:pPr>
          </w:p>
          <w:p w14:paraId="67C2279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1259" w:right="0"/>
              <w:textAlignment w:val="auto"/>
              <w:rPr>
                <w:rFonts w:hint="default" w:ascii="Times New Roman" w:hAnsi="Times New Roman" w:eastAsia="仿宋_GB2312" w:cs="Times New Roman"/>
                <w:b w:val="0"/>
                <w:bCs/>
                <w:color w:val="auto"/>
                <w:kern w:val="2"/>
                <w:sz w:val="24"/>
                <w:szCs w:val="24"/>
                <w:lang w:val="zh-CN" w:eastAsia="zh-CN" w:bidi="ar-SA"/>
              </w:rPr>
            </w:pPr>
          </w:p>
          <w:p w14:paraId="7C0DFAD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1259" w:right="0"/>
              <w:textAlignment w:val="auto"/>
              <w:rPr>
                <w:rFonts w:hint="default" w:ascii="Times New Roman" w:hAnsi="Times New Roman" w:eastAsia="仿宋_GB2312" w:cs="Times New Roman"/>
                <w:b w:val="0"/>
                <w:bCs/>
                <w:color w:val="auto"/>
                <w:kern w:val="2"/>
                <w:sz w:val="24"/>
                <w:szCs w:val="24"/>
                <w:lang w:val="zh-CN" w:eastAsia="zh-CN" w:bidi="ar-SA"/>
              </w:rPr>
            </w:pPr>
            <w:r>
              <w:rPr>
                <w:rFonts w:hint="default" w:ascii="Times New Roman" w:hAnsi="Times New Roman" w:eastAsia="仿宋_GB2312" w:cs="Times New Roman"/>
                <w:b w:val="0"/>
                <w:bCs/>
                <w:color w:val="auto"/>
                <w:kern w:val="2"/>
                <w:sz w:val="24"/>
                <w:szCs w:val="24"/>
                <w:lang w:val="zh-CN" w:eastAsia="zh-CN" w:bidi="ar-SA"/>
              </w:rPr>
              <w:t>本项目二氢槲皮素保健食品胶囊生产物料平衡图见</w:t>
            </w:r>
            <w:r>
              <w:rPr>
                <w:rFonts w:hint="eastAsia" w:eastAsia="仿宋_GB2312" w:cs="Times New Roman"/>
                <w:b w:val="0"/>
                <w:bCs/>
                <w:color w:val="auto"/>
                <w:kern w:val="2"/>
                <w:sz w:val="24"/>
                <w:szCs w:val="24"/>
                <w:lang w:val="zh-CN" w:eastAsia="zh-CN" w:bidi="ar-SA"/>
              </w:rPr>
              <w:t>下</w:t>
            </w:r>
            <w:r>
              <w:rPr>
                <w:rFonts w:hint="default" w:ascii="Times New Roman" w:hAnsi="Times New Roman" w:eastAsia="仿宋_GB2312" w:cs="Times New Roman"/>
                <w:b w:val="0"/>
                <w:bCs/>
                <w:color w:val="auto"/>
                <w:kern w:val="2"/>
                <w:sz w:val="24"/>
                <w:szCs w:val="24"/>
                <w:lang w:val="zh-CN" w:eastAsia="zh-CN" w:bidi="ar-SA"/>
              </w:rPr>
              <w:t>图</w:t>
            </w:r>
          </w:p>
          <w:p w14:paraId="59B90BAE">
            <w:pPr>
              <w:pStyle w:val="3"/>
              <w:keepNext w:val="0"/>
              <w:keepLines w:val="0"/>
              <w:suppressLineNumbers w:val="0"/>
              <w:spacing w:before="0" w:beforeAutospacing="0" w:after="0" w:afterAutospacing="0"/>
              <w:ind w:right="0"/>
              <w:rPr>
                <w:rFonts w:hint="default"/>
                <w:color w:val="auto"/>
                <w:lang w:val="zh-CN"/>
              </w:rPr>
            </w:pPr>
            <w:r>
              <w:rPr>
                <w:rFonts w:hint="default"/>
                <w:color w:val="auto"/>
              </w:rPr>
              <w:object>
                <v:shape id="_x0000_i1031" o:spt="75" type="#_x0000_t75" style="height:376.7pt;width:355.8pt;" o:ole="t" filled="f" o:preferrelative="t" stroked="f" coordsize="21600,21600">
                  <v:path/>
                  <v:fill on="f" focussize="0,0"/>
                  <v:stroke on="f"/>
                  <v:imagedata r:id="rId30" o:title=""/>
                  <o:lock v:ext="edit" aspectratio="t"/>
                  <w10:wrap type="none"/>
                  <w10:anchorlock/>
                </v:shape>
                <o:OLEObject Type="Embed" ProgID="Visio.Drawing.15" ShapeID="_x0000_i1031" DrawAspect="Content" ObjectID="_1468075731" r:id="rId29">
                  <o:LockedField>false</o:LockedField>
                </o:OLEObject>
              </w:object>
            </w:r>
          </w:p>
          <w:p w14:paraId="642A9E2B">
            <w:pPr>
              <w:keepNext w:val="0"/>
              <w:keepLines w:val="0"/>
              <w:suppressLineNumbers w:val="0"/>
              <w:spacing w:before="0" w:beforeAutospacing="0" w:after="0" w:afterAutospacing="0"/>
              <w:ind w:left="0" w:right="0"/>
              <w:jc w:val="center"/>
              <w:rPr>
                <w:rFonts w:hint="default" w:eastAsia="仿宋_GB2312"/>
                <w:b/>
                <w:color w:val="auto"/>
                <w:sz w:val="22"/>
                <w:szCs w:val="22"/>
              </w:rPr>
            </w:pPr>
            <w:r>
              <w:rPr>
                <w:rFonts w:hint="default" w:eastAsia="仿宋_GB2312"/>
                <w:b/>
                <w:color w:val="auto"/>
                <w:sz w:val="22"/>
                <w:szCs w:val="22"/>
              </w:rPr>
              <w:t>图2-</w:t>
            </w:r>
            <w:r>
              <w:rPr>
                <w:rFonts w:hint="eastAsia" w:eastAsia="仿宋_GB2312"/>
                <w:b/>
                <w:color w:val="auto"/>
                <w:sz w:val="22"/>
                <w:szCs w:val="22"/>
                <w:lang w:val="en-US" w:eastAsia="zh-CN"/>
              </w:rPr>
              <w:t>7</w:t>
            </w:r>
            <w:r>
              <w:rPr>
                <w:rFonts w:hint="default" w:eastAsia="仿宋_GB2312"/>
                <w:b/>
                <w:color w:val="auto"/>
                <w:sz w:val="22"/>
                <w:szCs w:val="22"/>
              </w:rPr>
              <w:t xml:space="preserve">  二氢槲皮素保健食品胶囊产物料平衡图（kg/批）</w:t>
            </w:r>
          </w:p>
          <w:p w14:paraId="1DD17D0F">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lang w:val="zh-CN"/>
              </w:rPr>
            </w:pPr>
            <w:r>
              <w:rPr>
                <w:rFonts w:hint="default" w:eastAsia="仿宋_GB2312"/>
                <w:b/>
                <w:color w:val="auto"/>
                <w:sz w:val="24"/>
                <w:lang w:val="zh-CN"/>
              </w:rPr>
              <w:fldChar w:fldCharType="begin"/>
            </w:r>
            <w:r>
              <w:rPr>
                <w:rFonts w:hint="default" w:eastAsia="仿宋_GB2312"/>
                <w:b/>
                <w:color w:val="auto"/>
                <w:sz w:val="24"/>
                <w:lang w:val="zh-CN"/>
              </w:rPr>
              <w:instrText xml:space="preserve"> = 3 \* GB3 </w:instrText>
            </w:r>
            <w:r>
              <w:rPr>
                <w:rFonts w:hint="default" w:eastAsia="仿宋_GB2312"/>
                <w:b/>
                <w:color w:val="auto"/>
                <w:sz w:val="24"/>
                <w:lang w:val="zh-CN"/>
              </w:rPr>
              <w:fldChar w:fldCharType="separate"/>
            </w:r>
            <w:r>
              <w:rPr>
                <w:rFonts w:hint="default"/>
                <w:b/>
                <w:color w:val="auto"/>
                <w:sz w:val="24"/>
                <w:lang w:val="zh-CN"/>
              </w:rPr>
              <w:t>③</w:t>
            </w:r>
            <w:r>
              <w:rPr>
                <w:rFonts w:hint="default" w:eastAsia="仿宋_GB2312"/>
                <w:b/>
                <w:color w:val="auto"/>
                <w:sz w:val="24"/>
                <w:lang w:val="zh-CN"/>
              </w:rPr>
              <w:fldChar w:fldCharType="end"/>
            </w:r>
            <w:r>
              <w:rPr>
                <w:rFonts w:hint="default" w:eastAsia="仿宋_GB2312"/>
                <w:b/>
                <w:color w:val="auto"/>
                <w:sz w:val="24"/>
                <w:lang w:val="zh-CN"/>
              </w:rPr>
              <w:t>污染物产生情况</w:t>
            </w:r>
          </w:p>
          <w:p w14:paraId="3C25F9EF">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（1）有组织废气产生情况见下表。</w:t>
            </w:r>
          </w:p>
          <w:p w14:paraId="0991495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29</w:t>
            </w:r>
            <w:r>
              <w:rPr>
                <w:rFonts w:hint="default" w:eastAsia="仿宋_GB2312"/>
                <w:b/>
                <w:color w:val="auto"/>
                <w:sz w:val="22"/>
                <w:szCs w:val="22"/>
              </w:rPr>
              <w:t xml:space="preserve">  有组织废气产生情况表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68"/>
              <w:gridCol w:w="1411"/>
              <w:gridCol w:w="1291"/>
              <w:gridCol w:w="1239"/>
              <w:gridCol w:w="1162"/>
              <w:gridCol w:w="1032"/>
              <w:gridCol w:w="1109"/>
            </w:tblGrid>
            <w:tr w14:paraId="7EAC860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94" w:type="pct"/>
                  <w:vAlign w:val="center"/>
                </w:tcPr>
                <w:p w14:paraId="20F07C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编号</w:t>
                  </w:r>
                </w:p>
              </w:tc>
              <w:tc>
                <w:tcPr>
                  <w:tcW w:w="838" w:type="pct"/>
                  <w:vAlign w:val="center"/>
                </w:tcPr>
                <w:p w14:paraId="66ADBAD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污染源位置及名称</w:t>
                  </w:r>
                </w:p>
              </w:tc>
              <w:tc>
                <w:tcPr>
                  <w:tcW w:w="767" w:type="pct"/>
                  <w:vAlign w:val="center"/>
                </w:tcPr>
                <w:p w14:paraId="25B2E8B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736" w:type="pct"/>
                  <w:vAlign w:val="center"/>
                </w:tcPr>
                <w:p w14:paraId="4F067BF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产生量（t/a）</w:t>
                  </w:r>
                </w:p>
              </w:tc>
              <w:tc>
                <w:tcPr>
                  <w:tcW w:w="690" w:type="pct"/>
                  <w:vAlign w:val="center"/>
                </w:tcPr>
                <w:p w14:paraId="14E4439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拟采取的处理方式</w:t>
                  </w:r>
                </w:p>
              </w:tc>
              <w:tc>
                <w:tcPr>
                  <w:tcW w:w="613" w:type="pct"/>
                  <w:vAlign w:val="center"/>
                </w:tcPr>
                <w:p w14:paraId="044CD63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排气筒</w:t>
                  </w:r>
                </w:p>
              </w:tc>
              <w:tc>
                <w:tcPr>
                  <w:tcW w:w="659" w:type="pct"/>
                  <w:vAlign w:val="center"/>
                </w:tcPr>
                <w:p w14:paraId="4B234C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排放高度（m）</w:t>
                  </w:r>
                </w:p>
              </w:tc>
            </w:tr>
            <w:tr w14:paraId="755D27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94" w:type="pct"/>
                  <w:vAlign w:val="center"/>
                </w:tcPr>
                <w:p w14:paraId="7CE489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bookmarkStart w:id="24" w:name="_Hlk187825866"/>
                  <w:r>
                    <w:rPr>
                      <w:rFonts w:hint="default" w:ascii="Times New Roman" w:hAnsi="Times New Roman" w:eastAsia="仿宋_GB2312" w:cs="Times New Roman"/>
                      <w:bCs/>
                      <w:color w:val="auto"/>
                      <w:sz w:val="21"/>
                    </w:rPr>
                    <w:t>G3-1-1</w:t>
                  </w:r>
                </w:p>
              </w:tc>
              <w:tc>
                <w:tcPr>
                  <w:tcW w:w="838" w:type="pct"/>
                  <w:vAlign w:val="center"/>
                </w:tcPr>
                <w:p w14:paraId="54A3D4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混合废气</w:t>
                  </w:r>
                </w:p>
              </w:tc>
              <w:tc>
                <w:tcPr>
                  <w:tcW w:w="767" w:type="pct"/>
                  <w:vAlign w:val="top"/>
                </w:tcPr>
                <w:p w14:paraId="33F74F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736" w:type="pct"/>
                  <w:vAlign w:val="center"/>
                </w:tcPr>
                <w:p w14:paraId="6D47331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0.025</w:t>
                  </w:r>
                </w:p>
              </w:tc>
              <w:tc>
                <w:tcPr>
                  <w:tcW w:w="690" w:type="pct"/>
                  <w:vMerge w:val="restart"/>
                  <w:vAlign w:val="center"/>
                </w:tcPr>
                <w:p w14:paraId="5654416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布袋除尘</w:t>
                  </w:r>
                </w:p>
              </w:tc>
              <w:tc>
                <w:tcPr>
                  <w:tcW w:w="613" w:type="pct"/>
                  <w:vMerge w:val="restart"/>
                  <w:vAlign w:val="center"/>
                </w:tcPr>
                <w:p w14:paraId="44BDFDA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DA001</w:t>
                  </w:r>
                </w:p>
              </w:tc>
              <w:tc>
                <w:tcPr>
                  <w:tcW w:w="659" w:type="pct"/>
                  <w:vMerge w:val="restart"/>
                  <w:vAlign w:val="center"/>
                </w:tcPr>
                <w:p w14:paraId="052119F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15</w:t>
                  </w:r>
                </w:p>
              </w:tc>
            </w:tr>
            <w:tr w14:paraId="13A0269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94" w:type="pct"/>
                  <w:vMerge w:val="restart"/>
                  <w:vAlign w:val="center"/>
                </w:tcPr>
                <w:p w14:paraId="4FF6D2A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G3-1-2</w:t>
                  </w:r>
                </w:p>
              </w:tc>
              <w:tc>
                <w:tcPr>
                  <w:tcW w:w="838" w:type="pct"/>
                  <w:vMerge w:val="restart"/>
                  <w:vAlign w:val="center"/>
                </w:tcPr>
                <w:p w14:paraId="08E997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干燥废气</w:t>
                  </w:r>
                </w:p>
              </w:tc>
              <w:tc>
                <w:tcPr>
                  <w:tcW w:w="767" w:type="pct"/>
                  <w:vAlign w:val="top"/>
                </w:tcPr>
                <w:p w14:paraId="55D13F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736" w:type="pct"/>
                  <w:vAlign w:val="center"/>
                </w:tcPr>
                <w:p w14:paraId="792CA0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0.034</w:t>
                  </w:r>
                </w:p>
              </w:tc>
              <w:tc>
                <w:tcPr>
                  <w:tcW w:w="690" w:type="pct"/>
                  <w:vMerge w:val="continue"/>
                  <w:vAlign w:val="center"/>
                </w:tcPr>
                <w:p w14:paraId="440BC70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13" w:type="pct"/>
                  <w:vMerge w:val="continue"/>
                  <w:vAlign w:val="center"/>
                </w:tcPr>
                <w:p w14:paraId="4FA5EA5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59" w:type="pct"/>
                  <w:vMerge w:val="continue"/>
                  <w:vAlign w:val="center"/>
                </w:tcPr>
                <w:p w14:paraId="1C816B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5A645FF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94" w:type="pct"/>
                  <w:vMerge w:val="continue"/>
                  <w:vAlign w:val="center"/>
                </w:tcPr>
                <w:p w14:paraId="29269E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38" w:type="pct"/>
                  <w:vMerge w:val="continue"/>
                  <w:vAlign w:val="center"/>
                </w:tcPr>
                <w:p w14:paraId="5815B7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767" w:type="pct"/>
                  <w:vAlign w:val="center"/>
                </w:tcPr>
                <w:p w14:paraId="5A24D30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水汽</w:t>
                  </w:r>
                </w:p>
              </w:tc>
              <w:tc>
                <w:tcPr>
                  <w:tcW w:w="736" w:type="pct"/>
                  <w:vAlign w:val="center"/>
                </w:tcPr>
                <w:p w14:paraId="624F71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0.38</w:t>
                  </w:r>
                </w:p>
              </w:tc>
              <w:tc>
                <w:tcPr>
                  <w:tcW w:w="690" w:type="pct"/>
                  <w:vMerge w:val="continue"/>
                  <w:vAlign w:val="center"/>
                </w:tcPr>
                <w:p w14:paraId="3585B9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13" w:type="pct"/>
                  <w:vMerge w:val="continue"/>
                  <w:vAlign w:val="center"/>
                </w:tcPr>
                <w:p w14:paraId="3E15184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59" w:type="pct"/>
                  <w:vMerge w:val="continue"/>
                  <w:vAlign w:val="center"/>
                </w:tcPr>
                <w:p w14:paraId="2C5E48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42AA03A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94" w:type="pct"/>
                  <w:vAlign w:val="center"/>
                </w:tcPr>
                <w:p w14:paraId="7EBA08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G3-1-3</w:t>
                  </w:r>
                </w:p>
              </w:tc>
              <w:tc>
                <w:tcPr>
                  <w:tcW w:w="838" w:type="pct"/>
                  <w:vAlign w:val="center"/>
                </w:tcPr>
                <w:p w14:paraId="20C6A3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rPr>
                  </w:pPr>
                  <w:r>
                    <w:rPr>
                      <w:rFonts w:hint="default" w:ascii="Times New Roman" w:hAnsi="Times New Roman" w:eastAsia="仿宋_GB2312" w:cs="Times New Roman"/>
                      <w:color w:val="auto"/>
                      <w:kern w:val="0"/>
                      <w:sz w:val="21"/>
                    </w:rPr>
                    <w:t>装载废气</w:t>
                  </w:r>
                </w:p>
              </w:tc>
              <w:tc>
                <w:tcPr>
                  <w:tcW w:w="767" w:type="pct"/>
                  <w:vAlign w:val="center"/>
                </w:tcPr>
                <w:p w14:paraId="5169197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rPr>
                  </w:pPr>
                  <w:r>
                    <w:rPr>
                      <w:rFonts w:hint="default" w:ascii="Times New Roman" w:hAnsi="Times New Roman" w:eastAsia="仿宋_GB2312" w:cs="Times New Roman"/>
                      <w:color w:val="auto"/>
                      <w:kern w:val="0"/>
                      <w:sz w:val="21"/>
                    </w:rPr>
                    <w:t>颗粒物</w:t>
                  </w:r>
                </w:p>
              </w:tc>
              <w:tc>
                <w:tcPr>
                  <w:tcW w:w="736" w:type="pct"/>
                  <w:vAlign w:val="center"/>
                </w:tcPr>
                <w:p w14:paraId="614B7A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0.03</w:t>
                  </w:r>
                </w:p>
              </w:tc>
              <w:tc>
                <w:tcPr>
                  <w:tcW w:w="690" w:type="pct"/>
                  <w:vMerge w:val="continue"/>
                  <w:vAlign w:val="center"/>
                </w:tcPr>
                <w:p w14:paraId="174BA14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13" w:type="pct"/>
                  <w:vMerge w:val="continue"/>
                  <w:vAlign w:val="center"/>
                </w:tcPr>
                <w:p w14:paraId="0DC8F2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59" w:type="pct"/>
                  <w:vMerge w:val="continue"/>
                  <w:vAlign w:val="center"/>
                </w:tcPr>
                <w:p w14:paraId="2E82A0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4F32B4C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94" w:type="pct"/>
                  <w:vAlign w:val="center"/>
                </w:tcPr>
                <w:p w14:paraId="5CD82FB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G3-2-1</w:t>
                  </w:r>
                </w:p>
              </w:tc>
              <w:tc>
                <w:tcPr>
                  <w:tcW w:w="838" w:type="pct"/>
                  <w:vAlign w:val="center"/>
                </w:tcPr>
                <w:p w14:paraId="47992C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混合废气</w:t>
                  </w:r>
                </w:p>
              </w:tc>
              <w:tc>
                <w:tcPr>
                  <w:tcW w:w="767" w:type="pct"/>
                  <w:vAlign w:val="top"/>
                </w:tcPr>
                <w:p w14:paraId="439B63C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736" w:type="pct"/>
                  <w:vAlign w:val="center"/>
                </w:tcPr>
                <w:p w14:paraId="655289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0.0063</w:t>
                  </w:r>
                </w:p>
              </w:tc>
              <w:tc>
                <w:tcPr>
                  <w:tcW w:w="690" w:type="pct"/>
                  <w:vMerge w:val="continue"/>
                  <w:vAlign w:val="center"/>
                </w:tcPr>
                <w:p w14:paraId="4F2CD5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13" w:type="pct"/>
                  <w:vMerge w:val="continue"/>
                  <w:vAlign w:val="center"/>
                </w:tcPr>
                <w:p w14:paraId="6AE45F2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59" w:type="pct"/>
                  <w:vMerge w:val="continue"/>
                  <w:vAlign w:val="center"/>
                </w:tcPr>
                <w:p w14:paraId="44A185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2408D9C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94" w:type="pct"/>
                  <w:vMerge w:val="restart"/>
                  <w:vAlign w:val="center"/>
                </w:tcPr>
                <w:p w14:paraId="5C8001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G3-2-2</w:t>
                  </w:r>
                </w:p>
              </w:tc>
              <w:tc>
                <w:tcPr>
                  <w:tcW w:w="838" w:type="pct"/>
                  <w:vMerge w:val="restart"/>
                  <w:vAlign w:val="center"/>
                </w:tcPr>
                <w:p w14:paraId="53A0EF4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干燥废气</w:t>
                  </w:r>
                </w:p>
              </w:tc>
              <w:tc>
                <w:tcPr>
                  <w:tcW w:w="767" w:type="pct"/>
                  <w:vAlign w:val="top"/>
                </w:tcPr>
                <w:p w14:paraId="7DA12C4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736" w:type="pct"/>
                  <w:vAlign w:val="center"/>
                </w:tcPr>
                <w:p w14:paraId="5086F99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0.0086</w:t>
                  </w:r>
                </w:p>
              </w:tc>
              <w:tc>
                <w:tcPr>
                  <w:tcW w:w="690" w:type="pct"/>
                  <w:vMerge w:val="continue"/>
                  <w:vAlign w:val="center"/>
                </w:tcPr>
                <w:p w14:paraId="106D0D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13" w:type="pct"/>
                  <w:vMerge w:val="continue"/>
                  <w:vAlign w:val="center"/>
                </w:tcPr>
                <w:p w14:paraId="05B7A0C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59" w:type="pct"/>
                  <w:vMerge w:val="continue"/>
                  <w:vAlign w:val="center"/>
                </w:tcPr>
                <w:p w14:paraId="0253E38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4FC4A4C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94" w:type="pct"/>
                  <w:vMerge w:val="continue"/>
                  <w:vAlign w:val="center"/>
                </w:tcPr>
                <w:p w14:paraId="1623E82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38" w:type="pct"/>
                  <w:vMerge w:val="continue"/>
                  <w:vAlign w:val="center"/>
                </w:tcPr>
                <w:p w14:paraId="739CCFD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767" w:type="pct"/>
                  <w:vAlign w:val="top"/>
                </w:tcPr>
                <w:p w14:paraId="0916835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水汽</w:t>
                  </w:r>
                </w:p>
              </w:tc>
              <w:tc>
                <w:tcPr>
                  <w:tcW w:w="736" w:type="pct"/>
                  <w:vAlign w:val="center"/>
                </w:tcPr>
                <w:p w14:paraId="5030E5D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0.095 </w:t>
                  </w:r>
                </w:p>
              </w:tc>
              <w:tc>
                <w:tcPr>
                  <w:tcW w:w="690" w:type="pct"/>
                  <w:vMerge w:val="continue"/>
                  <w:vAlign w:val="center"/>
                </w:tcPr>
                <w:p w14:paraId="4442FC5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13" w:type="pct"/>
                  <w:vMerge w:val="continue"/>
                  <w:vAlign w:val="center"/>
                </w:tcPr>
                <w:p w14:paraId="452D08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59" w:type="pct"/>
                  <w:vMerge w:val="continue"/>
                  <w:vAlign w:val="center"/>
                </w:tcPr>
                <w:p w14:paraId="3C34BE7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30A0A68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94" w:type="pct"/>
                  <w:vAlign w:val="center"/>
                </w:tcPr>
                <w:p w14:paraId="46BC63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G3-2-3</w:t>
                  </w:r>
                </w:p>
              </w:tc>
              <w:tc>
                <w:tcPr>
                  <w:tcW w:w="838" w:type="pct"/>
                  <w:vAlign w:val="center"/>
                </w:tcPr>
                <w:p w14:paraId="4B89C7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装载废气</w:t>
                  </w:r>
                </w:p>
              </w:tc>
              <w:tc>
                <w:tcPr>
                  <w:tcW w:w="767" w:type="pct"/>
                  <w:vAlign w:val="center"/>
                </w:tcPr>
                <w:p w14:paraId="33C37AB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736" w:type="pct"/>
                  <w:vAlign w:val="center"/>
                </w:tcPr>
                <w:p w14:paraId="2DD069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0.008</w:t>
                  </w:r>
                  <w:r>
                    <w:rPr>
                      <w:rFonts w:hint="default" w:ascii="Times New Roman" w:hAnsi="Times New Roman" w:eastAsia="仿宋_GB2312" w:cs="Times New Roman"/>
                      <w:color w:val="auto"/>
                      <w:kern w:val="0"/>
                      <w:sz w:val="21"/>
                    </w:rPr>
                    <w:t xml:space="preserve"> </w:t>
                  </w:r>
                </w:p>
              </w:tc>
              <w:tc>
                <w:tcPr>
                  <w:tcW w:w="690" w:type="pct"/>
                  <w:vMerge w:val="continue"/>
                  <w:vAlign w:val="center"/>
                </w:tcPr>
                <w:p w14:paraId="50DBDFD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13" w:type="pct"/>
                  <w:vMerge w:val="continue"/>
                  <w:vAlign w:val="center"/>
                </w:tcPr>
                <w:p w14:paraId="32420E2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59" w:type="pct"/>
                  <w:vMerge w:val="continue"/>
                  <w:vAlign w:val="center"/>
                </w:tcPr>
                <w:p w14:paraId="5C9EE9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bookmarkEnd w:id="24"/>
          </w:tbl>
          <w:p w14:paraId="1C2467FF">
            <w:pPr>
              <w:keepNext w:val="0"/>
              <w:keepLines w:val="0"/>
              <w:suppressLineNumbers w:val="0"/>
              <w:spacing w:before="0" w:beforeAutospacing="0" w:after="0" w:afterAutospacing="0" w:line="320" w:lineRule="exact"/>
              <w:ind w:left="0" w:right="0" w:firstLine="420" w:firstLineChars="200"/>
              <w:jc w:val="both"/>
              <w:rPr>
                <w:rFonts w:hint="default" w:ascii="Times New Roman" w:hAnsi="Times New Roman" w:eastAsia="仿宋_GB2312" w:cs="Times New Roman"/>
                <w:color w:val="auto"/>
                <w:sz w:val="21"/>
              </w:rPr>
            </w:pPr>
            <w:bookmarkStart w:id="25" w:name="OLE_LINK52"/>
            <w:r>
              <w:rPr>
                <w:rFonts w:hint="default" w:ascii="Times New Roman" w:hAnsi="Times New Roman" w:eastAsia="仿宋_GB2312" w:cs="Times New Roman"/>
                <w:color w:val="auto"/>
                <w:sz w:val="21"/>
              </w:rPr>
              <w:t>注：混合间整体换风，捕集率按90%计，颗粒物有组织按90%，无组织按10%。</w:t>
            </w:r>
          </w:p>
          <w:bookmarkEnd w:id="25"/>
          <w:p w14:paraId="2A69A1AB">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（2）无组织废气产生情况见下表。</w:t>
            </w:r>
          </w:p>
          <w:p w14:paraId="762D95D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lang w:val="en-US" w:eastAsia="zh-CN"/>
              </w:rPr>
              <w:t>30</w:t>
            </w:r>
            <w:r>
              <w:rPr>
                <w:rFonts w:hint="default" w:eastAsia="仿宋_GB2312"/>
                <w:b/>
                <w:color w:val="auto"/>
                <w:sz w:val="22"/>
                <w:szCs w:val="22"/>
              </w:rPr>
              <w:t xml:space="preserve">  无组织废气产生情况表</w:t>
            </w:r>
          </w:p>
          <w:tbl>
            <w:tblPr>
              <w:tblStyle w:val="88"/>
              <w:tblW w:w="493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022"/>
              <w:gridCol w:w="1022"/>
              <w:gridCol w:w="1237"/>
              <w:gridCol w:w="1310"/>
              <w:gridCol w:w="1384"/>
              <w:gridCol w:w="2319"/>
            </w:tblGrid>
            <w:tr w14:paraId="0DABDB5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6" w:type="pct"/>
                  <w:vAlign w:val="center"/>
                </w:tcPr>
                <w:p w14:paraId="646E60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车间</w:t>
                  </w:r>
                </w:p>
              </w:tc>
              <w:tc>
                <w:tcPr>
                  <w:tcW w:w="616" w:type="pct"/>
                  <w:vAlign w:val="center"/>
                </w:tcPr>
                <w:p w14:paraId="7970B3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编号</w:t>
                  </w:r>
                </w:p>
              </w:tc>
              <w:tc>
                <w:tcPr>
                  <w:tcW w:w="745" w:type="pct"/>
                  <w:vAlign w:val="center"/>
                </w:tcPr>
                <w:p w14:paraId="4FF59CE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污染源位置及名称</w:t>
                  </w:r>
                </w:p>
              </w:tc>
              <w:tc>
                <w:tcPr>
                  <w:tcW w:w="789" w:type="pct"/>
                  <w:vAlign w:val="center"/>
                </w:tcPr>
                <w:p w14:paraId="165E486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834" w:type="pct"/>
                  <w:vAlign w:val="center"/>
                </w:tcPr>
                <w:p w14:paraId="7EB047D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产生量（t/a）</w:t>
                  </w:r>
                </w:p>
              </w:tc>
              <w:tc>
                <w:tcPr>
                  <w:tcW w:w="1397" w:type="pct"/>
                  <w:vAlign w:val="center"/>
                </w:tcPr>
                <w:p w14:paraId="36E2FCF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拟采取的处理方式</w:t>
                  </w:r>
                </w:p>
              </w:tc>
            </w:tr>
            <w:tr w14:paraId="2AE7712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16" w:type="pct"/>
                  <w:vMerge w:val="restart"/>
                  <w:vAlign w:val="center"/>
                </w:tcPr>
                <w:p w14:paraId="06DC381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混合间</w:t>
                  </w:r>
                </w:p>
              </w:tc>
              <w:tc>
                <w:tcPr>
                  <w:tcW w:w="616" w:type="pct"/>
                  <w:vAlign w:val="center"/>
                </w:tcPr>
                <w:p w14:paraId="3FC1ABF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G’3-1-1</w:t>
                  </w:r>
                </w:p>
              </w:tc>
              <w:tc>
                <w:tcPr>
                  <w:tcW w:w="745" w:type="pct"/>
                  <w:vAlign w:val="center"/>
                </w:tcPr>
                <w:p w14:paraId="17A781D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混合废气</w:t>
                  </w:r>
                </w:p>
              </w:tc>
              <w:tc>
                <w:tcPr>
                  <w:tcW w:w="789" w:type="pct"/>
                  <w:vAlign w:val="top"/>
                </w:tcPr>
                <w:p w14:paraId="60000F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834" w:type="pct"/>
                  <w:vAlign w:val="center"/>
                </w:tcPr>
                <w:p w14:paraId="3AFB18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w:t>
                  </w:r>
                </w:p>
              </w:tc>
              <w:tc>
                <w:tcPr>
                  <w:tcW w:w="1397" w:type="pct"/>
                  <w:vMerge w:val="restart"/>
                  <w:vAlign w:val="center"/>
                </w:tcPr>
                <w:p w14:paraId="34D323C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w:t>
                  </w:r>
                </w:p>
              </w:tc>
            </w:tr>
            <w:tr w14:paraId="7441878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616" w:type="pct"/>
                  <w:vMerge w:val="continue"/>
                  <w:vAlign w:val="center"/>
                </w:tcPr>
                <w:p w14:paraId="74BE951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16" w:type="pct"/>
                  <w:vAlign w:val="center"/>
                </w:tcPr>
                <w:p w14:paraId="0F74AEF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G’3-2-1</w:t>
                  </w:r>
                </w:p>
              </w:tc>
              <w:tc>
                <w:tcPr>
                  <w:tcW w:w="745" w:type="pct"/>
                  <w:vAlign w:val="center"/>
                </w:tcPr>
                <w:p w14:paraId="276AB2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混合废气</w:t>
                  </w:r>
                </w:p>
              </w:tc>
              <w:tc>
                <w:tcPr>
                  <w:tcW w:w="789" w:type="pct"/>
                  <w:vAlign w:val="top"/>
                </w:tcPr>
                <w:p w14:paraId="7B3BC03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834" w:type="pct"/>
                  <w:vAlign w:val="center"/>
                </w:tcPr>
                <w:p w14:paraId="36B82BF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0.0007</w:t>
                  </w:r>
                </w:p>
              </w:tc>
              <w:tc>
                <w:tcPr>
                  <w:tcW w:w="1397" w:type="pct"/>
                  <w:vMerge w:val="continue"/>
                  <w:vAlign w:val="center"/>
                </w:tcPr>
                <w:p w14:paraId="7FE5411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bl>
          <w:p w14:paraId="30175D25">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（3）固废具体见下表。</w:t>
            </w:r>
          </w:p>
          <w:p w14:paraId="33FA69B9">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表2-</w:t>
            </w:r>
            <w:r>
              <w:rPr>
                <w:rFonts w:hint="eastAsia" w:eastAsia="仿宋_GB2312"/>
                <w:b/>
                <w:color w:val="auto"/>
                <w:sz w:val="22"/>
                <w:szCs w:val="22"/>
              </w:rPr>
              <w:t>3</w:t>
            </w:r>
            <w:r>
              <w:rPr>
                <w:rFonts w:hint="eastAsia" w:eastAsia="仿宋_GB2312"/>
                <w:b/>
                <w:color w:val="auto"/>
                <w:sz w:val="22"/>
                <w:szCs w:val="22"/>
                <w:lang w:val="en-US" w:eastAsia="zh-CN"/>
              </w:rPr>
              <w:t>1</w:t>
            </w:r>
            <w:r>
              <w:rPr>
                <w:rFonts w:hint="default" w:eastAsia="仿宋_GB2312"/>
                <w:b/>
                <w:color w:val="auto"/>
                <w:sz w:val="22"/>
                <w:szCs w:val="22"/>
              </w:rPr>
              <w:t xml:space="preserve">  固废产生源强一览表</w:t>
            </w:r>
          </w:p>
          <w:tbl>
            <w:tblPr>
              <w:tblStyle w:val="16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45" w:type="dxa"/>
                <w:bottom w:w="0" w:type="dxa"/>
                <w:right w:w="45" w:type="dxa"/>
              </w:tblCellMar>
            </w:tblPr>
            <w:tblGrid>
              <w:gridCol w:w="619"/>
              <w:gridCol w:w="929"/>
              <w:gridCol w:w="570"/>
              <w:gridCol w:w="1153"/>
              <w:gridCol w:w="941"/>
              <w:gridCol w:w="559"/>
              <w:gridCol w:w="614"/>
              <w:gridCol w:w="604"/>
              <w:gridCol w:w="503"/>
              <w:gridCol w:w="515"/>
              <w:gridCol w:w="727"/>
              <w:gridCol w:w="670"/>
            </w:tblGrid>
            <w:tr w14:paraId="05CE4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368" w:type="pct"/>
                  <w:vAlign w:val="center"/>
                </w:tcPr>
                <w:p w14:paraId="59EA58AB">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编号</w:t>
                  </w:r>
                </w:p>
              </w:tc>
              <w:tc>
                <w:tcPr>
                  <w:tcW w:w="552" w:type="pct"/>
                  <w:vAlign w:val="center"/>
                </w:tcPr>
                <w:p w14:paraId="1EE4A9F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固废名称</w:t>
                  </w:r>
                </w:p>
              </w:tc>
              <w:tc>
                <w:tcPr>
                  <w:tcW w:w="339" w:type="pct"/>
                  <w:vAlign w:val="center"/>
                </w:tcPr>
                <w:p w14:paraId="417F2EDB">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废物类别</w:t>
                  </w:r>
                </w:p>
              </w:tc>
              <w:tc>
                <w:tcPr>
                  <w:tcW w:w="685" w:type="pct"/>
                  <w:vAlign w:val="center"/>
                </w:tcPr>
                <w:p w14:paraId="0F518B7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废物代码</w:t>
                  </w:r>
                </w:p>
              </w:tc>
              <w:tc>
                <w:tcPr>
                  <w:tcW w:w="559" w:type="pct"/>
                  <w:vAlign w:val="center"/>
                </w:tcPr>
                <w:p w14:paraId="7C630A1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产生工序</w:t>
                  </w:r>
                </w:p>
              </w:tc>
              <w:tc>
                <w:tcPr>
                  <w:tcW w:w="332" w:type="pct"/>
                  <w:vAlign w:val="center"/>
                </w:tcPr>
                <w:p w14:paraId="5D695969">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性状</w:t>
                  </w:r>
                </w:p>
              </w:tc>
              <w:tc>
                <w:tcPr>
                  <w:tcW w:w="365" w:type="pct"/>
                  <w:vAlign w:val="center"/>
                </w:tcPr>
                <w:p w14:paraId="3700440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主要成分</w:t>
                  </w:r>
                </w:p>
              </w:tc>
              <w:tc>
                <w:tcPr>
                  <w:tcW w:w="359" w:type="pct"/>
                  <w:vAlign w:val="center"/>
                </w:tcPr>
                <w:p w14:paraId="38856B52">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有害成分</w:t>
                  </w:r>
                </w:p>
              </w:tc>
              <w:tc>
                <w:tcPr>
                  <w:tcW w:w="299" w:type="pct"/>
                  <w:vAlign w:val="center"/>
                </w:tcPr>
                <w:p w14:paraId="56BB4101">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产废</w:t>
                  </w:r>
                </w:p>
                <w:p w14:paraId="4D44402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周期</w:t>
                  </w:r>
                </w:p>
              </w:tc>
              <w:tc>
                <w:tcPr>
                  <w:tcW w:w="306" w:type="pct"/>
                  <w:vAlign w:val="center"/>
                </w:tcPr>
                <w:p w14:paraId="2F846DF1">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危险</w:t>
                  </w:r>
                </w:p>
                <w:p w14:paraId="28893AC6">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特性</w:t>
                  </w:r>
                </w:p>
              </w:tc>
              <w:tc>
                <w:tcPr>
                  <w:tcW w:w="432" w:type="pct"/>
                  <w:vAlign w:val="center"/>
                </w:tcPr>
                <w:p w14:paraId="3219E15C">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产生量</w:t>
                  </w:r>
                </w:p>
                <w:p w14:paraId="1BD22AC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(t/a)</w:t>
                  </w:r>
                </w:p>
              </w:tc>
              <w:tc>
                <w:tcPr>
                  <w:tcW w:w="398" w:type="pct"/>
                  <w:vAlign w:val="center"/>
                </w:tcPr>
                <w:p w14:paraId="534B243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污染防治措施</w:t>
                  </w:r>
                </w:p>
              </w:tc>
            </w:tr>
            <w:tr w14:paraId="63792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368" w:type="pct"/>
                  <w:vAlign w:val="center"/>
                </w:tcPr>
                <w:p w14:paraId="0E06131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S</w:t>
                  </w:r>
                  <w:r>
                    <w:rPr>
                      <w:rFonts w:hint="default" w:ascii="Times New Roman" w:hAnsi="Times New Roman"/>
                      <w:color w:val="auto"/>
                    </w:rPr>
                    <w:t>3-1</w:t>
                  </w:r>
                  <w:r>
                    <w:rPr>
                      <w:rFonts w:hint="eastAsia" w:ascii="Times New Roman" w:hAnsi="Times New Roman"/>
                      <w:color w:val="auto"/>
                    </w:rPr>
                    <w:t>-</w:t>
                  </w:r>
                  <w:r>
                    <w:rPr>
                      <w:rFonts w:hint="default" w:ascii="Times New Roman" w:hAnsi="Times New Roman"/>
                      <w:color w:val="auto"/>
                    </w:rPr>
                    <w:t>1</w:t>
                  </w:r>
                </w:p>
              </w:tc>
              <w:tc>
                <w:tcPr>
                  <w:tcW w:w="552" w:type="pct"/>
                  <w:vAlign w:val="center"/>
                </w:tcPr>
                <w:p w14:paraId="635EA438">
                  <w:pPr>
                    <w:keepNext w:val="0"/>
                    <w:keepLines w:val="0"/>
                    <w:suppressLineNumbers w:val="0"/>
                    <w:topLinePunct/>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废胶囊</w:t>
                  </w:r>
                </w:p>
              </w:tc>
              <w:tc>
                <w:tcPr>
                  <w:tcW w:w="339" w:type="pct"/>
                  <w:vAlign w:val="center"/>
                </w:tcPr>
                <w:p w14:paraId="083D971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SW59</w:t>
                  </w:r>
                </w:p>
              </w:tc>
              <w:tc>
                <w:tcPr>
                  <w:tcW w:w="685" w:type="pct"/>
                  <w:vAlign w:val="center"/>
                </w:tcPr>
                <w:p w14:paraId="24F6D40C">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900-099-S59</w:t>
                  </w:r>
                </w:p>
              </w:tc>
              <w:tc>
                <w:tcPr>
                  <w:tcW w:w="559" w:type="pct"/>
                  <w:vAlign w:val="center"/>
                </w:tcPr>
                <w:p w14:paraId="4466DF99">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胶囊装载</w:t>
                  </w:r>
                </w:p>
              </w:tc>
              <w:tc>
                <w:tcPr>
                  <w:tcW w:w="332" w:type="pct"/>
                  <w:vAlign w:val="center"/>
                </w:tcPr>
                <w:p w14:paraId="04E7AC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固态</w:t>
                  </w:r>
                </w:p>
              </w:tc>
              <w:tc>
                <w:tcPr>
                  <w:tcW w:w="365" w:type="pct"/>
                  <w:vAlign w:val="center"/>
                </w:tcPr>
                <w:p w14:paraId="700E017B">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废胶囊</w:t>
                  </w:r>
                </w:p>
              </w:tc>
              <w:tc>
                <w:tcPr>
                  <w:tcW w:w="359" w:type="pct"/>
                  <w:vAlign w:val="center"/>
                </w:tcPr>
                <w:p w14:paraId="0FAF123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299" w:type="pct"/>
                  <w:vAlign w:val="center"/>
                </w:tcPr>
                <w:p w14:paraId="0A7514F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color w:val="auto"/>
                      <w:szCs w:val="21"/>
                    </w:rPr>
                    <w:t>每批次</w:t>
                  </w:r>
                </w:p>
              </w:tc>
              <w:tc>
                <w:tcPr>
                  <w:tcW w:w="306" w:type="pct"/>
                  <w:vAlign w:val="center"/>
                </w:tcPr>
                <w:p w14:paraId="50055DA8">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432" w:type="pct"/>
                  <w:vAlign w:val="center"/>
                </w:tcPr>
                <w:p w14:paraId="41A4128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w:t>
                  </w:r>
                  <w:r>
                    <w:rPr>
                      <w:rFonts w:hint="default" w:ascii="Times New Roman" w:hAnsi="Times New Roman"/>
                      <w:color w:val="auto"/>
                    </w:rPr>
                    <w:t>.031</w:t>
                  </w:r>
                </w:p>
              </w:tc>
              <w:tc>
                <w:tcPr>
                  <w:tcW w:w="398" w:type="pct"/>
                  <w:vMerge w:val="restart"/>
                  <w:vAlign w:val="center"/>
                </w:tcPr>
                <w:p w14:paraId="06CF4D3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作为一般固废委外处置</w:t>
                  </w:r>
                </w:p>
              </w:tc>
            </w:tr>
            <w:tr w14:paraId="74B7D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368" w:type="pct"/>
                  <w:vAlign w:val="center"/>
                </w:tcPr>
                <w:p w14:paraId="7DF1D46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S</w:t>
                  </w:r>
                  <w:r>
                    <w:rPr>
                      <w:rFonts w:hint="default" w:ascii="Times New Roman" w:hAnsi="Times New Roman"/>
                      <w:color w:val="auto"/>
                    </w:rPr>
                    <w:t>3-2</w:t>
                  </w:r>
                  <w:r>
                    <w:rPr>
                      <w:rFonts w:hint="eastAsia" w:ascii="Times New Roman" w:hAnsi="Times New Roman"/>
                      <w:color w:val="auto"/>
                    </w:rPr>
                    <w:t>-</w:t>
                  </w:r>
                  <w:r>
                    <w:rPr>
                      <w:rFonts w:hint="default" w:ascii="Times New Roman" w:hAnsi="Times New Roman"/>
                      <w:color w:val="auto"/>
                    </w:rPr>
                    <w:t>1</w:t>
                  </w:r>
                </w:p>
              </w:tc>
              <w:tc>
                <w:tcPr>
                  <w:tcW w:w="552" w:type="pct"/>
                  <w:vAlign w:val="center"/>
                </w:tcPr>
                <w:p w14:paraId="521B1906">
                  <w:pPr>
                    <w:keepNext w:val="0"/>
                    <w:keepLines w:val="0"/>
                    <w:suppressLineNumbers w:val="0"/>
                    <w:topLinePunct/>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废胶囊</w:t>
                  </w:r>
                </w:p>
              </w:tc>
              <w:tc>
                <w:tcPr>
                  <w:tcW w:w="339" w:type="pct"/>
                  <w:vAlign w:val="center"/>
                </w:tcPr>
                <w:p w14:paraId="17A5832E">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SW59</w:t>
                  </w:r>
                </w:p>
              </w:tc>
              <w:tc>
                <w:tcPr>
                  <w:tcW w:w="685" w:type="pct"/>
                  <w:vAlign w:val="center"/>
                </w:tcPr>
                <w:p w14:paraId="06001D8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900-099-S59</w:t>
                  </w:r>
                </w:p>
              </w:tc>
              <w:tc>
                <w:tcPr>
                  <w:tcW w:w="559" w:type="pct"/>
                  <w:vAlign w:val="center"/>
                </w:tcPr>
                <w:p w14:paraId="3D92966C">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胶囊装载</w:t>
                  </w:r>
                </w:p>
              </w:tc>
              <w:tc>
                <w:tcPr>
                  <w:tcW w:w="332" w:type="pct"/>
                  <w:vAlign w:val="center"/>
                </w:tcPr>
                <w:p w14:paraId="4E91B88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固态</w:t>
                  </w:r>
                </w:p>
              </w:tc>
              <w:tc>
                <w:tcPr>
                  <w:tcW w:w="365" w:type="pct"/>
                  <w:vAlign w:val="center"/>
                </w:tcPr>
                <w:p w14:paraId="01948DF0">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废胶囊</w:t>
                  </w:r>
                </w:p>
              </w:tc>
              <w:tc>
                <w:tcPr>
                  <w:tcW w:w="359" w:type="pct"/>
                  <w:vAlign w:val="center"/>
                </w:tcPr>
                <w:p w14:paraId="2D2D112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299" w:type="pct"/>
                  <w:vAlign w:val="center"/>
                </w:tcPr>
                <w:p w14:paraId="52E14B66">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color w:val="auto"/>
                      <w:szCs w:val="21"/>
                    </w:rPr>
                    <w:t>每批次</w:t>
                  </w:r>
                </w:p>
              </w:tc>
              <w:tc>
                <w:tcPr>
                  <w:tcW w:w="306" w:type="pct"/>
                  <w:vAlign w:val="center"/>
                </w:tcPr>
                <w:p w14:paraId="358C878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w:t>
                  </w:r>
                </w:p>
              </w:tc>
              <w:tc>
                <w:tcPr>
                  <w:tcW w:w="432" w:type="pct"/>
                  <w:vAlign w:val="center"/>
                </w:tcPr>
                <w:p w14:paraId="5EAB3372">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0.008</w:t>
                  </w:r>
                </w:p>
              </w:tc>
              <w:tc>
                <w:tcPr>
                  <w:tcW w:w="398" w:type="pct"/>
                  <w:vMerge w:val="continue"/>
                  <w:vAlign w:val="center"/>
                </w:tcPr>
                <w:p w14:paraId="25588456">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r>
          </w:tbl>
          <w:p w14:paraId="09F562BE">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p>
          <w:p w14:paraId="2AF02844">
            <w:pPr>
              <w:pStyle w:val="2"/>
              <w:keepNext w:val="0"/>
              <w:keepLines w:val="0"/>
              <w:suppressLineNumbers w:val="0"/>
              <w:spacing w:beforeAutospacing="0" w:afterAutospacing="0"/>
              <w:ind w:left="0"/>
              <w:rPr>
                <w:rFonts w:hint="default" w:eastAsia="仿宋_GB2312"/>
                <w:b/>
                <w:color w:val="auto"/>
                <w:sz w:val="22"/>
                <w:szCs w:val="22"/>
              </w:rPr>
            </w:pPr>
          </w:p>
          <w:p w14:paraId="0EABFAE5">
            <w:pPr>
              <w:pStyle w:val="3"/>
              <w:keepNext w:val="0"/>
              <w:keepLines w:val="0"/>
              <w:suppressLineNumbers w:val="0"/>
              <w:spacing w:before="0" w:beforeAutospacing="0" w:after="0" w:afterAutospacing="0"/>
              <w:ind w:right="0"/>
              <w:rPr>
                <w:rFonts w:hint="default" w:eastAsia="仿宋_GB2312"/>
                <w:b/>
                <w:color w:val="auto"/>
                <w:sz w:val="22"/>
                <w:szCs w:val="22"/>
              </w:rPr>
            </w:pPr>
          </w:p>
          <w:p w14:paraId="137AE2A1">
            <w:pPr>
              <w:pStyle w:val="3"/>
              <w:keepNext w:val="0"/>
              <w:keepLines w:val="0"/>
              <w:suppressLineNumbers w:val="0"/>
              <w:spacing w:before="0" w:beforeAutospacing="0" w:after="0" w:afterAutospacing="0"/>
              <w:ind w:right="0"/>
              <w:rPr>
                <w:rFonts w:hint="default" w:eastAsia="仿宋_GB2312"/>
                <w:b/>
                <w:color w:val="auto"/>
                <w:sz w:val="22"/>
                <w:szCs w:val="22"/>
              </w:rPr>
            </w:pPr>
          </w:p>
          <w:p w14:paraId="4E356E22">
            <w:pPr>
              <w:pStyle w:val="3"/>
              <w:keepNext w:val="0"/>
              <w:keepLines w:val="0"/>
              <w:suppressLineNumbers w:val="0"/>
              <w:spacing w:before="0" w:beforeAutospacing="0" w:after="0" w:afterAutospacing="0"/>
              <w:ind w:right="0"/>
              <w:rPr>
                <w:rFonts w:hint="default" w:eastAsia="仿宋_GB2312"/>
                <w:b/>
                <w:color w:val="auto"/>
                <w:sz w:val="22"/>
                <w:szCs w:val="22"/>
              </w:rPr>
            </w:pPr>
          </w:p>
          <w:p w14:paraId="6551BD0C">
            <w:pPr>
              <w:pStyle w:val="2"/>
              <w:keepNext w:val="0"/>
              <w:keepLines w:val="0"/>
              <w:suppressLineNumbers w:val="0"/>
              <w:spacing w:beforeAutospacing="0" w:afterAutospacing="0"/>
              <w:ind w:left="0"/>
              <w:rPr>
                <w:rFonts w:hint="default" w:eastAsia="仿宋_GB2312"/>
                <w:b/>
                <w:color w:val="auto"/>
                <w:sz w:val="22"/>
                <w:szCs w:val="22"/>
              </w:rPr>
            </w:pPr>
          </w:p>
          <w:p w14:paraId="0A86B3FC">
            <w:pPr>
              <w:pStyle w:val="3"/>
              <w:keepNext w:val="0"/>
              <w:keepLines w:val="0"/>
              <w:suppressLineNumbers w:val="0"/>
              <w:spacing w:before="0" w:beforeAutospacing="0" w:after="0" w:afterAutospacing="0"/>
              <w:ind w:right="0"/>
              <w:rPr>
                <w:rFonts w:hint="default"/>
                <w:color w:val="auto"/>
              </w:rPr>
            </w:pPr>
          </w:p>
          <w:p w14:paraId="0AFEBFCE">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p>
        </w:tc>
      </w:tr>
    </w:tbl>
    <w:p w14:paraId="46538B1D">
      <w:pPr>
        <w:widowControl/>
        <w:jc w:val="left"/>
        <w:rPr>
          <w:color w:val="auto"/>
        </w:rPr>
      </w:pPr>
      <w:r>
        <w:rPr>
          <w:color w:val="auto"/>
        </w:rPr>
        <w:br w:type="page"/>
      </w:r>
    </w:p>
    <w:tbl>
      <w:tblPr>
        <w:tblStyle w:val="8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1"/>
        <w:gridCol w:w="8666"/>
      </w:tblGrid>
      <w:tr w14:paraId="69202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216" w:type="pct"/>
            <w:vAlign w:val="center"/>
          </w:tcPr>
          <w:p w14:paraId="36395E9D">
            <w:pPr>
              <w:pStyle w:val="8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Cs w:val="24"/>
              </w:rPr>
            </w:pPr>
          </w:p>
        </w:tc>
        <w:tc>
          <w:tcPr>
            <w:tcW w:w="4783" w:type="pct"/>
            <w:vAlign w:val="center"/>
          </w:tcPr>
          <w:p w14:paraId="6A0073D8">
            <w:pPr>
              <w:keepNext w:val="0"/>
              <w:keepLines w:val="0"/>
              <w:suppressLineNumbers w:val="0"/>
              <w:autoSpaceDE w:val="0"/>
              <w:autoSpaceDN w:val="0"/>
              <w:adjustRightInd w:val="0"/>
              <w:snapToGrid w:val="0"/>
              <w:spacing w:before="0" w:beforeAutospacing="0" w:after="0" w:afterAutospacing="0" w:line="500" w:lineRule="exact"/>
              <w:ind w:left="0" w:right="0"/>
              <w:rPr>
                <w:rFonts w:hint="default" w:eastAsia="仿宋_GB2312"/>
                <w:b/>
                <w:color w:val="auto"/>
                <w:sz w:val="24"/>
                <w:highlight w:val="none"/>
              </w:rPr>
            </w:pPr>
            <w:r>
              <w:rPr>
                <w:rFonts w:hint="default" w:eastAsia="仿宋_GB2312"/>
                <w:b/>
                <w:color w:val="auto"/>
                <w:sz w:val="24"/>
                <w:highlight w:val="none"/>
              </w:rPr>
              <w:t>六、公用工程</w:t>
            </w:r>
          </w:p>
          <w:p w14:paraId="7FF7A5C0">
            <w:pPr>
              <w:keepNext w:val="0"/>
              <w:keepLines w:val="0"/>
              <w:suppressLineNumbers w:val="0"/>
              <w:snapToGrid w:val="0"/>
              <w:spacing w:before="0" w:beforeAutospacing="0" w:after="0" w:afterAutospacing="0" w:line="500" w:lineRule="exact"/>
              <w:ind w:left="0" w:right="0" w:firstLine="482" w:firstLineChars="200"/>
              <w:rPr>
                <w:rFonts w:hint="default" w:eastAsia="仿宋_GB2312"/>
                <w:b/>
                <w:bCs/>
                <w:color w:val="auto"/>
                <w:sz w:val="24"/>
              </w:rPr>
            </w:pPr>
            <w:r>
              <w:rPr>
                <w:rFonts w:hint="default" w:eastAsia="仿宋_GB2312"/>
                <w:b/>
                <w:bCs/>
                <w:color w:val="auto"/>
                <w:sz w:val="24"/>
              </w:rPr>
              <w:t>1、废气</w:t>
            </w:r>
          </w:p>
          <w:p w14:paraId="0BB244E3">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bCs/>
                <w:color w:val="auto"/>
                <w:sz w:val="24"/>
              </w:rPr>
              <w:fldChar w:fldCharType="begin"/>
            </w:r>
            <w:r>
              <w:rPr>
                <w:rFonts w:hint="default" w:eastAsia="仿宋_GB2312"/>
                <w:bCs/>
                <w:color w:val="auto"/>
                <w:sz w:val="24"/>
              </w:rPr>
              <w:instrText xml:space="preserve"> = 1 \* GB3 </w:instrText>
            </w:r>
            <w:r>
              <w:rPr>
                <w:rFonts w:hint="default" w:eastAsia="仿宋_GB2312"/>
                <w:bCs/>
                <w:color w:val="auto"/>
                <w:sz w:val="24"/>
              </w:rPr>
              <w:fldChar w:fldCharType="separate"/>
            </w:r>
            <w:r>
              <w:rPr>
                <w:rFonts w:hint="default"/>
                <w:bCs/>
                <w:color w:val="auto"/>
                <w:sz w:val="24"/>
              </w:rPr>
              <w:t>①</w:t>
            </w:r>
            <w:r>
              <w:rPr>
                <w:rFonts w:hint="default" w:eastAsia="仿宋_GB2312"/>
                <w:bCs/>
                <w:color w:val="auto"/>
                <w:sz w:val="24"/>
              </w:rPr>
              <w:fldChar w:fldCharType="end"/>
            </w:r>
            <w:r>
              <w:rPr>
                <w:rFonts w:hint="eastAsia" w:eastAsia="仿宋_GB2312"/>
                <w:color w:val="auto"/>
                <w:sz w:val="24"/>
              </w:rPr>
              <w:t>固体原辅料称量、投料、配制过程中产生的废气</w:t>
            </w:r>
          </w:p>
          <w:p w14:paraId="569E06DC">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本项目固体原辅料在一楼称量间称量、投料、配制。本项目固体原辅料年用量约为</w:t>
            </w:r>
            <w:r>
              <w:rPr>
                <w:rFonts w:hint="eastAsia" w:eastAsia="仿宋_GB2312"/>
                <w:color w:val="auto"/>
                <w:sz w:val="24"/>
                <w:lang w:val="en-US" w:eastAsia="zh-CN"/>
              </w:rPr>
              <w:t>7.095</w:t>
            </w:r>
            <w:r>
              <w:rPr>
                <w:rFonts w:hint="eastAsia" w:eastAsia="仿宋_GB2312"/>
                <w:color w:val="auto"/>
                <w:sz w:val="24"/>
                <w:highlight w:val="none"/>
              </w:rPr>
              <w:t>t，</w:t>
            </w:r>
            <w:r>
              <w:rPr>
                <w:rFonts w:hint="eastAsia" w:eastAsia="仿宋_GB2312"/>
                <w:color w:val="auto"/>
                <w:sz w:val="24"/>
              </w:rPr>
              <w:t>称量、</w:t>
            </w:r>
            <w:r>
              <w:rPr>
                <w:rFonts w:hint="default" w:eastAsia="仿宋_GB2312"/>
                <w:color w:val="auto"/>
                <w:sz w:val="24"/>
              </w:rPr>
              <w:t>配</w:t>
            </w:r>
            <w:r>
              <w:rPr>
                <w:rFonts w:hint="eastAsia" w:eastAsia="仿宋_GB2312"/>
                <w:color w:val="auto"/>
                <w:sz w:val="24"/>
              </w:rPr>
              <w:t>制</w:t>
            </w:r>
            <w:r>
              <w:rPr>
                <w:rFonts w:hint="default" w:eastAsia="仿宋_GB2312"/>
                <w:color w:val="auto"/>
                <w:sz w:val="24"/>
              </w:rPr>
              <w:t>过程产生废气总量按原料的0.</w:t>
            </w:r>
            <w:r>
              <w:rPr>
                <w:rFonts w:hint="eastAsia" w:eastAsia="仿宋_GB2312"/>
                <w:color w:val="auto"/>
                <w:sz w:val="24"/>
              </w:rPr>
              <w:t>1</w:t>
            </w:r>
            <w:r>
              <w:rPr>
                <w:rFonts w:hint="default" w:eastAsia="仿宋_GB2312"/>
                <w:color w:val="auto"/>
                <w:sz w:val="24"/>
              </w:rPr>
              <w:t>%计</w:t>
            </w:r>
            <w:r>
              <w:rPr>
                <w:rFonts w:hint="eastAsia" w:eastAsia="仿宋_GB2312"/>
                <w:color w:val="auto"/>
                <w:sz w:val="24"/>
              </w:rPr>
              <w:t>，则此过程颗粒物年产生量为</w:t>
            </w:r>
            <w:r>
              <w:rPr>
                <w:rFonts w:hint="eastAsia" w:eastAsia="仿宋_GB2312"/>
                <w:color w:val="auto"/>
                <w:sz w:val="24"/>
                <w:lang w:val="en-US" w:eastAsia="zh-CN"/>
              </w:rPr>
              <w:t>0.007</w:t>
            </w:r>
            <w:r>
              <w:rPr>
                <w:rFonts w:hint="eastAsia" w:eastAsia="仿宋_GB2312"/>
                <w:color w:val="auto"/>
                <w:sz w:val="24"/>
              </w:rPr>
              <w:t>t。称量间整体换风，废气捕集效率按90%计，固体原辅料投料、配制过程废气产生情况见下表。</w:t>
            </w:r>
          </w:p>
          <w:p w14:paraId="3F1997F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w:t>
            </w:r>
            <w:r>
              <w:rPr>
                <w:rFonts w:hint="eastAsia" w:eastAsia="仿宋_GB2312"/>
                <w:b/>
                <w:color w:val="auto"/>
                <w:sz w:val="22"/>
                <w:szCs w:val="22"/>
                <w:lang w:val="en-US" w:eastAsia="zh-CN"/>
              </w:rPr>
              <w:t>2-32</w:t>
            </w:r>
            <w:r>
              <w:rPr>
                <w:rFonts w:hint="default" w:eastAsia="仿宋_GB2312"/>
                <w:b/>
                <w:color w:val="auto"/>
                <w:sz w:val="22"/>
                <w:szCs w:val="22"/>
              </w:rPr>
              <w:t xml:space="preserve"> </w:t>
            </w:r>
            <w:r>
              <w:rPr>
                <w:rFonts w:hint="eastAsia" w:eastAsia="仿宋_GB2312"/>
                <w:b/>
                <w:color w:val="auto"/>
                <w:sz w:val="22"/>
                <w:szCs w:val="22"/>
              </w:rPr>
              <w:t>固体原辅料投料、配制过程废气产生情况表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1"/>
              <w:gridCol w:w="1772"/>
              <w:gridCol w:w="1182"/>
              <w:gridCol w:w="1297"/>
              <w:gridCol w:w="2395"/>
            </w:tblGrid>
            <w:tr w14:paraId="129FB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0E616D1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类别</w:t>
                  </w:r>
                </w:p>
              </w:tc>
              <w:tc>
                <w:tcPr>
                  <w:tcW w:w="1052" w:type="pct"/>
                  <w:vAlign w:val="center"/>
                </w:tcPr>
                <w:p w14:paraId="661C131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废气来源</w:t>
                  </w:r>
                </w:p>
              </w:tc>
              <w:tc>
                <w:tcPr>
                  <w:tcW w:w="702" w:type="pct"/>
                  <w:vAlign w:val="center"/>
                </w:tcPr>
                <w:p w14:paraId="70E04BD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770" w:type="pct"/>
                  <w:vAlign w:val="center"/>
                </w:tcPr>
                <w:p w14:paraId="6ED9026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产生量</w:t>
                  </w:r>
                </w:p>
                <w:p w14:paraId="7AF4354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（t/a）</w:t>
                  </w:r>
                </w:p>
              </w:tc>
              <w:tc>
                <w:tcPr>
                  <w:tcW w:w="1422" w:type="pct"/>
                  <w:vAlign w:val="center"/>
                </w:tcPr>
                <w:p w14:paraId="2C06E06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治理措施</w:t>
                  </w:r>
                </w:p>
              </w:tc>
            </w:tr>
            <w:tr w14:paraId="2F6F5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541BC8C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有组织</w:t>
                  </w:r>
                </w:p>
              </w:tc>
              <w:tc>
                <w:tcPr>
                  <w:tcW w:w="1052" w:type="pct"/>
                  <w:vMerge w:val="restart"/>
                  <w:vAlign w:val="center"/>
                </w:tcPr>
                <w:p w14:paraId="2573B6B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投料</w:t>
                  </w:r>
                </w:p>
              </w:tc>
              <w:tc>
                <w:tcPr>
                  <w:tcW w:w="702" w:type="pct"/>
                  <w:vAlign w:val="center"/>
                </w:tcPr>
                <w:p w14:paraId="07BED9D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770" w:type="pct"/>
                  <w:vAlign w:val="center"/>
                </w:tcPr>
                <w:p w14:paraId="1F99726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lang w:val="en-US" w:eastAsia="zh-CN"/>
                    </w:rPr>
                  </w:pPr>
                  <w:r>
                    <w:rPr>
                      <w:rFonts w:hint="default" w:ascii="Times New Roman" w:hAnsi="Times New Roman" w:eastAsia="仿宋_GB2312" w:cs="Times New Roman"/>
                      <w:bCs/>
                      <w:color w:val="auto"/>
                      <w:sz w:val="21"/>
                    </w:rPr>
                    <w:t>0.0</w:t>
                  </w:r>
                  <w:r>
                    <w:rPr>
                      <w:rFonts w:hint="eastAsia" w:eastAsia="仿宋_GB2312" w:cs="Times New Roman"/>
                      <w:bCs/>
                      <w:color w:val="auto"/>
                      <w:sz w:val="21"/>
                      <w:lang w:val="en-US" w:eastAsia="zh-CN"/>
                    </w:rPr>
                    <w:t>063</w:t>
                  </w:r>
                </w:p>
              </w:tc>
              <w:tc>
                <w:tcPr>
                  <w:tcW w:w="1422" w:type="pct"/>
                  <w:vAlign w:val="center"/>
                </w:tcPr>
                <w:p w14:paraId="1C4E2FB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布袋除尘后经15米高排气筒（DA001）排放</w:t>
                  </w:r>
                </w:p>
              </w:tc>
            </w:tr>
            <w:tr w14:paraId="7FCBF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7DE4A4C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无组织</w:t>
                  </w:r>
                </w:p>
              </w:tc>
              <w:tc>
                <w:tcPr>
                  <w:tcW w:w="1052" w:type="pct"/>
                  <w:vMerge w:val="continue"/>
                  <w:vAlign w:val="center"/>
                </w:tcPr>
                <w:p w14:paraId="25235E2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702" w:type="pct"/>
                  <w:vAlign w:val="center"/>
                </w:tcPr>
                <w:p w14:paraId="33A4019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770" w:type="pct"/>
                  <w:vAlign w:val="center"/>
                </w:tcPr>
                <w:p w14:paraId="2B6A618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lang w:val="en-US" w:eastAsia="zh-CN"/>
                    </w:rPr>
                  </w:pPr>
                  <w:r>
                    <w:rPr>
                      <w:rFonts w:hint="default" w:ascii="Times New Roman" w:hAnsi="Times New Roman" w:eastAsia="仿宋_GB2312" w:cs="Times New Roman"/>
                      <w:bCs/>
                      <w:color w:val="auto"/>
                      <w:sz w:val="21"/>
                    </w:rPr>
                    <w:t>0.00</w:t>
                  </w:r>
                  <w:r>
                    <w:rPr>
                      <w:rFonts w:hint="eastAsia" w:eastAsia="仿宋_GB2312" w:cs="Times New Roman"/>
                      <w:bCs/>
                      <w:color w:val="auto"/>
                      <w:sz w:val="21"/>
                      <w:lang w:val="en-US" w:eastAsia="zh-CN"/>
                    </w:rPr>
                    <w:t>07</w:t>
                  </w:r>
                </w:p>
              </w:tc>
              <w:tc>
                <w:tcPr>
                  <w:tcW w:w="1422" w:type="pct"/>
                  <w:vAlign w:val="center"/>
                </w:tcPr>
                <w:p w14:paraId="3F74823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w:t>
                  </w:r>
                </w:p>
              </w:tc>
            </w:tr>
          </w:tbl>
          <w:p w14:paraId="4F5F1046">
            <w:pPr>
              <w:keepNext w:val="0"/>
              <w:keepLines w:val="0"/>
              <w:suppressLineNumbers w:val="0"/>
              <w:snapToGrid w:val="0"/>
              <w:spacing w:before="0" w:beforeAutospacing="0" w:after="0" w:afterAutospacing="0" w:line="500" w:lineRule="exact"/>
              <w:ind w:left="0" w:right="0" w:firstLine="480" w:firstLineChars="200"/>
              <w:rPr>
                <w:rFonts w:hint="eastAsia" w:eastAsia="仿宋_GB2312"/>
                <w:bCs/>
                <w:color w:val="auto"/>
                <w:sz w:val="24"/>
              </w:rPr>
            </w:pPr>
            <w:r>
              <w:rPr>
                <w:rFonts w:hint="eastAsia" w:eastAsia="仿宋_GB2312"/>
                <w:bCs/>
                <w:color w:val="auto"/>
                <w:sz w:val="24"/>
              </w:rPr>
              <w:t>②盐酸溶液配制废气</w:t>
            </w:r>
          </w:p>
          <w:p w14:paraId="1C8E707D">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本项目盐酸在二楼质检区通风橱配制，溶液配制时，原料的使用、转移过程会产生少量挥发气体。本项目36%盐酸年用量为</w:t>
            </w:r>
            <w:r>
              <w:rPr>
                <w:rFonts w:hint="eastAsia" w:eastAsia="仿宋_GB2312"/>
                <w:color w:val="auto"/>
                <w:sz w:val="24"/>
                <w:lang w:val="en-US" w:eastAsia="zh-CN"/>
              </w:rPr>
              <w:t>4.44</w:t>
            </w:r>
            <w:r>
              <w:rPr>
                <w:rFonts w:hint="eastAsia" w:eastAsia="仿宋_GB2312"/>
                <w:color w:val="auto"/>
                <w:sz w:val="24"/>
              </w:rPr>
              <w:t>t，36%盐酸中盐酸含量约为</w:t>
            </w:r>
            <w:r>
              <w:rPr>
                <w:rFonts w:hint="eastAsia" w:eastAsia="仿宋_GB2312"/>
                <w:color w:val="auto"/>
                <w:sz w:val="24"/>
                <w:lang w:val="en-US" w:eastAsia="zh-CN"/>
              </w:rPr>
              <w:t>1.6</w:t>
            </w:r>
            <w:r>
              <w:rPr>
                <w:rFonts w:hint="eastAsia" w:eastAsia="仿宋_GB2312"/>
                <w:color w:val="auto"/>
                <w:sz w:val="24"/>
              </w:rPr>
              <w:t>t。配制过程产生废气总量按盐酸含量的0.5%计，则此过程氯化氢年废气产生量约为0.0</w:t>
            </w:r>
            <w:r>
              <w:rPr>
                <w:rFonts w:hint="eastAsia" w:eastAsia="仿宋_GB2312"/>
                <w:color w:val="auto"/>
                <w:sz w:val="24"/>
                <w:lang w:val="en-US" w:eastAsia="zh-CN"/>
              </w:rPr>
              <w:t>08</w:t>
            </w:r>
            <w:r>
              <w:rPr>
                <w:rFonts w:hint="eastAsia" w:eastAsia="仿宋_GB2312"/>
                <w:color w:val="auto"/>
                <w:sz w:val="24"/>
              </w:rPr>
              <w:t>t。废气捕集效率按90%计，盐酸溶液配制废气产生情况见下表。</w:t>
            </w:r>
          </w:p>
          <w:p w14:paraId="7A5D5548">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w:t>
            </w:r>
            <w:r>
              <w:rPr>
                <w:rFonts w:hint="eastAsia" w:eastAsia="仿宋_GB2312"/>
                <w:b/>
                <w:color w:val="auto"/>
                <w:sz w:val="22"/>
                <w:szCs w:val="22"/>
                <w:lang w:val="en-US" w:eastAsia="zh-CN"/>
              </w:rPr>
              <w:t>2-33</w:t>
            </w:r>
            <w:r>
              <w:rPr>
                <w:rFonts w:hint="default" w:eastAsia="仿宋_GB2312"/>
                <w:b/>
                <w:color w:val="auto"/>
                <w:sz w:val="22"/>
                <w:szCs w:val="22"/>
              </w:rPr>
              <w:t xml:space="preserve"> </w:t>
            </w:r>
            <w:r>
              <w:rPr>
                <w:rFonts w:hint="eastAsia" w:eastAsia="仿宋_GB2312"/>
                <w:b/>
                <w:color w:val="auto"/>
                <w:sz w:val="22"/>
                <w:szCs w:val="22"/>
              </w:rPr>
              <w:t>盐酸溶液配制废气</w:t>
            </w:r>
            <w:r>
              <w:rPr>
                <w:rFonts w:hint="default" w:eastAsia="仿宋_GB2312"/>
                <w:b/>
                <w:color w:val="auto"/>
                <w:sz w:val="22"/>
                <w:szCs w:val="22"/>
              </w:rPr>
              <w:t>产生情况表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1"/>
              <w:gridCol w:w="1772"/>
              <w:gridCol w:w="1182"/>
              <w:gridCol w:w="1297"/>
              <w:gridCol w:w="2395"/>
            </w:tblGrid>
            <w:tr w14:paraId="21139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4776FC5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类别</w:t>
                  </w:r>
                </w:p>
              </w:tc>
              <w:tc>
                <w:tcPr>
                  <w:tcW w:w="1052" w:type="pct"/>
                  <w:vAlign w:val="center"/>
                </w:tcPr>
                <w:p w14:paraId="53C802A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废气来源</w:t>
                  </w:r>
                </w:p>
              </w:tc>
              <w:tc>
                <w:tcPr>
                  <w:tcW w:w="702" w:type="pct"/>
                  <w:vAlign w:val="center"/>
                </w:tcPr>
                <w:p w14:paraId="49624F1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770" w:type="pct"/>
                  <w:vAlign w:val="center"/>
                </w:tcPr>
                <w:p w14:paraId="1E1AD41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bookmarkStart w:id="26" w:name="OLE_LINK387"/>
                  <w:r>
                    <w:rPr>
                      <w:rFonts w:hint="default" w:ascii="Times New Roman" w:hAnsi="Times New Roman" w:eastAsia="仿宋_GB2312" w:cs="Times New Roman"/>
                      <w:b/>
                      <w:color w:val="auto"/>
                      <w:sz w:val="21"/>
                    </w:rPr>
                    <w:t>产生</w:t>
                  </w:r>
                  <w:bookmarkEnd w:id="26"/>
                  <w:r>
                    <w:rPr>
                      <w:rFonts w:hint="default" w:ascii="Times New Roman" w:hAnsi="Times New Roman" w:eastAsia="仿宋_GB2312" w:cs="Times New Roman"/>
                      <w:b/>
                      <w:color w:val="auto"/>
                      <w:sz w:val="21"/>
                    </w:rPr>
                    <w:t>量</w:t>
                  </w:r>
                </w:p>
                <w:p w14:paraId="5ED2A5A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（t/a）</w:t>
                  </w:r>
                </w:p>
              </w:tc>
              <w:tc>
                <w:tcPr>
                  <w:tcW w:w="1422" w:type="pct"/>
                  <w:vAlign w:val="center"/>
                </w:tcPr>
                <w:p w14:paraId="7687DA1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治理措施</w:t>
                  </w:r>
                </w:p>
              </w:tc>
            </w:tr>
            <w:tr w14:paraId="31E84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625D0E3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有组织</w:t>
                  </w:r>
                </w:p>
              </w:tc>
              <w:tc>
                <w:tcPr>
                  <w:tcW w:w="1052" w:type="pct"/>
                  <w:vMerge w:val="restart"/>
                  <w:vAlign w:val="center"/>
                </w:tcPr>
                <w:p w14:paraId="7CA1C4A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盐酸配制</w:t>
                  </w:r>
                </w:p>
              </w:tc>
              <w:tc>
                <w:tcPr>
                  <w:tcW w:w="702" w:type="pct"/>
                  <w:vAlign w:val="center"/>
                </w:tcPr>
                <w:p w14:paraId="382D60A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氯化氢</w:t>
                  </w:r>
                </w:p>
              </w:tc>
              <w:tc>
                <w:tcPr>
                  <w:tcW w:w="770" w:type="pct"/>
                  <w:vAlign w:val="center"/>
                </w:tcPr>
                <w:p w14:paraId="674926F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lang w:val="en-US" w:eastAsia="zh-CN"/>
                    </w:rPr>
                  </w:pPr>
                  <w:r>
                    <w:rPr>
                      <w:rFonts w:hint="default" w:ascii="Times New Roman" w:hAnsi="Times New Roman" w:eastAsia="仿宋_GB2312" w:cs="Times New Roman"/>
                      <w:bCs/>
                      <w:color w:val="auto"/>
                      <w:sz w:val="21"/>
                    </w:rPr>
                    <w:t>0.0</w:t>
                  </w:r>
                  <w:r>
                    <w:rPr>
                      <w:rFonts w:hint="eastAsia" w:eastAsia="仿宋_GB2312" w:cs="Times New Roman"/>
                      <w:bCs/>
                      <w:color w:val="auto"/>
                      <w:sz w:val="21"/>
                      <w:lang w:val="en-US" w:eastAsia="zh-CN"/>
                    </w:rPr>
                    <w:t>07</w:t>
                  </w:r>
                </w:p>
              </w:tc>
              <w:tc>
                <w:tcPr>
                  <w:tcW w:w="1422" w:type="pct"/>
                  <w:vAlign w:val="center"/>
                </w:tcPr>
                <w:p w14:paraId="1503CEC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酸吸收+碱吸收+除雾器+两级活性炭吸附处理后经15米高排气筒（DA002）排放</w:t>
                  </w:r>
                </w:p>
              </w:tc>
            </w:tr>
            <w:tr w14:paraId="5CB2E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002DE38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无组织</w:t>
                  </w:r>
                </w:p>
              </w:tc>
              <w:tc>
                <w:tcPr>
                  <w:tcW w:w="1052" w:type="pct"/>
                  <w:vMerge w:val="continue"/>
                  <w:vAlign w:val="center"/>
                </w:tcPr>
                <w:p w14:paraId="35A887F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p>
              </w:tc>
              <w:tc>
                <w:tcPr>
                  <w:tcW w:w="702" w:type="pct"/>
                  <w:vAlign w:val="center"/>
                </w:tcPr>
                <w:p w14:paraId="72350DB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氯化氢</w:t>
                  </w:r>
                </w:p>
              </w:tc>
              <w:tc>
                <w:tcPr>
                  <w:tcW w:w="770" w:type="pct"/>
                  <w:vAlign w:val="center"/>
                </w:tcPr>
                <w:p w14:paraId="081A8D3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0.001</w:t>
                  </w:r>
                </w:p>
              </w:tc>
              <w:tc>
                <w:tcPr>
                  <w:tcW w:w="1422" w:type="pct"/>
                  <w:vAlign w:val="center"/>
                </w:tcPr>
                <w:p w14:paraId="20DD58D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w:t>
                  </w:r>
                </w:p>
              </w:tc>
            </w:tr>
          </w:tbl>
          <w:p w14:paraId="7B8DF73B">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③质检区废气</w:t>
            </w:r>
          </w:p>
          <w:p w14:paraId="28614936">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lang w:val="zh-CN"/>
              </w:rPr>
              <w:t>本项目在厂房二层设质检</w:t>
            </w:r>
            <w:r>
              <w:rPr>
                <w:rFonts w:hint="eastAsia" w:eastAsia="仿宋_GB2312"/>
                <w:color w:val="auto"/>
                <w:sz w:val="24"/>
              </w:rPr>
              <w:t>区</w:t>
            </w:r>
            <w:r>
              <w:rPr>
                <w:rFonts w:hint="eastAsia" w:eastAsia="仿宋_GB2312"/>
                <w:color w:val="auto"/>
                <w:sz w:val="24"/>
                <w:lang w:val="zh-CN"/>
              </w:rPr>
              <w:t>，对产品及原料进行检测，检测过程均在通风橱中进行。</w:t>
            </w:r>
            <w:r>
              <w:rPr>
                <w:rFonts w:hint="eastAsia" w:eastAsia="仿宋_GB2312"/>
                <w:color w:val="auto"/>
                <w:sz w:val="24"/>
              </w:rPr>
              <w:t>类比同类同规模的企业质检区，</w:t>
            </w:r>
            <w:r>
              <w:rPr>
                <w:rFonts w:hint="eastAsia" w:eastAsia="仿宋_GB2312"/>
                <w:color w:val="auto"/>
                <w:sz w:val="24"/>
                <w:lang w:val="zh-CN"/>
              </w:rPr>
              <w:t>检测过程</w:t>
            </w:r>
            <w:r>
              <w:rPr>
                <w:rFonts w:hint="eastAsia" w:eastAsia="仿宋_GB2312"/>
                <w:color w:val="auto"/>
                <w:sz w:val="24"/>
              </w:rPr>
              <w:t>非甲烷总烃</w:t>
            </w:r>
            <w:r>
              <w:rPr>
                <w:rFonts w:hint="eastAsia" w:eastAsia="仿宋_GB2312"/>
                <w:color w:val="auto"/>
                <w:sz w:val="24"/>
                <w:lang w:val="zh-CN"/>
              </w:rPr>
              <w:t>产生量约为0.1</w:t>
            </w:r>
            <w:r>
              <w:rPr>
                <w:rFonts w:hint="eastAsia" w:eastAsia="仿宋_GB2312"/>
                <w:color w:val="auto"/>
                <w:sz w:val="24"/>
              </w:rPr>
              <w:t>1</w:t>
            </w:r>
            <w:r>
              <w:rPr>
                <w:rFonts w:hint="eastAsia" w:eastAsia="仿宋_GB2312"/>
                <w:color w:val="auto"/>
                <w:sz w:val="24"/>
                <w:lang w:val="zh-CN"/>
              </w:rPr>
              <w:t>t/a，</w:t>
            </w:r>
            <w:r>
              <w:rPr>
                <w:rFonts w:hint="eastAsia" w:eastAsia="仿宋_GB2312"/>
                <w:color w:val="auto"/>
                <w:sz w:val="24"/>
              </w:rPr>
              <w:t>废气捕集效率为90%，质检区废气产生情况见下表。</w:t>
            </w:r>
          </w:p>
          <w:p w14:paraId="75F1FE2F">
            <w:pPr>
              <w:keepNext w:val="0"/>
              <w:keepLines w:val="0"/>
              <w:widowControl w:val="0"/>
              <w:suppressLineNumbers w:val="0"/>
              <w:spacing w:before="0" w:beforeAutospacing="0" w:after="0" w:afterAutospacing="0"/>
              <w:ind w:left="0" w:right="0"/>
              <w:jc w:val="center"/>
              <w:rPr>
                <w:rFonts w:hint="default" w:ascii="Times New Roman" w:hAnsi="Times New Roman"/>
                <w:b/>
                <w:bCs/>
                <w:color w:val="auto"/>
                <w:sz w:val="24"/>
                <w:szCs w:val="24"/>
              </w:rPr>
            </w:pPr>
          </w:p>
          <w:p w14:paraId="0412A88D">
            <w:pPr>
              <w:keepNext w:val="0"/>
              <w:keepLines w:val="0"/>
              <w:widowControl w:val="0"/>
              <w:suppressLineNumbers w:val="0"/>
              <w:spacing w:before="0" w:beforeAutospacing="0" w:after="0" w:afterAutospacing="0"/>
              <w:ind w:left="0" w:right="0"/>
              <w:jc w:val="center"/>
              <w:rPr>
                <w:rFonts w:hint="default" w:ascii="Times New Roman" w:hAnsi="Times New Roman"/>
                <w:b/>
                <w:bCs/>
                <w:color w:val="auto"/>
                <w:sz w:val="24"/>
                <w:szCs w:val="24"/>
              </w:rPr>
            </w:pPr>
          </w:p>
          <w:p w14:paraId="65FFD815">
            <w:pPr>
              <w:keepNext w:val="0"/>
              <w:keepLines w:val="0"/>
              <w:widowControl w:val="0"/>
              <w:suppressLineNumbers w:val="0"/>
              <w:spacing w:before="0" w:beforeAutospacing="0" w:after="0" w:afterAutospacing="0"/>
              <w:ind w:left="0" w:right="0"/>
              <w:jc w:val="center"/>
              <w:rPr>
                <w:rFonts w:hint="default" w:ascii="Times New Roman" w:hAnsi="Times New Roman"/>
                <w:b/>
                <w:bCs/>
                <w:color w:val="auto"/>
                <w:sz w:val="24"/>
                <w:szCs w:val="24"/>
              </w:rPr>
            </w:pPr>
          </w:p>
          <w:p w14:paraId="00EAA5A3">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w:t>
            </w:r>
            <w:r>
              <w:rPr>
                <w:rFonts w:hint="eastAsia" w:eastAsia="仿宋_GB2312"/>
                <w:b/>
                <w:color w:val="auto"/>
                <w:sz w:val="22"/>
                <w:szCs w:val="22"/>
                <w:lang w:val="en-US" w:eastAsia="zh-CN"/>
              </w:rPr>
              <w:t>2-34</w:t>
            </w:r>
            <w:r>
              <w:rPr>
                <w:rFonts w:hint="default" w:eastAsia="仿宋_GB2312"/>
                <w:b/>
                <w:color w:val="auto"/>
                <w:sz w:val="22"/>
                <w:szCs w:val="22"/>
              </w:rPr>
              <w:t xml:space="preserve"> </w:t>
            </w:r>
            <w:r>
              <w:rPr>
                <w:rFonts w:hint="eastAsia" w:eastAsia="仿宋_GB2312"/>
                <w:b/>
                <w:color w:val="auto"/>
                <w:sz w:val="22"/>
                <w:szCs w:val="22"/>
              </w:rPr>
              <w:t>质检区废气</w:t>
            </w:r>
            <w:r>
              <w:rPr>
                <w:rFonts w:hint="default" w:eastAsia="仿宋_GB2312"/>
                <w:b/>
                <w:color w:val="auto"/>
                <w:sz w:val="22"/>
                <w:szCs w:val="22"/>
              </w:rPr>
              <w:t>产生情况表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2"/>
              <w:gridCol w:w="1528"/>
              <w:gridCol w:w="1425"/>
              <w:gridCol w:w="1297"/>
              <w:gridCol w:w="2395"/>
            </w:tblGrid>
            <w:tr w14:paraId="07F55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7F560AE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类别</w:t>
                  </w:r>
                </w:p>
              </w:tc>
              <w:tc>
                <w:tcPr>
                  <w:tcW w:w="907" w:type="pct"/>
                  <w:vAlign w:val="center"/>
                </w:tcPr>
                <w:p w14:paraId="2F61C11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废气来源</w:t>
                  </w:r>
                </w:p>
              </w:tc>
              <w:tc>
                <w:tcPr>
                  <w:tcW w:w="846" w:type="pct"/>
                  <w:vAlign w:val="center"/>
                </w:tcPr>
                <w:p w14:paraId="7490105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770" w:type="pct"/>
                  <w:vAlign w:val="center"/>
                </w:tcPr>
                <w:p w14:paraId="64FE48A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产生量</w:t>
                  </w:r>
                </w:p>
                <w:p w14:paraId="02A3066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（t/a）</w:t>
                  </w:r>
                </w:p>
              </w:tc>
              <w:tc>
                <w:tcPr>
                  <w:tcW w:w="1422" w:type="pct"/>
                  <w:vAlign w:val="center"/>
                </w:tcPr>
                <w:p w14:paraId="4CA8360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治理措施</w:t>
                  </w:r>
                </w:p>
              </w:tc>
            </w:tr>
            <w:tr w14:paraId="69E40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4FAC91C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有组织</w:t>
                  </w:r>
                </w:p>
              </w:tc>
              <w:tc>
                <w:tcPr>
                  <w:tcW w:w="907" w:type="pct"/>
                  <w:vMerge w:val="restart"/>
                  <w:vAlign w:val="center"/>
                </w:tcPr>
                <w:p w14:paraId="13EF969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Cs/>
                      <w:color w:val="auto"/>
                      <w:sz w:val="21"/>
                    </w:rPr>
                    <w:t>质检</w:t>
                  </w:r>
                </w:p>
              </w:tc>
              <w:tc>
                <w:tcPr>
                  <w:tcW w:w="846" w:type="pct"/>
                  <w:vAlign w:val="center"/>
                </w:tcPr>
                <w:p w14:paraId="5F8CBB4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非甲烷总烃</w:t>
                  </w:r>
                </w:p>
              </w:tc>
              <w:tc>
                <w:tcPr>
                  <w:tcW w:w="770" w:type="pct"/>
                  <w:vAlign w:val="center"/>
                </w:tcPr>
                <w:p w14:paraId="781DEAA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0.1</w:t>
                  </w:r>
                </w:p>
              </w:tc>
              <w:tc>
                <w:tcPr>
                  <w:tcW w:w="1422" w:type="pct"/>
                  <w:vAlign w:val="center"/>
                </w:tcPr>
                <w:p w14:paraId="1FD6088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酸吸收+碱吸收+除雾器+两级活性炭吸附处理后经15米高排气筒（DA002）排放</w:t>
                  </w:r>
                </w:p>
              </w:tc>
            </w:tr>
            <w:tr w14:paraId="2395E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2F6BF89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无组织</w:t>
                  </w:r>
                </w:p>
              </w:tc>
              <w:tc>
                <w:tcPr>
                  <w:tcW w:w="907" w:type="pct"/>
                  <w:vMerge w:val="continue"/>
                  <w:vAlign w:val="center"/>
                </w:tcPr>
                <w:p w14:paraId="05A6538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46" w:type="pct"/>
                  <w:vAlign w:val="center"/>
                </w:tcPr>
                <w:p w14:paraId="130A6EA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非甲烷总烃</w:t>
                  </w:r>
                </w:p>
              </w:tc>
              <w:tc>
                <w:tcPr>
                  <w:tcW w:w="770" w:type="pct"/>
                  <w:vAlign w:val="center"/>
                </w:tcPr>
                <w:p w14:paraId="5FDE3D2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0.01</w:t>
                  </w:r>
                </w:p>
              </w:tc>
              <w:tc>
                <w:tcPr>
                  <w:tcW w:w="1422" w:type="pct"/>
                  <w:vAlign w:val="center"/>
                </w:tcPr>
                <w:p w14:paraId="10A1536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w:t>
                  </w:r>
                </w:p>
              </w:tc>
            </w:tr>
          </w:tbl>
          <w:p w14:paraId="42873CE4">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④污水站废气</w:t>
            </w:r>
          </w:p>
          <w:p w14:paraId="7B0D4298">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本项目本项目生产食品用原料γ-氨基丁酸、二氢槲皮素保健食品粉产生的</w:t>
            </w:r>
            <w:r>
              <w:rPr>
                <w:rFonts w:hint="eastAsia" w:eastAsia="仿宋_GB2312"/>
                <w:color w:val="auto"/>
                <w:sz w:val="24"/>
                <w:lang w:eastAsia="zh-CN"/>
              </w:rPr>
              <w:t>离心废水、结晶废水、</w:t>
            </w:r>
            <w:r>
              <w:rPr>
                <w:rFonts w:hint="eastAsia" w:eastAsia="仿宋_GB2312"/>
                <w:color w:val="auto"/>
                <w:sz w:val="24"/>
              </w:rPr>
              <w:t>超滤废水、纳滤废液、脱色树脂再生废水、层析树脂再生废水、旋蒸废水，设备清洗废水，地面清洁废水，洗衣废水，循环冷却系统排水，废气喷淋废水，质检区废水进入污水站预处理。本项目污水站产生废气整体换风收集，废气捕集效率按90%计，参照同类同规模企业相同工艺的污水站运行情况，本项目污水站NH</w:t>
            </w:r>
            <w:r>
              <w:rPr>
                <w:rFonts w:hint="eastAsia" w:eastAsia="仿宋_GB2312"/>
                <w:color w:val="auto"/>
                <w:sz w:val="24"/>
                <w:vertAlign w:val="subscript"/>
              </w:rPr>
              <w:t>3</w:t>
            </w:r>
            <w:r>
              <w:rPr>
                <w:rFonts w:hint="eastAsia" w:eastAsia="仿宋_GB2312"/>
                <w:color w:val="auto"/>
                <w:sz w:val="24"/>
              </w:rPr>
              <w:t>和H</w:t>
            </w:r>
            <w:r>
              <w:rPr>
                <w:rFonts w:hint="eastAsia" w:eastAsia="仿宋_GB2312"/>
                <w:color w:val="auto"/>
                <w:sz w:val="24"/>
                <w:vertAlign w:val="subscript"/>
              </w:rPr>
              <w:t>2</w:t>
            </w:r>
            <w:r>
              <w:rPr>
                <w:rFonts w:hint="eastAsia" w:eastAsia="仿宋_GB2312"/>
                <w:color w:val="auto"/>
                <w:sz w:val="24"/>
              </w:rPr>
              <w:t>S废气产生量分别为0.11t/a和0.011t/a。污水站废气产生情况见下表。</w:t>
            </w:r>
          </w:p>
          <w:p w14:paraId="7BB1825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w:t>
            </w:r>
            <w:r>
              <w:rPr>
                <w:rFonts w:hint="eastAsia" w:eastAsia="仿宋_GB2312"/>
                <w:b/>
                <w:color w:val="auto"/>
                <w:sz w:val="22"/>
                <w:szCs w:val="22"/>
                <w:lang w:val="en-US" w:eastAsia="zh-CN"/>
              </w:rPr>
              <w:t>2-35</w:t>
            </w:r>
            <w:r>
              <w:rPr>
                <w:rFonts w:hint="default" w:eastAsia="仿宋_GB2312"/>
                <w:b/>
                <w:color w:val="auto"/>
                <w:sz w:val="22"/>
                <w:szCs w:val="22"/>
              </w:rPr>
              <w:t xml:space="preserve"> </w:t>
            </w:r>
            <w:r>
              <w:rPr>
                <w:rFonts w:hint="eastAsia" w:eastAsia="仿宋_GB2312"/>
                <w:b/>
                <w:color w:val="auto"/>
                <w:sz w:val="22"/>
                <w:szCs w:val="22"/>
              </w:rPr>
              <w:t>污水站废气</w:t>
            </w:r>
            <w:r>
              <w:rPr>
                <w:rFonts w:hint="default" w:eastAsia="仿宋_GB2312"/>
                <w:b/>
                <w:color w:val="auto"/>
                <w:sz w:val="22"/>
                <w:szCs w:val="22"/>
              </w:rPr>
              <w:t>产生情况表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2"/>
              <w:gridCol w:w="1554"/>
              <w:gridCol w:w="1399"/>
              <w:gridCol w:w="1297"/>
              <w:gridCol w:w="2395"/>
            </w:tblGrid>
            <w:tr w14:paraId="265E6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771B2C6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类别</w:t>
                  </w:r>
                </w:p>
              </w:tc>
              <w:tc>
                <w:tcPr>
                  <w:tcW w:w="923" w:type="pct"/>
                  <w:vAlign w:val="center"/>
                </w:tcPr>
                <w:p w14:paraId="7BCE96D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废气来源</w:t>
                  </w:r>
                </w:p>
              </w:tc>
              <w:tc>
                <w:tcPr>
                  <w:tcW w:w="831" w:type="pct"/>
                  <w:vAlign w:val="center"/>
                </w:tcPr>
                <w:p w14:paraId="625B0D4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770" w:type="pct"/>
                  <w:vAlign w:val="center"/>
                </w:tcPr>
                <w:p w14:paraId="490A65A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产生量</w:t>
                  </w:r>
                </w:p>
                <w:p w14:paraId="46ABBE7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（t/a）</w:t>
                  </w:r>
                </w:p>
              </w:tc>
              <w:tc>
                <w:tcPr>
                  <w:tcW w:w="1422" w:type="pct"/>
                  <w:vAlign w:val="center"/>
                </w:tcPr>
                <w:p w14:paraId="37EF2C0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治理措施</w:t>
                  </w:r>
                </w:p>
              </w:tc>
            </w:tr>
            <w:tr w14:paraId="2820D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Merge w:val="restart"/>
                  <w:vAlign w:val="center"/>
                </w:tcPr>
                <w:p w14:paraId="789BC40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有组织</w:t>
                  </w:r>
                </w:p>
              </w:tc>
              <w:tc>
                <w:tcPr>
                  <w:tcW w:w="923" w:type="pct"/>
                  <w:vMerge w:val="restart"/>
                  <w:vAlign w:val="center"/>
                </w:tcPr>
                <w:p w14:paraId="524AA09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Cs/>
                      <w:color w:val="auto"/>
                      <w:sz w:val="21"/>
                    </w:rPr>
                    <w:t>污水站</w:t>
                  </w:r>
                </w:p>
              </w:tc>
              <w:tc>
                <w:tcPr>
                  <w:tcW w:w="831" w:type="pct"/>
                  <w:vAlign w:val="center"/>
                </w:tcPr>
                <w:p w14:paraId="71F8E27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NH</w:t>
                  </w:r>
                  <w:r>
                    <w:rPr>
                      <w:rFonts w:hint="default" w:ascii="Times New Roman" w:hAnsi="Times New Roman" w:eastAsia="仿宋_GB2312" w:cs="Times New Roman"/>
                      <w:bCs/>
                      <w:color w:val="auto"/>
                      <w:sz w:val="21"/>
                      <w:vertAlign w:val="subscript"/>
                    </w:rPr>
                    <w:t>3</w:t>
                  </w:r>
                </w:p>
              </w:tc>
              <w:tc>
                <w:tcPr>
                  <w:tcW w:w="770" w:type="pct"/>
                  <w:vAlign w:val="center"/>
                </w:tcPr>
                <w:p w14:paraId="311E967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0.1</w:t>
                  </w:r>
                </w:p>
              </w:tc>
              <w:tc>
                <w:tcPr>
                  <w:tcW w:w="1422" w:type="pct"/>
                  <w:vMerge w:val="restart"/>
                  <w:vAlign w:val="center"/>
                </w:tcPr>
                <w:p w14:paraId="60B6272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酸吸收+碱吸收+除雾器+两级活性炭吸附处理后经15米高排气筒（DA002）排放</w:t>
                  </w:r>
                </w:p>
              </w:tc>
            </w:tr>
            <w:tr w14:paraId="6E653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Merge w:val="continue"/>
                  <w:vAlign w:val="center"/>
                </w:tcPr>
                <w:p w14:paraId="0685460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923" w:type="pct"/>
                  <w:vMerge w:val="continue"/>
                  <w:vAlign w:val="center"/>
                </w:tcPr>
                <w:p w14:paraId="7763899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31" w:type="pct"/>
                  <w:vAlign w:val="center"/>
                </w:tcPr>
                <w:p w14:paraId="776C2BF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H</w:t>
                  </w:r>
                  <w:r>
                    <w:rPr>
                      <w:rFonts w:hint="default" w:ascii="Times New Roman" w:hAnsi="Times New Roman" w:eastAsia="仿宋_GB2312" w:cs="Times New Roman"/>
                      <w:bCs/>
                      <w:color w:val="auto"/>
                      <w:sz w:val="21"/>
                      <w:vertAlign w:val="subscript"/>
                    </w:rPr>
                    <w:t>2</w:t>
                  </w:r>
                  <w:r>
                    <w:rPr>
                      <w:rFonts w:hint="default" w:ascii="Times New Roman" w:hAnsi="Times New Roman" w:eastAsia="仿宋_GB2312" w:cs="Times New Roman"/>
                      <w:bCs/>
                      <w:color w:val="auto"/>
                      <w:sz w:val="21"/>
                    </w:rPr>
                    <w:t>S</w:t>
                  </w:r>
                </w:p>
              </w:tc>
              <w:tc>
                <w:tcPr>
                  <w:tcW w:w="770" w:type="pct"/>
                  <w:vAlign w:val="center"/>
                </w:tcPr>
                <w:p w14:paraId="321F382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0.01</w:t>
                  </w:r>
                </w:p>
              </w:tc>
              <w:tc>
                <w:tcPr>
                  <w:tcW w:w="1422" w:type="pct"/>
                  <w:vMerge w:val="continue"/>
                  <w:vAlign w:val="center"/>
                </w:tcPr>
                <w:p w14:paraId="72D4B44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6419C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Merge w:val="restart"/>
                  <w:vAlign w:val="center"/>
                </w:tcPr>
                <w:p w14:paraId="658BEB0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无组织</w:t>
                  </w:r>
                </w:p>
              </w:tc>
              <w:tc>
                <w:tcPr>
                  <w:tcW w:w="923" w:type="pct"/>
                  <w:vMerge w:val="continue"/>
                  <w:vAlign w:val="center"/>
                </w:tcPr>
                <w:p w14:paraId="7591F4D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p>
              </w:tc>
              <w:tc>
                <w:tcPr>
                  <w:tcW w:w="831" w:type="pct"/>
                  <w:vAlign w:val="center"/>
                </w:tcPr>
                <w:p w14:paraId="2A82891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NH</w:t>
                  </w:r>
                  <w:r>
                    <w:rPr>
                      <w:rFonts w:hint="default" w:ascii="Times New Roman" w:hAnsi="Times New Roman" w:eastAsia="仿宋_GB2312" w:cs="Times New Roman"/>
                      <w:bCs/>
                      <w:color w:val="auto"/>
                      <w:sz w:val="21"/>
                      <w:vertAlign w:val="subscript"/>
                    </w:rPr>
                    <w:t>3</w:t>
                  </w:r>
                </w:p>
              </w:tc>
              <w:tc>
                <w:tcPr>
                  <w:tcW w:w="770" w:type="pct"/>
                  <w:vAlign w:val="center"/>
                </w:tcPr>
                <w:p w14:paraId="46D2546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0.01</w:t>
                  </w:r>
                </w:p>
              </w:tc>
              <w:tc>
                <w:tcPr>
                  <w:tcW w:w="1422" w:type="pct"/>
                  <w:vMerge w:val="restart"/>
                  <w:vAlign w:val="center"/>
                </w:tcPr>
                <w:p w14:paraId="0C73963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w:t>
                  </w:r>
                </w:p>
              </w:tc>
            </w:tr>
            <w:tr w14:paraId="5DF1E3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Merge w:val="continue"/>
                  <w:vAlign w:val="center"/>
                </w:tcPr>
                <w:p w14:paraId="0CFB6B4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923" w:type="pct"/>
                  <w:vMerge w:val="continue"/>
                  <w:vAlign w:val="center"/>
                </w:tcPr>
                <w:p w14:paraId="5E86A16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31" w:type="pct"/>
                  <w:vAlign w:val="center"/>
                </w:tcPr>
                <w:p w14:paraId="726B3B6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H</w:t>
                  </w:r>
                  <w:r>
                    <w:rPr>
                      <w:rFonts w:hint="default" w:ascii="Times New Roman" w:hAnsi="Times New Roman" w:eastAsia="仿宋_GB2312" w:cs="Times New Roman"/>
                      <w:bCs/>
                      <w:color w:val="auto"/>
                      <w:sz w:val="21"/>
                      <w:vertAlign w:val="subscript"/>
                    </w:rPr>
                    <w:t>2</w:t>
                  </w:r>
                  <w:r>
                    <w:rPr>
                      <w:rFonts w:hint="default" w:ascii="Times New Roman" w:hAnsi="Times New Roman" w:eastAsia="仿宋_GB2312" w:cs="Times New Roman"/>
                      <w:bCs/>
                      <w:color w:val="auto"/>
                      <w:sz w:val="21"/>
                    </w:rPr>
                    <w:t>S</w:t>
                  </w:r>
                </w:p>
              </w:tc>
              <w:tc>
                <w:tcPr>
                  <w:tcW w:w="770" w:type="pct"/>
                  <w:vAlign w:val="center"/>
                </w:tcPr>
                <w:p w14:paraId="265E1EF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0.001</w:t>
                  </w:r>
                </w:p>
              </w:tc>
              <w:tc>
                <w:tcPr>
                  <w:tcW w:w="1422" w:type="pct"/>
                  <w:vMerge w:val="continue"/>
                  <w:vAlign w:val="center"/>
                </w:tcPr>
                <w:p w14:paraId="22A4DE6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bl>
          <w:p w14:paraId="58BFA8FC">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⑤</w:t>
            </w:r>
            <w:r>
              <w:rPr>
                <w:rFonts w:hint="default" w:eastAsia="仿宋_GB2312"/>
                <w:color w:val="auto"/>
                <w:sz w:val="24"/>
              </w:rPr>
              <w:t>危废仓库废气</w:t>
            </w:r>
          </w:p>
          <w:p w14:paraId="679E3139">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考虑到危废库储存了部分有机废物，存储过程中存在挥发现象，根据危废库储存的有机废物量估算危废库产生废气0.011t/a。本项目危险废物暂存过程中产生的废气经整体换风收集，废气捕集效率按90%计，危废库废气产生情况见下表。</w:t>
            </w:r>
          </w:p>
          <w:p w14:paraId="1BC7D169">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p>
          <w:p w14:paraId="2DB1CDB1">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p>
          <w:p w14:paraId="0CFA99C7">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p>
          <w:p w14:paraId="0AAF92C3">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w:t>
            </w:r>
            <w:r>
              <w:rPr>
                <w:rFonts w:hint="eastAsia" w:eastAsia="仿宋_GB2312"/>
                <w:b/>
                <w:color w:val="auto"/>
                <w:sz w:val="22"/>
                <w:szCs w:val="22"/>
                <w:lang w:val="en-US" w:eastAsia="zh-CN"/>
              </w:rPr>
              <w:t>2-36</w:t>
            </w:r>
            <w:r>
              <w:rPr>
                <w:rFonts w:hint="default" w:eastAsia="仿宋_GB2312"/>
                <w:b/>
                <w:color w:val="auto"/>
                <w:sz w:val="22"/>
                <w:szCs w:val="22"/>
              </w:rPr>
              <w:t xml:space="preserve"> </w:t>
            </w:r>
            <w:r>
              <w:rPr>
                <w:rFonts w:hint="eastAsia" w:eastAsia="仿宋_GB2312"/>
                <w:b/>
                <w:color w:val="auto"/>
                <w:sz w:val="22"/>
                <w:szCs w:val="22"/>
              </w:rPr>
              <w:t>危废库废气</w:t>
            </w:r>
            <w:r>
              <w:rPr>
                <w:rFonts w:hint="default" w:eastAsia="仿宋_GB2312"/>
                <w:b/>
                <w:color w:val="auto"/>
                <w:sz w:val="22"/>
                <w:szCs w:val="22"/>
              </w:rPr>
              <w:t>产生情况表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2"/>
              <w:gridCol w:w="1069"/>
              <w:gridCol w:w="1605"/>
              <w:gridCol w:w="1159"/>
              <w:gridCol w:w="2812"/>
            </w:tblGrid>
            <w:tr w14:paraId="2652A0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27" w:hRule="atLeast"/>
                <w:tblHeader/>
                <w:jc w:val="center"/>
              </w:trPr>
              <w:tc>
                <w:tcPr>
                  <w:tcW w:w="1052" w:type="pct"/>
                  <w:vAlign w:val="center"/>
                </w:tcPr>
                <w:p w14:paraId="2D57028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类别</w:t>
                  </w:r>
                </w:p>
              </w:tc>
              <w:tc>
                <w:tcPr>
                  <w:tcW w:w="635" w:type="pct"/>
                  <w:vAlign w:val="center"/>
                </w:tcPr>
                <w:p w14:paraId="66C32DB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废气来源</w:t>
                  </w:r>
                </w:p>
              </w:tc>
              <w:tc>
                <w:tcPr>
                  <w:tcW w:w="953" w:type="pct"/>
                  <w:vAlign w:val="center"/>
                </w:tcPr>
                <w:p w14:paraId="093F83C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688" w:type="pct"/>
                  <w:vAlign w:val="center"/>
                </w:tcPr>
                <w:p w14:paraId="14C4F6F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产生量</w:t>
                  </w:r>
                </w:p>
                <w:p w14:paraId="2D39B5E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（t/a）</w:t>
                  </w:r>
                </w:p>
              </w:tc>
              <w:tc>
                <w:tcPr>
                  <w:tcW w:w="1670" w:type="pct"/>
                  <w:vAlign w:val="center"/>
                </w:tcPr>
                <w:p w14:paraId="526E28D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治理措施</w:t>
                  </w:r>
                </w:p>
              </w:tc>
            </w:tr>
            <w:tr w14:paraId="2A484E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5AEC0C5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有组织</w:t>
                  </w:r>
                </w:p>
              </w:tc>
              <w:tc>
                <w:tcPr>
                  <w:tcW w:w="635" w:type="pct"/>
                  <w:vMerge w:val="restart"/>
                  <w:vAlign w:val="center"/>
                </w:tcPr>
                <w:p w14:paraId="37CA897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Cs/>
                      <w:color w:val="auto"/>
                      <w:sz w:val="21"/>
                    </w:rPr>
                    <w:t>危废库</w:t>
                  </w:r>
                </w:p>
              </w:tc>
              <w:tc>
                <w:tcPr>
                  <w:tcW w:w="953" w:type="pct"/>
                  <w:vAlign w:val="center"/>
                </w:tcPr>
                <w:p w14:paraId="5964950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非甲烷总烃</w:t>
                  </w:r>
                </w:p>
              </w:tc>
              <w:tc>
                <w:tcPr>
                  <w:tcW w:w="688" w:type="pct"/>
                  <w:vAlign w:val="center"/>
                </w:tcPr>
                <w:p w14:paraId="2D69565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0.01</w:t>
                  </w:r>
                </w:p>
              </w:tc>
              <w:tc>
                <w:tcPr>
                  <w:tcW w:w="1670" w:type="pct"/>
                  <w:vAlign w:val="center"/>
                </w:tcPr>
                <w:p w14:paraId="6A9259E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酸吸收+碱吸收+除雾器+两级活性炭吸附处理后经15米高排气筒（DA002）排放</w:t>
                  </w:r>
                </w:p>
              </w:tc>
            </w:tr>
            <w:tr w14:paraId="3649E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50F87BD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无组织</w:t>
                  </w:r>
                </w:p>
              </w:tc>
              <w:tc>
                <w:tcPr>
                  <w:tcW w:w="635" w:type="pct"/>
                  <w:vMerge w:val="continue"/>
                  <w:vAlign w:val="center"/>
                </w:tcPr>
                <w:p w14:paraId="36BE336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953" w:type="pct"/>
                  <w:vAlign w:val="center"/>
                </w:tcPr>
                <w:p w14:paraId="4862685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非甲烷总烃</w:t>
                  </w:r>
                </w:p>
              </w:tc>
              <w:tc>
                <w:tcPr>
                  <w:tcW w:w="688" w:type="pct"/>
                  <w:vAlign w:val="center"/>
                </w:tcPr>
                <w:p w14:paraId="26FEBE4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0.001</w:t>
                  </w:r>
                </w:p>
              </w:tc>
              <w:tc>
                <w:tcPr>
                  <w:tcW w:w="1670" w:type="pct"/>
                  <w:vAlign w:val="center"/>
                </w:tcPr>
                <w:p w14:paraId="2240DE3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w:t>
                  </w:r>
                </w:p>
              </w:tc>
            </w:tr>
          </w:tbl>
          <w:p w14:paraId="1B2B6D8D">
            <w:pPr>
              <w:keepNext w:val="0"/>
              <w:keepLines w:val="0"/>
              <w:suppressLineNumbers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⑥燃气蒸汽发生器废气</w:t>
            </w:r>
          </w:p>
          <w:p w14:paraId="6C68A73F">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燃气蒸汽发生器运行过程中使用天然气作为燃料，其燃烧过程中产生的燃烧烟气（含NO</w:t>
            </w:r>
            <w:r>
              <w:rPr>
                <w:rFonts w:hint="default" w:ascii="Times New Roman" w:hAnsi="Times New Roman" w:eastAsia="仿宋_GB2312" w:cs="Times New Roman"/>
                <w:color w:val="auto"/>
                <w:sz w:val="24"/>
                <w:szCs w:val="24"/>
                <w:vertAlign w:val="subscript"/>
              </w:rPr>
              <w:t>X</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bCs/>
                <w:color w:val="auto"/>
                <w:sz w:val="24"/>
                <w:szCs w:val="24"/>
              </w:rPr>
              <w:t>SO</w:t>
            </w:r>
            <w:r>
              <w:rPr>
                <w:rFonts w:hint="default" w:ascii="Times New Roman" w:hAnsi="Times New Roman" w:eastAsia="仿宋_GB2312" w:cs="Times New Roman"/>
                <w:bCs/>
                <w:color w:val="auto"/>
                <w:sz w:val="24"/>
                <w:szCs w:val="24"/>
                <w:vertAlign w:val="subscript"/>
              </w:rPr>
              <w:t>2</w:t>
            </w:r>
            <w:r>
              <w:rPr>
                <w:rFonts w:hint="default" w:ascii="Times New Roman" w:hAnsi="Times New Roman" w:eastAsia="仿宋_GB2312" w:cs="Times New Roman"/>
                <w:bCs/>
                <w:color w:val="auto"/>
                <w:sz w:val="24"/>
                <w:szCs w:val="24"/>
              </w:rPr>
              <w:t>、颗粒物</w:t>
            </w:r>
            <w:r>
              <w:rPr>
                <w:rFonts w:hint="default" w:ascii="Times New Roman" w:hAnsi="Times New Roman" w:eastAsia="仿宋_GB2312" w:cs="Times New Roman"/>
                <w:color w:val="auto"/>
                <w:sz w:val="24"/>
                <w:szCs w:val="24"/>
              </w:rPr>
              <w:t>）直接通过1根15m高排气筒有组织排放。</w:t>
            </w:r>
          </w:p>
          <w:p w14:paraId="338D5B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参照《4430工业锅炉（热力供应）行业系数手册》（环办综合函[2022]350号）和企业提供资料，天然气的年用量约为4.34万m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。燃气蒸汽发生器NO</w:t>
            </w:r>
            <w:r>
              <w:rPr>
                <w:rFonts w:hint="default" w:ascii="Times New Roman" w:hAnsi="Times New Roman" w:eastAsia="仿宋_GB2312" w:cs="Times New Roman"/>
                <w:color w:val="auto"/>
                <w:sz w:val="24"/>
                <w:szCs w:val="24"/>
                <w:vertAlign w:val="subscript"/>
              </w:rPr>
              <w:t>X</w:t>
            </w:r>
            <w:r>
              <w:rPr>
                <w:rFonts w:hint="default" w:ascii="Times New Roman" w:hAnsi="Times New Roman" w:eastAsia="仿宋_GB2312" w:cs="Times New Roman"/>
                <w:color w:val="auto"/>
                <w:sz w:val="24"/>
                <w:szCs w:val="24"/>
              </w:rPr>
              <w:t>产污系数参照《4430工业锅炉（热力供应）行业系数手册》中的燃气工业锅炉（低氮燃烧-国内领先）运行过程中的产污系数确定，国内领先和国际领先低氮燃烧NO</w:t>
            </w:r>
            <w:r>
              <w:rPr>
                <w:rFonts w:hint="default" w:ascii="Times New Roman" w:hAnsi="Times New Roman" w:eastAsia="仿宋_GB2312" w:cs="Times New Roman"/>
                <w:color w:val="auto"/>
                <w:sz w:val="24"/>
                <w:szCs w:val="24"/>
                <w:vertAlign w:val="subscript"/>
              </w:rPr>
              <w:t>X</w:t>
            </w:r>
            <w:r>
              <w:rPr>
                <w:rFonts w:hint="default" w:ascii="Times New Roman" w:hAnsi="Times New Roman" w:eastAsia="仿宋_GB2312" w:cs="Times New Roman"/>
                <w:color w:val="auto"/>
                <w:sz w:val="24"/>
                <w:szCs w:val="24"/>
              </w:rPr>
              <w:t>产污系数分别为6.97kg/万m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天然气和3.03kg/万m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天然气，本项目采用国际较领先低氮燃烧器，NO</w:t>
            </w:r>
            <w:r>
              <w:rPr>
                <w:rFonts w:hint="default" w:ascii="Times New Roman" w:hAnsi="Times New Roman" w:eastAsia="仿宋_GB2312" w:cs="Times New Roman"/>
                <w:color w:val="auto"/>
                <w:sz w:val="24"/>
                <w:szCs w:val="24"/>
                <w:vertAlign w:val="subscript"/>
              </w:rPr>
              <w:t>X</w:t>
            </w:r>
            <w:r>
              <w:rPr>
                <w:rFonts w:hint="default" w:ascii="Times New Roman" w:hAnsi="Times New Roman" w:eastAsia="仿宋_GB2312" w:cs="Times New Roman"/>
                <w:color w:val="auto"/>
                <w:sz w:val="24"/>
                <w:szCs w:val="24"/>
              </w:rPr>
              <w:t>产污系数保守以4.5kg/万m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天然气计。燃气蒸汽发生器产污系数参照《4430工业锅炉（热力供应）行业系数手册》中的燃气工业锅炉运行过程中的产污系数确定，企业所用天然气为一类天然气，根据《天然气》（GB17820-2018）中标准，一类天然气总硫（以硫计）≤20mg/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，本次计算取天然气含硫量为20mg/m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，则SO</w:t>
            </w:r>
            <w:r>
              <w:rPr>
                <w:rFonts w:hint="default" w:ascii="Times New Roman" w:hAnsi="Times New Roman" w:eastAsia="仿宋_GB2312" w:cs="Times New Roman"/>
                <w:color w:val="auto"/>
                <w:sz w:val="24"/>
                <w:szCs w:val="24"/>
                <w:vertAlign w:val="subscript"/>
              </w:rPr>
              <w:t>2</w:t>
            </w:r>
            <w:r>
              <w:rPr>
                <w:rFonts w:hint="default" w:ascii="Times New Roman" w:hAnsi="Times New Roman" w:eastAsia="仿宋_GB2312" w:cs="Times New Roman"/>
                <w:color w:val="auto"/>
                <w:sz w:val="24"/>
                <w:szCs w:val="24"/>
              </w:rPr>
              <w:t>产污系数为0.4kg/万m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天然气。燃气蒸汽发生器颗粒物产污系数参照《环境保护实用数据手册》中的产污系数确定，颗粒物产污系数为0.8~2.4kg/万m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天然气，本次取值为</w:t>
            </w:r>
            <w:r>
              <w:rPr>
                <w:rFonts w:hint="eastAsia" w:eastAsia="仿宋_GB2312" w:cs="Times New Roman"/>
                <w:color w:val="auto"/>
                <w:sz w:val="24"/>
                <w:szCs w:val="24"/>
                <w:lang w:val="en-US" w:eastAsia="zh-CN"/>
              </w:rPr>
              <w:t>0.8</w:t>
            </w:r>
            <w:r>
              <w:rPr>
                <w:rFonts w:hint="default" w:ascii="Times New Roman" w:hAnsi="Times New Roman" w:eastAsia="仿宋_GB2312" w:cs="Times New Roman"/>
                <w:color w:val="auto"/>
                <w:sz w:val="24"/>
                <w:szCs w:val="24"/>
              </w:rPr>
              <w:t>kg/万m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天然气。燃气蒸汽发生器废气产生情况见下表。</w:t>
            </w:r>
          </w:p>
          <w:p w14:paraId="5D3269A8">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w:t>
            </w:r>
            <w:r>
              <w:rPr>
                <w:rFonts w:hint="eastAsia" w:eastAsia="仿宋_GB2312"/>
                <w:b/>
                <w:color w:val="auto"/>
                <w:sz w:val="22"/>
                <w:szCs w:val="22"/>
                <w:lang w:val="en-US" w:eastAsia="zh-CN"/>
              </w:rPr>
              <w:t>2-37</w:t>
            </w:r>
            <w:r>
              <w:rPr>
                <w:rFonts w:hint="default" w:eastAsia="仿宋_GB2312"/>
                <w:b/>
                <w:color w:val="auto"/>
                <w:sz w:val="22"/>
                <w:szCs w:val="22"/>
              </w:rPr>
              <w:t xml:space="preserve"> </w:t>
            </w:r>
            <w:r>
              <w:rPr>
                <w:rFonts w:hint="eastAsia" w:eastAsia="仿宋_GB2312"/>
                <w:b/>
                <w:color w:val="auto"/>
                <w:sz w:val="22"/>
                <w:szCs w:val="22"/>
              </w:rPr>
              <w:t>燃气蒸汽发生器废气</w:t>
            </w:r>
            <w:r>
              <w:rPr>
                <w:rFonts w:hint="default" w:eastAsia="仿宋_GB2312"/>
                <w:b/>
                <w:color w:val="auto"/>
                <w:sz w:val="22"/>
                <w:szCs w:val="22"/>
              </w:rPr>
              <w:t>产生情况表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2"/>
              <w:gridCol w:w="1470"/>
              <w:gridCol w:w="1482"/>
              <w:gridCol w:w="1297"/>
              <w:gridCol w:w="2396"/>
            </w:tblGrid>
            <w:tr w14:paraId="67DCB8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Align w:val="center"/>
                </w:tcPr>
                <w:p w14:paraId="6983E17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类别</w:t>
                  </w:r>
                </w:p>
              </w:tc>
              <w:tc>
                <w:tcPr>
                  <w:tcW w:w="873" w:type="pct"/>
                  <w:vAlign w:val="center"/>
                </w:tcPr>
                <w:p w14:paraId="6A30211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废气来源</w:t>
                  </w:r>
                </w:p>
              </w:tc>
              <w:tc>
                <w:tcPr>
                  <w:tcW w:w="880" w:type="pct"/>
                  <w:vAlign w:val="center"/>
                </w:tcPr>
                <w:p w14:paraId="6FAD75D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770" w:type="pct"/>
                  <w:vAlign w:val="center"/>
                </w:tcPr>
                <w:p w14:paraId="30D3ADF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产生量</w:t>
                  </w:r>
                </w:p>
                <w:p w14:paraId="4A383E7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（t/a）</w:t>
                  </w:r>
                </w:p>
              </w:tc>
              <w:tc>
                <w:tcPr>
                  <w:tcW w:w="1422" w:type="pct"/>
                  <w:vAlign w:val="center"/>
                </w:tcPr>
                <w:p w14:paraId="267F696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治理措施</w:t>
                  </w:r>
                </w:p>
              </w:tc>
            </w:tr>
            <w:tr w14:paraId="0794D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Merge w:val="restart"/>
                  <w:vAlign w:val="center"/>
                </w:tcPr>
                <w:p w14:paraId="07F5358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有组织</w:t>
                  </w:r>
                </w:p>
              </w:tc>
              <w:tc>
                <w:tcPr>
                  <w:tcW w:w="873" w:type="pct"/>
                  <w:vMerge w:val="restart"/>
                  <w:vAlign w:val="center"/>
                </w:tcPr>
                <w:p w14:paraId="38BE0F1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color w:val="auto"/>
                      <w:kern w:val="0"/>
                      <w:sz w:val="21"/>
                    </w:rPr>
                    <w:t>燃气蒸汽发生器</w:t>
                  </w:r>
                </w:p>
              </w:tc>
              <w:tc>
                <w:tcPr>
                  <w:tcW w:w="880" w:type="pct"/>
                  <w:vAlign w:val="center"/>
                </w:tcPr>
                <w:p w14:paraId="57C3263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NO</w:t>
                  </w:r>
                  <w:r>
                    <w:rPr>
                      <w:rFonts w:hint="default" w:ascii="Times New Roman" w:hAnsi="Times New Roman" w:eastAsia="仿宋_GB2312" w:cs="Times New Roman"/>
                      <w:bCs/>
                      <w:color w:val="auto"/>
                      <w:sz w:val="21"/>
                      <w:vertAlign w:val="subscript"/>
                    </w:rPr>
                    <w:t>X</w:t>
                  </w:r>
                </w:p>
              </w:tc>
              <w:tc>
                <w:tcPr>
                  <w:tcW w:w="770" w:type="pct"/>
                  <w:vAlign w:val="center"/>
                </w:tcPr>
                <w:p w14:paraId="3370DDC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0.02</w:t>
                  </w:r>
                </w:p>
              </w:tc>
              <w:tc>
                <w:tcPr>
                  <w:tcW w:w="1422" w:type="pct"/>
                  <w:vMerge w:val="restart"/>
                  <w:vAlign w:val="center"/>
                </w:tcPr>
                <w:p w14:paraId="56B4874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经15米高排气筒（DA003）排放</w:t>
                  </w:r>
                </w:p>
              </w:tc>
            </w:tr>
            <w:tr w14:paraId="1F4FA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Merge w:val="continue"/>
                  <w:vAlign w:val="center"/>
                </w:tcPr>
                <w:p w14:paraId="693ADBD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73" w:type="pct"/>
                  <w:vMerge w:val="continue"/>
                  <w:vAlign w:val="center"/>
                </w:tcPr>
                <w:p w14:paraId="1D715E8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80" w:type="pct"/>
                  <w:vAlign w:val="center"/>
                </w:tcPr>
                <w:p w14:paraId="6C2BC65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SO</w:t>
                  </w:r>
                  <w:r>
                    <w:rPr>
                      <w:rFonts w:hint="default" w:ascii="Times New Roman" w:hAnsi="Times New Roman" w:eastAsia="仿宋_GB2312" w:cs="Times New Roman"/>
                      <w:bCs/>
                      <w:color w:val="auto"/>
                      <w:sz w:val="21"/>
                      <w:vertAlign w:val="subscript"/>
                    </w:rPr>
                    <w:t>2</w:t>
                  </w:r>
                </w:p>
              </w:tc>
              <w:tc>
                <w:tcPr>
                  <w:tcW w:w="770" w:type="pct"/>
                  <w:vAlign w:val="center"/>
                </w:tcPr>
                <w:p w14:paraId="2CA51B1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0.002</w:t>
                  </w:r>
                </w:p>
              </w:tc>
              <w:tc>
                <w:tcPr>
                  <w:tcW w:w="1422" w:type="pct"/>
                  <w:vMerge w:val="continue"/>
                  <w:vAlign w:val="center"/>
                </w:tcPr>
                <w:p w14:paraId="3308769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6E748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1052" w:type="pct"/>
                  <w:vMerge w:val="continue"/>
                  <w:vAlign w:val="center"/>
                </w:tcPr>
                <w:p w14:paraId="53A63A3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73" w:type="pct"/>
                  <w:vMerge w:val="continue"/>
                  <w:vAlign w:val="center"/>
                </w:tcPr>
                <w:p w14:paraId="25DD103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80" w:type="pct"/>
                  <w:vAlign w:val="center"/>
                </w:tcPr>
                <w:p w14:paraId="710CA6D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颗粒物</w:t>
                  </w:r>
                </w:p>
              </w:tc>
              <w:tc>
                <w:tcPr>
                  <w:tcW w:w="770" w:type="pct"/>
                  <w:vAlign w:val="center"/>
                </w:tcPr>
                <w:p w14:paraId="1690C94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0.004</w:t>
                  </w:r>
                </w:p>
              </w:tc>
              <w:tc>
                <w:tcPr>
                  <w:tcW w:w="1422" w:type="pct"/>
                  <w:vMerge w:val="continue"/>
                  <w:vAlign w:val="center"/>
                </w:tcPr>
                <w:p w14:paraId="334F5D4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bl>
          <w:p w14:paraId="4A89E690">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bCs/>
                <w:color w:val="auto"/>
                <w:sz w:val="24"/>
              </w:rPr>
            </w:pPr>
            <w:r>
              <w:rPr>
                <w:rFonts w:hint="default" w:eastAsia="仿宋_GB2312"/>
                <w:b/>
                <w:bCs/>
                <w:color w:val="auto"/>
                <w:sz w:val="24"/>
              </w:rPr>
              <w:t>2、废水</w:t>
            </w:r>
          </w:p>
          <w:p w14:paraId="66BB832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fldChar w:fldCharType="begin"/>
            </w:r>
            <w:r>
              <w:rPr>
                <w:rFonts w:hint="default" w:eastAsia="仿宋_GB2312"/>
                <w:bCs/>
                <w:color w:val="auto"/>
                <w:sz w:val="24"/>
              </w:rPr>
              <w:instrText xml:space="preserve"> = 1 \* GB3 </w:instrText>
            </w:r>
            <w:r>
              <w:rPr>
                <w:rFonts w:hint="default" w:eastAsia="仿宋_GB2312"/>
                <w:bCs/>
                <w:color w:val="auto"/>
                <w:sz w:val="24"/>
              </w:rPr>
              <w:fldChar w:fldCharType="separate"/>
            </w:r>
            <w:r>
              <w:rPr>
                <w:rFonts w:hint="default" w:eastAsia="仿宋_GB2312"/>
                <w:bCs/>
                <w:color w:val="auto"/>
                <w:sz w:val="24"/>
              </w:rPr>
              <w:t>①</w:t>
            </w:r>
            <w:r>
              <w:rPr>
                <w:rFonts w:hint="default" w:eastAsia="仿宋_GB2312"/>
                <w:bCs/>
                <w:color w:val="auto"/>
                <w:sz w:val="24"/>
              </w:rPr>
              <w:fldChar w:fldCharType="end"/>
            </w:r>
            <w:r>
              <w:rPr>
                <w:rFonts w:hint="default" w:eastAsia="仿宋_GB2312"/>
                <w:bCs/>
                <w:color w:val="auto"/>
                <w:sz w:val="24"/>
              </w:rPr>
              <w:t>生活污水</w:t>
            </w:r>
          </w:p>
          <w:p w14:paraId="38AD3461">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eastAsia" w:eastAsia="仿宋_GB2312"/>
                <w:bCs/>
                <w:color w:val="auto"/>
                <w:sz w:val="24"/>
              </w:rPr>
              <w:t>本项目员工32人，每个员工用水量以</w:t>
            </w:r>
            <w:r>
              <w:rPr>
                <w:rFonts w:hint="default" w:eastAsia="仿宋_GB2312"/>
                <w:bCs/>
                <w:color w:val="auto"/>
                <w:sz w:val="24"/>
              </w:rPr>
              <w:t>1</w:t>
            </w:r>
            <w:r>
              <w:rPr>
                <w:rFonts w:hint="eastAsia" w:eastAsia="仿宋_GB2312"/>
                <w:bCs/>
                <w:color w:val="auto"/>
                <w:sz w:val="24"/>
              </w:rPr>
              <w:t>2</w:t>
            </w:r>
            <w:r>
              <w:rPr>
                <w:rFonts w:hint="default" w:eastAsia="仿宋_GB2312"/>
                <w:bCs/>
                <w:color w:val="auto"/>
                <w:sz w:val="24"/>
              </w:rPr>
              <w:t>0</w:t>
            </w:r>
            <w:r>
              <w:rPr>
                <w:rFonts w:hint="eastAsia" w:eastAsia="仿宋_GB2312"/>
                <w:bCs/>
                <w:color w:val="auto"/>
                <w:sz w:val="24"/>
              </w:rPr>
              <w:t>L/d计。每年工作300天，则用水量为1152m</w:t>
            </w:r>
            <w:r>
              <w:rPr>
                <w:rFonts w:hint="default" w:eastAsia="仿宋_GB2312"/>
                <w:bCs/>
                <w:color w:val="auto"/>
                <w:sz w:val="24"/>
                <w:vertAlign w:val="superscript"/>
              </w:rPr>
              <w:t>3</w:t>
            </w:r>
            <w:r>
              <w:rPr>
                <w:rFonts w:hint="eastAsia" w:eastAsia="仿宋_GB2312"/>
                <w:bCs/>
                <w:color w:val="auto"/>
                <w:sz w:val="24"/>
              </w:rPr>
              <w:t>/a，本项目生活污水新增量约为1012m</w:t>
            </w:r>
            <w:r>
              <w:rPr>
                <w:rFonts w:hint="default" w:eastAsia="仿宋_GB2312"/>
                <w:bCs/>
                <w:color w:val="auto"/>
                <w:sz w:val="24"/>
                <w:vertAlign w:val="superscript"/>
              </w:rPr>
              <w:t>3</w:t>
            </w:r>
            <w:r>
              <w:rPr>
                <w:rFonts w:hint="eastAsia" w:eastAsia="仿宋_GB2312"/>
                <w:bCs/>
                <w:color w:val="auto"/>
                <w:sz w:val="24"/>
              </w:rPr>
              <w:t>/a。</w:t>
            </w:r>
          </w:p>
          <w:p w14:paraId="488C7451">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bookmarkStart w:id="27" w:name="_Ref400724373"/>
            <w:r>
              <w:rPr>
                <w:rFonts w:hint="eastAsia" w:eastAsia="仿宋_GB2312"/>
                <w:b/>
                <w:color w:val="auto"/>
                <w:sz w:val="22"/>
                <w:szCs w:val="22"/>
              </w:rPr>
              <w:t>表</w:t>
            </w:r>
            <w:bookmarkEnd w:id="27"/>
            <w:r>
              <w:rPr>
                <w:rFonts w:hint="eastAsia" w:eastAsia="仿宋_GB2312"/>
                <w:b/>
                <w:color w:val="auto"/>
                <w:sz w:val="22"/>
                <w:szCs w:val="22"/>
                <w:lang w:val="en-US" w:eastAsia="zh-CN"/>
              </w:rPr>
              <w:t>2-38</w:t>
            </w:r>
            <w:r>
              <w:rPr>
                <w:rFonts w:hint="default" w:eastAsia="仿宋_GB2312"/>
                <w:b/>
                <w:color w:val="auto"/>
                <w:sz w:val="22"/>
                <w:szCs w:val="22"/>
              </w:rPr>
              <w:t xml:space="preserve">    </w:t>
            </w:r>
            <w:r>
              <w:rPr>
                <w:rFonts w:hint="eastAsia" w:eastAsia="仿宋_GB2312"/>
                <w:b/>
                <w:color w:val="auto"/>
                <w:sz w:val="22"/>
                <w:szCs w:val="22"/>
              </w:rPr>
              <w:t>本项目生活污水产生情况表</w:t>
            </w:r>
          </w:p>
          <w:tbl>
            <w:tblPr>
              <w:tblStyle w:val="16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088"/>
              <w:gridCol w:w="1755"/>
              <w:gridCol w:w="1346"/>
              <w:gridCol w:w="1231"/>
              <w:gridCol w:w="1751"/>
            </w:tblGrid>
            <w:tr w14:paraId="32FA4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restart"/>
                  <w:noWrap/>
                  <w:vAlign w:val="center"/>
                </w:tcPr>
                <w:p w14:paraId="2864A7E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bookmarkStart w:id="28" w:name="OLE_LINK41"/>
                  <w:r>
                    <w:rPr>
                      <w:rFonts w:hint="eastAsia" w:ascii="Times New Roman" w:hAnsi="Times New Roman"/>
                      <w:b/>
                      <w:color w:val="auto"/>
                      <w:szCs w:val="21"/>
                    </w:rPr>
                    <w:t>废水名称</w:t>
                  </w:r>
                </w:p>
              </w:tc>
              <w:tc>
                <w:tcPr>
                  <w:tcW w:w="646" w:type="pct"/>
                  <w:vMerge w:val="restart"/>
                  <w:vAlign w:val="center"/>
                </w:tcPr>
                <w:p w14:paraId="6175C42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废水量(m</w:t>
                  </w:r>
                  <w:r>
                    <w:rPr>
                      <w:rFonts w:hint="eastAsia" w:ascii="Times New Roman" w:hAnsi="Times New Roman"/>
                      <w:b/>
                      <w:color w:val="auto"/>
                      <w:szCs w:val="21"/>
                      <w:vertAlign w:val="superscript"/>
                    </w:rPr>
                    <w:t>3</w:t>
                  </w:r>
                  <w:r>
                    <w:rPr>
                      <w:rFonts w:hint="eastAsia" w:ascii="Times New Roman" w:hAnsi="Times New Roman"/>
                      <w:b/>
                      <w:color w:val="auto"/>
                      <w:szCs w:val="21"/>
                    </w:rPr>
                    <w:t>/a)</w:t>
                  </w:r>
                </w:p>
              </w:tc>
              <w:tc>
                <w:tcPr>
                  <w:tcW w:w="1042" w:type="pct"/>
                  <w:vMerge w:val="restart"/>
                  <w:vAlign w:val="center"/>
                </w:tcPr>
                <w:p w14:paraId="453921D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污染物名称</w:t>
                  </w:r>
                </w:p>
              </w:tc>
              <w:tc>
                <w:tcPr>
                  <w:tcW w:w="1530" w:type="pct"/>
                  <w:gridSpan w:val="2"/>
                  <w:vAlign w:val="center"/>
                </w:tcPr>
                <w:p w14:paraId="7118BAF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产生情况</w:t>
                  </w:r>
                </w:p>
              </w:tc>
              <w:tc>
                <w:tcPr>
                  <w:tcW w:w="1039" w:type="pct"/>
                  <w:vMerge w:val="restart"/>
                  <w:vAlign w:val="center"/>
                </w:tcPr>
                <w:p w14:paraId="387827B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排放去向</w:t>
                  </w:r>
                </w:p>
              </w:tc>
            </w:tr>
            <w:tr w14:paraId="75396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continue"/>
                  <w:noWrap/>
                  <w:vAlign w:val="center"/>
                </w:tcPr>
                <w:p w14:paraId="455D067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p>
              </w:tc>
              <w:tc>
                <w:tcPr>
                  <w:tcW w:w="646" w:type="pct"/>
                  <w:vMerge w:val="continue"/>
                  <w:vAlign w:val="center"/>
                </w:tcPr>
                <w:p w14:paraId="63A50EB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p>
              </w:tc>
              <w:tc>
                <w:tcPr>
                  <w:tcW w:w="1042" w:type="pct"/>
                  <w:vMerge w:val="continue"/>
                  <w:vAlign w:val="center"/>
                </w:tcPr>
                <w:p w14:paraId="4F5BA1E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p>
              </w:tc>
              <w:tc>
                <w:tcPr>
                  <w:tcW w:w="799" w:type="pct"/>
                  <w:vAlign w:val="center"/>
                </w:tcPr>
                <w:p w14:paraId="102E644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浓度(mg/L)</w:t>
                  </w:r>
                </w:p>
              </w:tc>
              <w:tc>
                <w:tcPr>
                  <w:tcW w:w="730" w:type="pct"/>
                  <w:vAlign w:val="center"/>
                </w:tcPr>
                <w:p w14:paraId="2A8D0F3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产生量(t/a)</w:t>
                  </w:r>
                </w:p>
              </w:tc>
              <w:tc>
                <w:tcPr>
                  <w:tcW w:w="1039" w:type="pct"/>
                  <w:vMerge w:val="continue"/>
                  <w:vAlign w:val="center"/>
                </w:tcPr>
                <w:p w14:paraId="69BE134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p>
              </w:tc>
            </w:tr>
            <w:tr w14:paraId="37346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restart"/>
                  <w:vAlign w:val="center"/>
                </w:tcPr>
                <w:p w14:paraId="333441B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生活污水</w:t>
                  </w:r>
                </w:p>
              </w:tc>
              <w:tc>
                <w:tcPr>
                  <w:tcW w:w="646" w:type="pct"/>
                  <w:vMerge w:val="restart"/>
                  <w:vAlign w:val="center"/>
                </w:tcPr>
                <w:p w14:paraId="2417C74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lang w:val="en-US"/>
                    </w:rPr>
                  </w:pPr>
                  <w:r>
                    <w:rPr>
                      <w:rFonts w:hint="eastAsia" w:ascii="Times New Roman" w:hAnsi="Times New Roman"/>
                      <w:color w:val="auto"/>
                      <w:szCs w:val="21"/>
                      <w:lang w:val="en-US"/>
                    </w:rPr>
                    <w:t>1012</w:t>
                  </w:r>
                </w:p>
              </w:tc>
              <w:tc>
                <w:tcPr>
                  <w:tcW w:w="1042" w:type="pct"/>
                  <w:noWrap/>
                  <w:vAlign w:val="center"/>
                </w:tcPr>
                <w:p w14:paraId="4E16222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COD</w:t>
                  </w:r>
                </w:p>
              </w:tc>
              <w:tc>
                <w:tcPr>
                  <w:tcW w:w="799" w:type="pct"/>
                  <w:noWrap/>
                  <w:vAlign w:val="center"/>
                </w:tcPr>
                <w:p w14:paraId="6A27033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400</w:t>
                  </w:r>
                </w:p>
              </w:tc>
              <w:tc>
                <w:tcPr>
                  <w:tcW w:w="730" w:type="pct"/>
                  <w:noWrap/>
                  <w:vAlign w:val="center"/>
                </w:tcPr>
                <w:p w14:paraId="2E6050F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0.4</w:t>
                  </w:r>
                  <w:r>
                    <w:rPr>
                      <w:rFonts w:hint="default" w:ascii="Times New Roman" w:hAnsi="Times New Roman"/>
                      <w:color w:val="auto"/>
                      <w:szCs w:val="21"/>
                      <w:lang w:val="en-US"/>
                    </w:rPr>
                    <w:t xml:space="preserve"> </w:t>
                  </w:r>
                </w:p>
              </w:tc>
              <w:tc>
                <w:tcPr>
                  <w:tcW w:w="1039" w:type="pct"/>
                  <w:vMerge w:val="restart"/>
                  <w:vAlign w:val="center"/>
                </w:tcPr>
                <w:p w14:paraId="39DFC32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接管至金坛第二污水厂</w:t>
                  </w:r>
                </w:p>
              </w:tc>
            </w:tr>
            <w:tr w14:paraId="1F192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continue"/>
                  <w:vAlign w:val="center"/>
                </w:tcPr>
                <w:p w14:paraId="1D5F3BC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646" w:type="pct"/>
                  <w:vMerge w:val="continue"/>
                  <w:vAlign w:val="center"/>
                </w:tcPr>
                <w:p w14:paraId="1B17480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042" w:type="pct"/>
                  <w:noWrap/>
                  <w:vAlign w:val="center"/>
                </w:tcPr>
                <w:p w14:paraId="6436EC2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SS</w:t>
                  </w:r>
                </w:p>
              </w:tc>
              <w:tc>
                <w:tcPr>
                  <w:tcW w:w="799" w:type="pct"/>
                  <w:noWrap/>
                  <w:vAlign w:val="center"/>
                </w:tcPr>
                <w:p w14:paraId="209363A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200</w:t>
                  </w:r>
                </w:p>
              </w:tc>
              <w:tc>
                <w:tcPr>
                  <w:tcW w:w="730" w:type="pct"/>
                  <w:noWrap/>
                  <w:vAlign w:val="center"/>
                </w:tcPr>
                <w:p w14:paraId="4BB582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0.2</w:t>
                  </w:r>
                </w:p>
              </w:tc>
              <w:tc>
                <w:tcPr>
                  <w:tcW w:w="1039" w:type="pct"/>
                  <w:vMerge w:val="continue"/>
                  <w:vAlign w:val="center"/>
                </w:tcPr>
                <w:p w14:paraId="4EA924F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5E11B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continue"/>
                  <w:vAlign w:val="center"/>
                </w:tcPr>
                <w:p w14:paraId="19F580F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646" w:type="pct"/>
                  <w:vMerge w:val="continue"/>
                  <w:vAlign w:val="center"/>
                </w:tcPr>
                <w:p w14:paraId="589BAD2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042" w:type="pct"/>
                  <w:noWrap/>
                  <w:vAlign w:val="center"/>
                </w:tcPr>
                <w:p w14:paraId="593F574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NH</w:t>
                  </w:r>
                  <w:r>
                    <w:rPr>
                      <w:rFonts w:hint="eastAsia" w:ascii="Times New Roman" w:hAnsi="Times New Roman"/>
                      <w:color w:val="auto"/>
                      <w:szCs w:val="21"/>
                      <w:vertAlign w:val="subscript"/>
                    </w:rPr>
                    <w:t>3</w:t>
                  </w:r>
                  <w:r>
                    <w:rPr>
                      <w:rFonts w:hint="eastAsia" w:ascii="Times New Roman" w:hAnsi="Times New Roman"/>
                      <w:color w:val="auto"/>
                      <w:szCs w:val="21"/>
                    </w:rPr>
                    <w:t>-N</w:t>
                  </w:r>
                </w:p>
              </w:tc>
              <w:tc>
                <w:tcPr>
                  <w:tcW w:w="799" w:type="pct"/>
                  <w:noWrap/>
                  <w:vAlign w:val="center"/>
                </w:tcPr>
                <w:p w14:paraId="71EE883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30</w:t>
                  </w:r>
                </w:p>
              </w:tc>
              <w:tc>
                <w:tcPr>
                  <w:tcW w:w="730" w:type="pct"/>
                  <w:noWrap/>
                  <w:vAlign w:val="center"/>
                </w:tcPr>
                <w:p w14:paraId="4C0B708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szCs w:val="21"/>
                      <w:lang w:val="en-US"/>
                    </w:rPr>
                    <w:t>0.0</w:t>
                  </w:r>
                  <w:r>
                    <w:rPr>
                      <w:rFonts w:hint="eastAsia" w:ascii="Times New Roman" w:hAnsi="Times New Roman"/>
                      <w:color w:val="auto"/>
                      <w:szCs w:val="21"/>
                      <w:lang w:val="en-US"/>
                    </w:rPr>
                    <w:t>3</w:t>
                  </w:r>
                  <w:r>
                    <w:rPr>
                      <w:rFonts w:hint="default" w:ascii="Times New Roman" w:hAnsi="Times New Roman"/>
                      <w:color w:val="auto"/>
                      <w:szCs w:val="21"/>
                      <w:lang w:val="en-US"/>
                    </w:rPr>
                    <w:t xml:space="preserve"> </w:t>
                  </w:r>
                </w:p>
              </w:tc>
              <w:tc>
                <w:tcPr>
                  <w:tcW w:w="1039" w:type="pct"/>
                  <w:vMerge w:val="continue"/>
                  <w:vAlign w:val="center"/>
                </w:tcPr>
                <w:p w14:paraId="2BEE352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51CCF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continue"/>
                  <w:vAlign w:val="center"/>
                </w:tcPr>
                <w:p w14:paraId="28779ED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646" w:type="pct"/>
                  <w:vMerge w:val="continue"/>
                  <w:vAlign w:val="center"/>
                </w:tcPr>
                <w:p w14:paraId="24F86DD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042" w:type="pct"/>
                  <w:noWrap/>
                  <w:vAlign w:val="center"/>
                </w:tcPr>
                <w:p w14:paraId="11C7AAF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TN</w:t>
                  </w:r>
                </w:p>
              </w:tc>
              <w:tc>
                <w:tcPr>
                  <w:tcW w:w="799" w:type="pct"/>
                  <w:noWrap/>
                  <w:vAlign w:val="center"/>
                </w:tcPr>
                <w:p w14:paraId="7C795E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45</w:t>
                  </w:r>
                </w:p>
              </w:tc>
              <w:tc>
                <w:tcPr>
                  <w:tcW w:w="730" w:type="pct"/>
                  <w:noWrap/>
                  <w:vAlign w:val="center"/>
                </w:tcPr>
                <w:p w14:paraId="741D5D3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szCs w:val="21"/>
                      <w:lang w:val="en-US"/>
                    </w:rPr>
                    <w:t>0.0</w:t>
                  </w:r>
                  <w:r>
                    <w:rPr>
                      <w:rFonts w:hint="eastAsia" w:ascii="Times New Roman" w:hAnsi="Times New Roman"/>
                      <w:color w:val="auto"/>
                      <w:szCs w:val="21"/>
                      <w:lang w:val="en-US"/>
                    </w:rPr>
                    <w:t>5</w:t>
                  </w:r>
                  <w:r>
                    <w:rPr>
                      <w:rFonts w:hint="default" w:ascii="Times New Roman" w:hAnsi="Times New Roman"/>
                      <w:color w:val="auto"/>
                      <w:szCs w:val="21"/>
                      <w:lang w:val="en-US"/>
                    </w:rPr>
                    <w:t xml:space="preserve"> </w:t>
                  </w:r>
                </w:p>
              </w:tc>
              <w:tc>
                <w:tcPr>
                  <w:tcW w:w="1039" w:type="pct"/>
                  <w:vMerge w:val="continue"/>
                  <w:vAlign w:val="center"/>
                </w:tcPr>
                <w:p w14:paraId="24671AA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198B0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continue"/>
                  <w:vAlign w:val="center"/>
                </w:tcPr>
                <w:p w14:paraId="136AABE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646" w:type="pct"/>
                  <w:vMerge w:val="continue"/>
                  <w:vAlign w:val="center"/>
                </w:tcPr>
                <w:p w14:paraId="44364B6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042" w:type="pct"/>
                  <w:noWrap/>
                  <w:vAlign w:val="center"/>
                </w:tcPr>
                <w:p w14:paraId="4F601DB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TP</w:t>
                  </w:r>
                </w:p>
              </w:tc>
              <w:tc>
                <w:tcPr>
                  <w:tcW w:w="799" w:type="pct"/>
                  <w:noWrap/>
                  <w:vAlign w:val="center"/>
                </w:tcPr>
                <w:p w14:paraId="5A2C8FE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lang w:val="en-US"/>
                    </w:rPr>
                    <w:t>2</w:t>
                  </w:r>
                </w:p>
              </w:tc>
              <w:tc>
                <w:tcPr>
                  <w:tcW w:w="730" w:type="pct"/>
                  <w:noWrap/>
                  <w:vAlign w:val="center"/>
                </w:tcPr>
                <w:p w14:paraId="4B741E3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szCs w:val="21"/>
                      <w:lang w:val="en-US"/>
                    </w:rPr>
                    <w:t>0.00</w:t>
                  </w:r>
                  <w:r>
                    <w:rPr>
                      <w:rFonts w:hint="eastAsia" w:ascii="Times New Roman" w:hAnsi="Times New Roman"/>
                      <w:color w:val="auto"/>
                      <w:szCs w:val="21"/>
                      <w:lang w:val="en-US"/>
                    </w:rPr>
                    <w:t>2</w:t>
                  </w:r>
                </w:p>
              </w:tc>
              <w:tc>
                <w:tcPr>
                  <w:tcW w:w="1039" w:type="pct"/>
                  <w:vMerge w:val="continue"/>
                  <w:vAlign w:val="center"/>
                </w:tcPr>
                <w:p w14:paraId="276A809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72A43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0" w:type="pct"/>
                  <w:vMerge w:val="continue"/>
                  <w:vAlign w:val="center"/>
                </w:tcPr>
                <w:p w14:paraId="7ED66FA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646" w:type="pct"/>
                  <w:vMerge w:val="continue"/>
                  <w:vAlign w:val="center"/>
                </w:tcPr>
                <w:p w14:paraId="0E906D9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042" w:type="pct"/>
                  <w:noWrap/>
                  <w:vAlign w:val="center"/>
                </w:tcPr>
                <w:p w14:paraId="01B0981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盐分</w:t>
                  </w:r>
                </w:p>
              </w:tc>
              <w:tc>
                <w:tcPr>
                  <w:tcW w:w="799" w:type="pct"/>
                  <w:noWrap/>
                  <w:vAlign w:val="center"/>
                </w:tcPr>
                <w:p w14:paraId="55A035B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szCs w:val="21"/>
                    </w:rPr>
                    <w:t>5</w:t>
                  </w:r>
                  <w:r>
                    <w:rPr>
                      <w:rFonts w:hint="eastAsia" w:ascii="Times New Roman" w:hAnsi="Times New Roman"/>
                      <w:color w:val="auto"/>
                      <w:szCs w:val="21"/>
                    </w:rPr>
                    <w:t>00</w:t>
                  </w:r>
                </w:p>
              </w:tc>
              <w:tc>
                <w:tcPr>
                  <w:tcW w:w="730" w:type="pct"/>
                  <w:noWrap/>
                  <w:vAlign w:val="center"/>
                </w:tcPr>
                <w:p w14:paraId="5E7DA79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szCs w:val="21"/>
                      <w:lang w:val="en-US"/>
                    </w:rPr>
                    <w:t>0.</w:t>
                  </w:r>
                  <w:r>
                    <w:rPr>
                      <w:rFonts w:hint="eastAsia" w:ascii="Times New Roman" w:hAnsi="Times New Roman"/>
                      <w:color w:val="auto"/>
                      <w:szCs w:val="21"/>
                      <w:lang w:val="en-US"/>
                    </w:rPr>
                    <w:t>5</w:t>
                  </w:r>
                  <w:r>
                    <w:rPr>
                      <w:rFonts w:hint="default" w:ascii="Times New Roman" w:hAnsi="Times New Roman"/>
                      <w:color w:val="auto"/>
                      <w:szCs w:val="21"/>
                      <w:lang w:val="en-US"/>
                    </w:rPr>
                    <w:t xml:space="preserve">1 </w:t>
                  </w:r>
                </w:p>
              </w:tc>
              <w:tc>
                <w:tcPr>
                  <w:tcW w:w="1039" w:type="pct"/>
                  <w:vMerge w:val="continue"/>
                  <w:vAlign w:val="center"/>
                </w:tcPr>
                <w:p w14:paraId="1D40B9C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bookmarkEnd w:id="28"/>
          </w:tbl>
          <w:p w14:paraId="2A89B5A7">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fldChar w:fldCharType="begin"/>
            </w:r>
            <w:r>
              <w:rPr>
                <w:rFonts w:hint="default" w:eastAsia="仿宋_GB2312"/>
                <w:bCs/>
                <w:color w:val="auto"/>
                <w:sz w:val="24"/>
              </w:rPr>
              <w:instrText xml:space="preserve"> = 2 \* GB3 </w:instrText>
            </w:r>
            <w:r>
              <w:rPr>
                <w:rFonts w:hint="default" w:eastAsia="仿宋_GB2312"/>
                <w:bCs/>
                <w:color w:val="auto"/>
                <w:sz w:val="24"/>
              </w:rPr>
              <w:fldChar w:fldCharType="separate"/>
            </w:r>
            <w:r>
              <w:rPr>
                <w:rFonts w:hint="default"/>
                <w:bCs/>
                <w:color w:val="auto"/>
                <w:sz w:val="24"/>
              </w:rPr>
              <w:t>②</w:t>
            </w:r>
            <w:r>
              <w:rPr>
                <w:rFonts w:hint="default" w:eastAsia="仿宋_GB2312"/>
                <w:bCs/>
                <w:color w:val="auto"/>
                <w:sz w:val="24"/>
              </w:rPr>
              <w:fldChar w:fldCharType="end"/>
            </w:r>
            <w:r>
              <w:rPr>
                <w:rFonts w:hint="default" w:eastAsia="仿宋_GB2312"/>
                <w:bCs/>
                <w:color w:val="auto"/>
                <w:sz w:val="24"/>
              </w:rPr>
              <w:t>纯水制备排水</w:t>
            </w:r>
          </w:p>
          <w:p w14:paraId="1CC9E9E5">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项目建成后所需纯水量为</w:t>
            </w:r>
            <w:r>
              <w:rPr>
                <w:rFonts w:hint="eastAsia" w:eastAsia="仿宋_GB2312"/>
                <w:b w:val="0"/>
                <w:bCs w:val="0"/>
                <w:color w:val="auto"/>
                <w:sz w:val="24"/>
                <w:highlight w:val="none"/>
                <w:lang w:val="en-US" w:eastAsia="zh-CN"/>
              </w:rPr>
              <w:t>637.124</w:t>
            </w:r>
            <w:r>
              <w:rPr>
                <w:rFonts w:hint="eastAsia" w:eastAsia="仿宋_GB2312"/>
                <w:color w:val="auto"/>
                <w:sz w:val="24"/>
              </w:rPr>
              <w:t>t</w:t>
            </w:r>
            <w:r>
              <w:rPr>
                <w:rFonts w:hint="default" w:eastAsia="仿宋_GB2312"/>
                <w:color w:val="auto"/>
                <w:sz w:val="24"/>
              </w:rPr>
              <w:t>/</w:t>
            </w:r>
            <w:r>
              <w:rPr>
                <w:rFonts w:hint="eastAsia" w:eastAsia="仿宋_GB2312"/>
                <w:color w:val="auto"/>
                <w:sz w:val="24"/>
              </w:rPr>
              <w:t>a。制水过程中会产生浓水，本项目纯水制备过程中产生浓水情况见下表。</w:t>
            </w:r>
          </w:p>
          <w:p w14:paraId="109159DA">
            <w:pPr>
              <w:keepNext w:val="0"/>
              <w:keepLines w:val="0"/>
              <w:suppressLineNumbers w:val="0"/>
              <w:adjustRightInd w:val="0"/>
              <w:snapToGrid w:val="0"/>
              <w:spacing w:before="0" w:beforeAutospacing="0" w:after="0" w:afterAutospacing="0" w:line="500" w:lineRule="exact"/>
              <w:ind w:left="0" w:right="0"/>
              <w:jc w:val="center"/>
              <w:rPr>
                <w:rFonts w:hint="eastAsia" w:eastAsia="仿宋_GB2312"/>
                <w:b/>
                <w:color w:val="auto"/>
                <w:sz w:val="22"/>
                <w:szCs w:val="22"/>
              </w:rPr>
            </w:pPr>
            <w:r>
              <w:rPr>
                <w:rFonts w:hint="eastAsia" w:eastAsia="仿宋_GB2312"/>
                <w:b/>
                <w:color w:val="auto"/>
                <w:sz w:val="22"/>
                <w:szCs w:val="22"/>
              </w:rPr>
              <w:t>表</w:t>
            </w:r>
            <w:r>
              <w:rPr>
                <w:rFonts w:hint="eastAsia" w:eastAsia="仿宋_GB2312"/>
                <w:b/>
                <w:color w:val="auto"/>
                <w:sz w:val="22"/>
                <w:szCs w:val="22"/>
                <w:lang w:val="en-US" w:eastAsia="zh-CN"/>
              </w:rPr>
              <w:t>2-39</w:t>
            </w:r>
            <w:r>
              <w:rPr>
                <w:rFonts w:hint="eastAsia" w:eastAsia="仿宋_GB2312"/>
                <w:b/>
                <w:color w:val="auto"/>
                <w:sz w:val="22"/>
                <w:szCs w:val="22"/>
              </w:rPr>
              <w:t xml:space="preserve">  本项目纯水制备过程中浓水产生情况表</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568"/>
              <w:gridCol w:w="817"/>
              <w:gridCol w:w="1116"/>
              <w:gridCol w:w="871"/>
              <w:gridCol w:w="1991"/>
            </w:tblGrid>
            <w:tr w14:paraId="39B34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5" w:type="dxa"/>
                  <w:vMerge w:val="restart"/>
                  <w:vAlign w:val="center"/>
                </w:tcPr>
                <w:p w14:paraId="79DC14D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废水名称</w:t>
                  </w:r>
                </w:p>
              </w:tc>
              <w:tc>
                <w:tcPr>
                  <w:tcW w:w="1568" w:type="dxa"/>
                  <w:vMerge w:val="restart"/>
                  <w:vAlign w:val="center"/>
                </w:tcPr>
                <w:p w14:paraId="0F90823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废水量（m</w:t>
                  </w:r>
                  <w:r>
                    <w:rPr>
                      <w:rFonts w:hint="default" w:ascii="Times New Roman" w:hAnsi="Times New Roman" w:eastAsia="仿宋_GB2312" w:cs="Times New Roman"/>
                      <w:b/>
                      <w:bCs/>
                      <w:color w:val="auto"/>
                      <w:sz w:val="21"/>
                      <w:vertAlign w:val="superscript"/>
                    </w:rPr>
                    <w:t>3</w:t>
                  </w:r>
                  <w:r>
                    <w:rPr>
                      <w:rFonts w:hint="default" w:ascii="Times New Roman" w:hAnsi="Times New Roman" w:eastAsia="仿宋_GB2312" w:cs="Times New Roman"/>
                      <w:b/>
                      <w:bCs/>
                      <w:color w:val="auto"/>
                      <w:sz w:val="21"/>
                    </w:rPr>
                    <w:t>/a）</w:t>
                  </w:r>
                </w:p>
              </w:tc>
              <w:tc>
                <w:tcPr>
                  <w:tcW w:w="817" w:type="dxa"/>
                  <w:vMerge w:val="restart"/>
                  <w:vAlign w:val="center"/>
                </w:tcPr>
                <w:p w14:paraId="3E7C60F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w:t>
                  </w:r>
                </w:p>
                <w:p w14:paraId="6FB5449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名称</w:t>
                  </w:r>
                </w:p>
              </w:tc>
              <w:tc>
                <w:tcPr>
                  <w:tcW w:w="1987" w:type="dxa"/>
                  <w:gridSpan w:val="2"/>
                  <w:vAlign w:val="center"/>
                </w:tcPr>
                <w:p w14:paraId="7B75AB1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产生情况</w:t>
                  </w:r>
                </w:p>
              </w:tc>
              <w:tc>
                <w:tcPr>
                  <w:tcW w:w="1991" w:type="dxa"/>
                  <w:vMerge w:val="restart"/>
                  <w:vAlign w:val="center"/>
                </w:tcPr>
                <w:p w14:paraId="1F83B98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排放去向</w:t>
                  </w:r>
                </w:p>
              </w:tc>
            </w:tr>
            <w:tr w14:paraId="30309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5" w:type="dxa"/>
                  <w:vMerge w:val="continue"/>
                  <w:vAlign w:val="center"/>
                </w:tcPr>
                <w:p w14:paraId="3B67119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1568" w:type="dxa"/>
                  <w:vMerge w:val="continue"/>
                  <w:vAlign w:val="center"/>
                </w:tcPr>
                <w:p w14:paraId="7D8996C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817" w:type="dxa"/>
                  <w:vMerge w:val="continue"/>
                  <w:vAlign w:val="center"/>
                </w:tcPr>
                <w:p w14:paraId="2A96BCF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1116" w:type="dxa"/>
                  <w:vAlign w:val="center"/>
                </w:tcPr>
                <w:p w14:paraId="3FF1B6B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浓度</w:t>
                  </w:r>
                </w:p>
                <w:p w14:paraId="57D980C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（mg/L）</w:t>
                  </w:r>
                </w:p>
              </w:tc>
              <w:tc>
                <w:tcPr>
                  <w:tcW w:w="871" w:type="dxa"/>
                  <w:vAlign w:val="center"/>
                </w:tcPr>
                <w:p w14:paraId="6626284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w:t>
                  </w:r>
                </w:p>
                <w:p w14:paraId="5067E32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（t/a）</w:t>
                  </w:r>
                </w:p>
              </w:tc>
              <w:tc>
                <w:tcPr>
                  <w:tcW w:w="1991" w:type="dxa"/>
                  <w:vMerge w:val="continue"/>
                  <w:vAlign w:val="center"/>
                </w:tcPr>
                <w:p w14:paraId="34C8E7F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r>
            <w:tr w14:paraId="4BE29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65" w:type="dxa"/>
                  <w:vMerge w:val="restart"/>
                  <w:vAlign w:val="center"/>
                </w:tcPr>
                <w:p w14:paraId="57F884D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纯水制备过程中产生浓水</w:t>
                  </w:r>
                </w:p>
              </w:tc>
              <w:tc>
                <w:tcPr>
                  <w:tcW w:w="1568" w:type="dxa"/>
                  <w:vMerge w:val="restart"/>
                  <w:vAlign w:val="center"/>
                </w:tcPr>
                <w:p w14:paraId="26E268A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b w:val="0"/>
                      <w:bCs w:val="0"/>
                      <w:color w:val="auto"/>
                      <w:sz w:val="21"/>
                      <w:highlight w:val="none"/>
                      <w:lang w:val="en-US" w:eastAsia="zh-CN"/>
                    </w:rPr>
                    <w:t>425</w:t>
                  </w:r>
                </w:p>
              </w:tc>
              <w:tc>
                <w:tcPr>
                  <w:tcW w:w="817" w:type="dxa"/>
                  <w:vAlign w:val="center"/>
                </w:tcPr>
                <w:p w14:paraId="4F765F6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1116" w:type="dxa"/>
                  <w:vAlign w:val="center"/>
                </w:tcPr>
                <w:p w14:paraId="0D4A15C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w:t>
                  </w:r>
                </w:p>
              </w:tc>
              <w:tc>
                <w:tcPr>
                  <w:tcW w:w="871" w:type="dxa"/>
                  <w:vAlign w:val="bottom"/>
                </w:tcPr>
                <w:p w14:paraId="0E6A86D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lang w:val="en-US" w:eastAsia="zh-CN"/>
                    </w:rPr>
                  </w:pPr>
                  <w:r>
                    <w:rPr>
                      <w:rFonts w:hint="default" w:ascii="Times New Roman" w:hAnsi="Times New Roman" w:eastAsia="仿宋_GB2312" w:cs="Times New Roman"/>
                      <w:b w:val="0"/>
                      <w:bCs w:val="0"/>
                      <w:color w:val="auto"/>
                      <w:kern w:val="0"/>
                      <w:sz w:val="21"/>
                    </w:rPr>
                    <w:t>0.0</w:t>
                  </w:r>
                  <w:r>
                    <w:rPr>
                      <w:rFonts w:hint="eastAsia" w:eastAsia="仿宋_GB2312" w:cs="Times New Roman"/>
                      <w:b w:val="0"/>
                      <w:bCs w:val="0"/>
                      <w:color w:val="auto"/>
                      <w:kern w:val="0"/>
                      <w:sz w:val="21"/>
                      <w:lang w:val="en-US" w:eastAsia="zh-CN"/>
                    </w:rPr>
                    <w:t>21</w:t>
                  </w:r>
                </w:p>
              </w:tc>
              <w:tc>
                <w:tcPr>
                  <w:tcW w:w="1991" w:type="dxa"/>
                  <w:vMerge w:val="restart"/>
                  <w:vAlign w:val="center"/>
                </w:tcPr>
                <w:p w14:paraId="0EDF394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接管至金坛第二污水厂</w:t>
                  </w:r>
                </w:p>
              </w:tc>
            </w:tr>
            <w:tr w14:paraId="16207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5" w:type="dxa"/>
                  <w:vMerge w:val="continue"/>
                  <w:vAlign w:val="center"/>
                </w:tcPr>
                <w:p w14:paraId="7F58C61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568" w:type="dxa"/>
                  <w:vMerge w:val="continue"/>
                  <w:vAlign w:val="center"/>
                </w:tcPr>
                <w:p w14:paraId="14C203A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17" w:type="dxa"/>
                  <w:vAlign w:val="center"/>
                </w:tcPr>
                <w:p w14:paraId="3159DAC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1116" w:type="dxa"/>
                  <w:vAlign w:val="center"/>
                </w:tcPr>
                <w:p w14:paraId="1AA75E6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w:t>
                  </w:r>
                </w:p>
              </w:tc>
              <w:tc>
                <w:tcPr>
                  <w:tcW w:w="871" w:type="dxa"/>
                  <w:vAlign w:val="bottom"/>
                </w:tcPr>
                <w:p w14:paraId="2761520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lang w:val="en-US" w:eastAsia="zh-CN"/>
                    </w:rPr>
                  </w:pPr>
                  <w:r>
                    <w:rPr>
                      <w:rFonts w:hint="default" w:ascii="Times New Roman" w:hAnsi="Times New Roman" w:eastAsia="仿宋_GB2312" w:cs="Times New Roman"/>
                      <w:b w:val="0"/>
                      <w:bCs w:val="0"/>
                      <w:color w:val="auto"/>
                      <w:kern w:val="0"/>
                      <w:sz w:val="21"/>
                    </w:rPr>
                    <w:t>0.0</w:t>
                  </w:r>
                  <w:r>
                    <w:rPr>
                      <w:rFonts w:hint="eastAsia" w:eastAsia="仿宋_GB2312" w:cs="Times New Roman"/>
                      <w:b w:val="0"/>
                      <w:bCs w:val="0"/>
                      <w:color w:val="auto"/>
                      <w:kern w:val="0"/>
                      <w:sz w:val="21"/>
                      <w:lang w:val="en-US" w:eastAsia="zh-CN"/>
                    </w:rPr>
                    <w:t>21</w:t>
                  </w:r>
                </w:p>
              </w:tc>
              <w:tc>
                <w:tcPr>
                  <w:tcW w:w="1991" w:type="dxa"/>
                  <w:vMerge w:val="continue"/>
                  <w:vAlign w:val="center"/>
                </w:tcPr>
                <w:p w14:paraId="11ADD54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F5B6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5" w:type="dxa"/>
                  <w:vMerge w:val="continue"/>
                  <w:vAlign w:val="center"/>
                </w:tcPr>
                <w:p w14:paraId="5FEB1D9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568" w:type="dxa"/>
                  <w:vMerge w:val="continue"/>
                  <w:vAlign w:val="center"/>
                </w:tcPr>
                <w:p w14:paraId="4AC6720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17" w:type="dxa"/>
                  <w:vAlign w:val="center"/>
                </w:tcPr>
                <w:p w14:paraId="71A97E3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1116" w:type="dxa"/>
                  <w:vAlign w:val="center"/>
                </w:tcPr>
                <w:p w14:paraId="18B5125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1000</w:t>
                  </w:r>
                </w:p>
              </w:tc>
              <w:tc>
                <w:tcPr>
                  <w:tcW w:w="871" w:type="dxa"/>
                  <w:vAlign w:val="bottom"/>
                </w:tcPr>
                <w:p w14:paraId="15485E0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lang w:val="en-US" w:eastAsia="zh-CN"/>
                    </w:rPr>
                  </w:pPr>
                  <w:r>
                    <w:rPr>
                      <w:rFonts w:hint="default" w:ascii="Times New Roman" w:hAnsi="Times New Roman" w:eastAsia="仿宋_GB2312" w:cs="Times New Roman"/>
                      <w:b w:val="0"/>
                      <w:bCs w:val="0"/>
                      <w:color w:val="auto"/>
                      <w:kern w:val="0"/>
                      <w:sz w:val="21"/>
                    </w:rPr>
                    <w:t>0.</w:t>
                  </w:r>
                  <w:r>
                    <w:rPr>
                      <w:rFonts w:hint="eastAsia" w:eastAsia="仿宋_GB2312" w:cs="Times New Roman"/>
                      <w:b w:val="0"/>
                      <w:bCs w:val="0"/>
                      <w:color w:val="auto"/>
                      <w:kern w:val="0"/>
                      <w:sz w:val="21"/>
                      <w:lang w:val="en-US" w:eastAsia="zh-CN"/>
                    </w:rPr>
                    <w:t>425</w:t>
                  </w:r>
                </w:p>
              </w:tc>
              <w:tc>
                <w:tcPr>
                  <w:tcW w:w="1991" w:type="dxa"/>
                  <w:vMerge w:val="continue"/>
                  <w:vAlign w:val="center"/>
                </w:tcPr>
                <w:p w14:paraId="1C08BD7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bl>
          <w:p w14:paraId="579E42EA">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fldChar w:fldCharType="begin"/>
            </w:r>
            <w:r>
              <w:rPr>
                <w:rFonts w:hint="default" w:eastAsia="仿宋_GB2312"/>
                <w:color w:val="auto"/>
                <w:sz w:val="24"/>
              </w:rPr>
              <w:instrText xml:space="preserve"> = 3 \* GB3 </w:instrText>
            </w:r>
            <w:r>
              <w:rPr>
                <w:rFonts w:hint="default" w:eastAsia="仿宋_GB2312"/>
                <w:color w:val="auto"/>
                <w:sz w:val="24"/>
              </w:rPr>
              <w:fldChar w:fldCharType="separate"/>
            </w:r>
            <w:r>
              <w:rPr>
                <w:rFonts w:hint="default" w:eastAsia="仿宋_GB2312"/>
                <w:color w:val="auto"/>
                <w:sz w:val="24"/>
              </w:rPr>
              <w:t>③</w:t>
            </w:r>
            <w:r>
              <w:rPr>
                <w:rFonts w:hint="default" w:eastAsia="仿宋_GB2312"/>
                <w:color w:val="auto"/>
                <w:sz w:val="24"/>
              </w:rPr>
              <w:fldChar w:fldCharType="end"/>
            </w:r>
            <w:r>
              <w:rPr>
                <w:rFonts w:hint="eastAsia" w:eastAsia="仿宋_GB2312"/>
                <w:color w:val="auto"/>
                <w:sz w:val="24"/>
              </w:rPr>
              <w:t>设备、地面清洗废水</w:t>
            </w:r>
          </w:p>
          <w:p w14:paraId="7CBCF5E0">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（1）设备清洗废水</w:t>
            </w:r>
          </w:p>
          <w:p w14:paraId="4C593364">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企业设置一座在线清洗站（CIP），每批次生产结束后除部分包装工段外，其他设备和器具均需要进行清洗，采用离心泵输送清洗水在物料管道和设备内进行强制循环清洗，全自动清洗，清洗采用纯水。</w:t>
            </w:r>
          </w:p>
          <w:p w14:paraId="41DA2EC4">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根据企业提供资料，食品用原料，保健食品粉生产线中，设备清洗用水为1.2m</w:t>
            </w:r>
            <w:r>
              <w:rPr>
                <w:rFonts w:hint="default" w:eastAsia="仿宋_GB2312"/>
                <w:color w:val="auto"/>
                <w:sz w:val="24"/>
                <w:vertAlign w:val="superscript"/>
              </w:rPr>
              <w:t>3</w:t>
            </w:r>
            <w:r>
              <w:rPr>
                <w:rFonts w:hint="default" w:eastAsia="仿宋_GB2312"/>
                <w:color w:val="auto"/>
                <w:sz w:val="24"/>
              </w:rPr>
              <w:t>/</w:t>
            </w:r>
            <w:r>
              <w:rPr>
                <w:rFonts w:hint="eastAsia" w:eastAsia="仿宋_GB2312"/>
                <w:color w:val="auto"/>
                <w:sz w:val="24"/>
              </w:rPr>
              <w:t>批。保健食品胶囊生产线中，设备清洗用水为0</w:t>
            </w:r>
            <w:r>
              <w:rPr>
                <w:rFonts w:hint="default" w:eastAsia="仿宋_GB2312"/>
                <w:color w:val="auto"/>
                <w:sz w:val="24"/>
              </w:rPr>
              <w:t>.2</w:t>
            </w:r>
            <w:r>
              <w:rPr>
                <w:rFonts w:hint="eastAsia" w:eastAsia="仿宋_GB2312"/>
                <w:color w:val="auto"/>
                <w:sz w:val="24"/>
              </w:rPr>
              <w:t>m</w:t>
            </w:r>
            <w:r>
              <w:rPr>
                <w:rFonts w:hint="default" w:eastAsia="仿宋_GB2312"/>
                <w:color w:val="auto"/>
                <w:sz w:val="24"/>
                <w:vertAlign w:val="superscript"/>
              </w:rPr>
              <w:t>3</w:t>
            </w:r>
            <w:r>
              <w:rPr>
                <w:rFonts w:hint="default" w:eastAsia="仿宋_GB2312"/>
                <w:color w:val="auto"/>
                <w:sz w:val="24"/>
              </w:rPr>
              <w:t>/</w:t>
            </w:r>
            <w:r>
              <w:rPr>
                <w:rFonts w:hint="eastAsia" w:eastAsia="仿宋_GB2312"/>
                <w:color w:val="auto"/>
                <w:sz w:val="24"/>
              </w:rPr>
              <w:t>批。总用水量为224m</w:t>
            </w:r>
            <w:r>
              <w:rPr>
                <w:rFonts w:hint="default" w:eastAsia="仿宋_GB2312"/>
                <w:color w:val="auto"/>
                <w:sz w:val="24"/>
                <w:vertAlign w:val="superscript"/>
              </w:rPr>
              <w:t>3</w:t>
            </w:r>
            <w:r>
              <w:rPr>
                <w:rFonts w:hint="default" w:eastAsia="仿宋_GB2312"/>
                <w:color w:val="auto"/>
                <w:sz w:val="24"/>
              </w:rPr>
              <w:t>/</w:t>
            </w:r>
            <w:r>
              <w:rPr>
                <w:rFonts w:hint="eastAsia" w:eastAsia="仿宋_GB2312"/>
                <w:color w:val="auto"/>
                <w:sz w:val="24"/>
              </w:rPr>
              <w:t>a，损耗按10%计，本项目总清洗废水约为202m</w:t>
            </w:r>
            <w:r>
              <w:rPr>
                <w:rFonts w:hint="default" w:eastAsia="仿宋_GB2312"/>
                <w:color w:val="auto"/>
                <w:sz w:val="24"/>
                <w:vertAlign w:val="superscript"/>
              </w:rPr>
              <w:t>3</w:t>
            </w:r>
            <w:r>
              <w:rPr>
                <w:rFonts w:hint="default" w:eastAsia="仿宋_GB2312"/>
                <w:color w:val="auto"/>
                <w:sz w:val="24"/>
              </w:rPr>
              <w:t>/</w:t>
            </w:r>
            <w:r>
              <w:rPr>
                <w:rFonts w:hint="eastAsia" w:eastAsia="仿宋_GB2312"/>
                <w:color w:val="auto"/>
                <w:sz w:val="24"/>
              </w:rPr>
              <w:t>a。</w:t>
            </w:r>
          </w:p>
          <w:p w14:paraId="598100EB">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（2）地面清洗废水</w:t>
            </w:r>
          </w:p>
          <w:p w14:paraId="5E88462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每班生产完毕需要用纯水对车间主要区域进行清洁，清洁方式主要为拖把清洗。地面清洁用水量约为25m</w:t>
            </w:r>
            <w:r>
              <w:rPr>
                <w:rFonts w:hint="default" w:eastAsia="仿宋_GB2312"/>
                <w:color w:val="auto"/>
                <w:sz w:val="24"/>
                <w:vertAlign w:val="superscript"/>
              </w:rPr>
              <w:t>3</w:t>
            </w:r>
            <w:r>
              <w:rPr>
                <w:rFonts w:hint="default" w:eastAsia="仿宋_GB2312"/>
                <w:color w:val="auto"/>
                <w:sz w:val="24"/>
              </w:rPr>
              <w:t>/</w:t>
            </w:r>
            <w:r>
              <w:rPr>
                <w:rFonts w:hint="eastAsia" w:eastAsia="仿宋_GB2312"/>
                <w:color w:val="auto"/>
                <w:sz w:val="24"/>
              </w:rPr>
              <w:t>a，损耗按20%计，产生地面清洁废水约20m</w:t>
            </w:r>
            <w:r>
              <w:rPr>
                <w:rFonts w:hint="default" w:eastAsia="仿宋_GB2312"/>
                <w:color w:val="auto"/>
                <w:sz w:val="24"/>
                <w:vertAlign w:val="superscript"/>
              </w:rPr>
              <w:t>3</w:t>
            </w:r>
            <w:r>
              <w:rPr>
                <w:rFonts w:hint="default" w:eastAsia="仿宋_GB2312"/>
                <w:color w:val="auto"/>
                <w:sz w:val="24"/>
              </w:rPr>
              <w:t>/</w:t>
            </w:r>
            <w:r>
              <w:rPr>
                <w:rFonts w:hint="eastAsia" w:eastAsia="仿宋_GB2312"/>
                <w:color w:val="auto"/>
                <w:sz w:val="24"/>
              </w:rPr>
              <w:t>a。</w:t>
            </w:r>
          </w:p>
          <w:p w14:paraId="24686A4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本项目地面和设备清洗废水产生情况见下表。</w:t>
            </w:r>
          </w:p>
          <w:p w14:paraId="181C99DD">
            <w:pPr>
              <w:keepNext w:val="0"/>
              <w:keepLines w:val="0"/>
              <w:suppressLineNumbers w:val="0"/>
              <w:adjustRightInd w:val="0"/>
              <w:snapToGrid w:val="0"/>
              <w:spacing w:before="0" w:beforeAutospacing="0" w:after="0" w:afterAutospacing="0" w:line="500" w:lineRule="exact"/>
              <w:ind w:left="0" w:right="0"/>
              <w:jc w:val="center"/>
              <w:rPr>
                <w:rFonts w:hint="eastAsia" w:eastAsia="仿宋_GB2312"/>
                <w:b/>
                <w:color w:val="auto"/>
                <w:sz w:val="22"/>
                <w:szCs w:val="22"/>
              </w:rPr>
            </w:pPr>
            <w:r>
              <w:rPr>
                <w:rFonts w:hint="eastAsia" w:eastAsia="仿宋_GB2312"/>
                <w:b/>
                <w:color w:val="auto"/>
                <w:sz w:val="22"/>
                <w:szCs w:val="22"/>
              </w:rPr>
              <w:t>表</w:t>
            </w:r>
            <w:r>
              <w:rPr>
                <w:rFonts w:hint="eastAsia" w:eastAsia="仿宋_GB2312"/>
                <w:b/>
                <w:color w:val="auto"/>
                <w:sz w:val="22"/>
                <w:szCs w:val="22"/>
                <w:lang w:val="en-US" w:eastAsia="zh-CN"/>
              </w:rPr>
              <w:t>2-40</w:t>
            </w:r>
            <w:r>
              <w:rPr>
                <w:rFonts w:hint="eastAsia" w:eastAsia="仿宋_GB2312"/>
                <w:b/>
                <w:color w:val="auto"/>
                <w:sz w:val="22"/>
                <w:szCs w:val="22"/>
              </w:rPr>
              <w:t xml:space="preserve">   本项目设备及地面清洗废水产生情况表 </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187"/>
              <w:gridCol w:w="1148"/>
              <w:gridCol w:w="1334"/>
              <w:gridCol w:w="1635"/>
              <w:gridCol w:w="1463"/>
            </w:tblGrid>
            <w:tr w14:paraId="0118A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restart"/>
                  <w:vAlign w:val="center"/>
                </w:tcPr>
                <w:p w14:paraId="11DE4BF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废水名称</w:t>
                  </w:r>
                </w:p>
              </w:tc>
              <w:tc>
                <w:tcPr>
                  <w:tcW w:w="705" w:type="pct"/>
                  <w:vMerge w:val="restart"/>
                  <w:vAlign w:val="center"/>
                </w:tcPr>
                <w:p w14:paraId="46C5C5B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废水量（m</w:t>
                  </w:r>
                  <w:r>
                    <w:rPr>
                      <w:rFonts w:hint="default" w:ascii="Times New Roman" w:hAnsi="Times New Roman" w:eastAsia="仿宋_GB2312" w:cs="Times New Roman"/>
                      <w:b/>
                      <w:bCs/>
                      <w:color w:val="auto"/>
                      <w:sz w:val="21"/>
                      <w:vertAlign w:val="superscript"/>
                    </w:rPr>
                    <w:t>3</w:t>
                  </w:r>
                  <w:r>
                    <w:rPr>
                      <w:rFonts w:hint="default" w:ascii="Times New Roman" w:hAnsi="Times New Roman" w:eastAsia="仿宋_GB2312" w:cs="Times New Roman"/>
                      <w:b/>
                      <w:bCs/>
                      <w:color w:val="auto"/>
                      <w:sz w:val="21"/>
                    </w:rPr>
                    <w:t>/a）</w:t>
                  </w:r>
                </w:p>
              </w:tc>
              <w:tc>
                <w:tcPr>
                  <w:tcW w:w="682" w:type="pct"/>
                  <w:vMerge w:val="restart"/>
                  <w:vAlign w:val="center"/>
                </w:tcPr>
                <w:p w14:paraId="4252757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w:t>
                  </w:r>
                </w:p>
                <w:p w14:paraId="70E7648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名称</w:t>
                  </w:r>
                </w:p>
              </w:tc>
              <w:tc>
                <w:tcPr>
                  <w:tcW w:w="1763" w:type="pct"/>
                  <w:gridSpan w:val="2"/>
                  <w:vAlign w:val="center"/>
                </w:tcPr>
                <w:p w14:paraId="389FB7F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产生情况</w:t>
                  </w:r>
                </w:p>
              </w:tc>
              <w:tc>
                <w:tcPr>
                  <w:tcW w:w="868" w:type="pct"/>
                  <w:vMerge w:val="restart"/>
                  <w:vAlign w:val="center"/>
                </w:tcPr>
                <w:p w14:paraId="7E634DA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排放去向</w:t>
                  </w:r>
                </w:p>
              </w:tc>
            </w:tr>
            <w:tr w14:paraId="76705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13A694C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705" w:type="pct"/>
                  <w:vMerge w:val="continue"/>
                  <w:vAlign w:val="center"/>
                </w:tcPr>
                <w:p w14:paraId="31C87B3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682" w:type="pct"/>
                  <w:vMerge w:val="continue"/>
                  <w:vAlign w:val="center"/>
                </w:tcPr>
                <w:p w14:paraId="418F513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792" w:type="pct"/>
                  <w:vAlign w:val="center"/>
                </w:tcPr>
                <w:p w14:paraId="5559063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浓度</w:t>
                  </w:r>
                </w:p>
                <w:p w14:paraId="3CFAE99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（mg/L）</w:t>
                  </w:r>
                </w:p>
              </w:tc>
              <w:tc>
                <w:tcPr>
                  <w:tcW w:w="970" w:type="pct"/>
                  <w:vAlign w:val="center"/>
                </w:tcPr>
                <w:p w14:paraId="0FB3683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w:t>
                  </w:r>
                </w:p>
                <w:p w14:paraId="56AD49C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（t/a）</w:t>
                  </w:r>
                </w:p>
              </w:tc>
              <w:tc>
                <w:tcPr>
                  <w:tcW w:w="868" w:type="pct"/>
                  <w:vMerge w:val="continue"/>
                  <w:vAlign w:val="center"/>
                </w:tcPr>
                <w:p w14:paraId="261BCD7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r>
            <w:tr w14:paraId="6E174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restart"/>
                  <w:vAlign w:val="center"/>
                </w:tcPr>
                <w:p w14:paraId="42B55CB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设备清洗废水</w:t>
                  </w:r>
                </w:p>
              </w:tc>
              <w:tc>
                <w:tcPr>
                  <w:tcW w:w="705" w:type="pct"/>
                  <w:vMerge w:val="restart"/>
                  <w:vAlign w:val="center"/>
                </w:tcPr>
                <w:p w14:paraId="25D574B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202</w:t>
                  </w:r>
                </w:p>
              </w:tc>
              <w:tc>
                <w:tcPr>
                  <w:tcW w:w="682" w:type="pct"/>
                  <w:vAlign w:val="center"/>
                </w:tcPr>
                <w:p w14:paraId="48C0199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792" w:type="pct"/>
                  <w:vAlign w:val="center"/>
                </w:tcPr>
                <w:p w14:paraId="1609173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2000</w:t>
                  </w:r>
                </w:p>
              </w:tc>
              <w:tc>
                <w:tcPr>
                  <w:tcW w:w="970" w:type="pct"/>
                  <w:vAlign w:val="center"/>
                </w:tcPr>
                <w:p w14:paraId="7F07825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0.4</w:t>
                  </w:r>
                </w:p>
              </w:tc>
              <w:tc>
                <w:tcPr>
                  <w:tcW w:w="868" w:type="pct"/>
                  <w:vMerge w:val="restart"/>
                  <w:vAlign w:val="center"/>
                </w:tcPr>
                <w:p w14:paraId="0918657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经污水站处理后回用至循环冷却系统</w:t>
                  </w:r>
                </w:p>
              </w:tc>
            </w:tr>
            <w:tr w14:paraId="2988C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35368CC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18B1350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7BF39D0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792" w:type="pct"/>
                  <w:vAlign w:val="center"/>
                </w:tcPr>
                <w:p w14:paraId="5906535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400</w:t>
                  </w:r>
                </w:p>
              </w:tc>
              <w:tc>
                <w:tcPr>
                  <w:tcW w:w="970" w:type="pct"/>
                  <w:vAlign w:val="center"/>
                </w:tcPr>
                <w:p w14:paraId="2B21B51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0.08</w:t>
                  </w:r>
                </w:p>
              </w:tc>
              <w:tc>
                <w:tcPr>
                  <w:tcW w:w="868" w:type="pct"/>
                  <w:vMerge w:val="continue"/>
                  <w:vAlign w:val="center"/>
                </w:tcPr>
                <w:p w14:paraId="4EBB50E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40FC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06A3D1F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3758A44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7DB9B06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792" w:type="pct"/>
                  <w:vAlign w:val="center"/>
                </w:tcPr>
                <w:p w14:paraId="2E959ED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25</w:t>
                  </w:r>
                </w:p>
              </w:tc>
              <w:tc>
                <w:tcPr>
                  <w:tcW w:w="970" w:type="pct"/>
                  <w:vAlign w:val="center"/>
                </w:tcPr>
                <w:p w14:paraId="14DC48E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0.005</w:t>
                  </w:r>
                </w:p>
              </w:tc>
              <w:tc>
                <w:tcPr>
                  <w:tcW w:w="868" w:type="pct"/>
                  <w:vMerge w:val="continue"/>
                  <w:vAlign w:val="center"/>
                </w:tcPr>
                <w:p w14:paraId="7FA4531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289A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3B744F6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7A2B277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3F82623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792" w:type="pct"/>
                  <w:vAlign w:val="center"/>
                </w:tcPr>
                <w:p w14:paraId="79429F5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w:t>
                  </w:r>
                </w:p>
              </w:tc>
              <w:tc>
                <w:tcPr>
                  <w:tcW w:w="970" w:type="pct"/>
                  <w:vAlign w:val="center"/>
                </w:tcPr>
                <w:p w14:paraId="259CA58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0.01</w:t>
                  </w:r>
                </w:p>
              </w:tc>
              <w:tc>
                <w:tcPr>
                  <w:tcW w:w="868" w:type="pct"/>
                  <w:vMerge w:val="continue"/>
                  <w:vAlign w:val="center"/>
                </w:tcPr>
                <w:p w14:paraId="1DA0208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0E33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27252F2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7D91838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5603D22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792" w:type="pct"/>
                  <w:vAlign w:val="center"/>
                </w:tcPr>
                <w:p w14:paraId="587DDFE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w:t>
                  </w:r>
                </w:p>
              </w:tc>
              <w:tc>
                <w:tcPr>
                  <w:tcW w:w="970" w:type="pct"/>
                  <w:vAlign w:val="center"/>
                </w:tcPr>
                <w:p w14:paraId="00548E7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0.002</w:t>
                  </w:r>
                </w:p>
              </w:tc>
              <w:tc>
                <w:tcPr>
                  <w:tcW w:w="868" w:type="pct"/>
                  <w:vMerge w:val="continue"/>
                  <w:vAlign w:val="center"/>
                </w:tcPr>
                <w:p w14:paraId="678E3C0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072CF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66A7CC7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4A9DDC5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4F0F773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792" w:type="pct"/>
                  <w:vAlign w:val="center"/>
                </w:tcPr>
                <w:p w14:paraId="5AA1976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1000</w:t>
                  </w:r>
                </w:p>
              </w:tc>
              <w:tc>
                <w:tcPr>
                  <w:tcW w:w="970" w:type="pct"/>
                  <w:vAlign w:val="center"/>
                </w:tcPr>
                <w:p w14:paraId="602C858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0.2</w:t>
                  </w:r>
                </w:p>
              </w:tc>
              <w:tc>
                <w:tcPr>
                  <w:tcW w:w="868" w:type="pct"/>
                  <w:vMerge w:val="continue"/>
                  <w:vAlign w:val="center"/>
                </w:tcPr>
                <w:p w14:paraId="160207E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1B92C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restart"/>
                  <w:vAlign w:val="center"/>
                </w:tcPr>
                <w:p w14:paraId="7A00DB2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地面清洁废水</w:t>
                  </w:r>
                </w:p>
              </w:tc>
              <w:tc>
                <w:tcPr>
                  <w:tcW w:w="705" w:type="pct"/>
                  <w:vMerge w:val="restart"/>
                  <w:vAlign w:val="center"/>
                </w:tcPr>
                <w:p w14:paraId="5994DBB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w:t>
                  </w:r>
                </w:p>
              </w:tc>
              <w:tc>
                <w:tcPr>
                  <w:tcW w:w="682" w:type="pct"/>
                  <w:vAlign w:val="center"/>
                </w:tcPr>
                <w:p w14:paraId="2FFB7C0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792" w:type="pct"/>
                  <w:vAlign w:val="center"/>
                </w:tcPr>
                <w:p w14:paraId="7BAC528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1000</w:t>
                  </w:r>
                </w:p>
              </w:tc>
              <w:tc>
                <w:tcPr>
                  <w:tcW w:w="970" w:type="pct"/>
                  <w:vAlign w:val="center"/>
                </w:tcPr>
                <w:p w14:paraId="17DB4BB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 xml:space="preserve">0.02 </w:t>
                  </w:r>
                </w:p>
              </w:tc>
              <w:tc>
                <w:tcPr>
                  <w:tcW w:w="868" w:type="pct"/>
                  <w:vMerge w:val="continue"/>
                  <w:vAlign w:val="center"/>
                </w:tcPr>
                <w:p w14:paraId="7CC6654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6EAC4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00D2B39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541A453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2007F1D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792" w:type="pct"/>
                  <w:vAlign w:val="center"/>
                </w:tcPr>
                <w:p w14:paraId="5A690C5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200</w:t>
                  </w:r>
                </w:p>
              </w:tc>
              <w:tc>
                <w:tcPr>
                  <w:tcW w:w="970" w:type="pct"/>
                  <w:vAlign w:val="center"/>
                </w:tcPr>
                <w:p w14:paraId="7664AF2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 xml:space="preserve">0.004 </w:t>
                  </w:r>
                </w:p>
              </w:tc>
              <w:tc>
                <w:tcPr>
                  <w:tcW w:w="868" w:type="pct"/>
                  <w:vMerge w:val="continue"/>
                  <w:vAlign w:val="center"/>
                </w:tcPr>
                <w:p w14:paraId="1BF4F7E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32C73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40ED1B3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5EF6097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3B24E90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792" w:type="pct"/>
                  <w:vAlign w:val="center"/>
                </w:tcPr>
                <w:p w14:paraId="206CECE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w:t>
                  </w:r>
                </w:p>
              </w:tc>
              <w:tc>
                <w:tcPr>
                  <w:tcW w:w="970" w:type="pct"/>
                  <w:vAlign w:val="center"/>
                </w:tcPr>
                <w:p w14:paraId="2378D74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 xml:space="preserve">0.0004 </w:t>
                  </w:r>
                </w:p>
              </w:tc>
              <w:tc>
                <w:tcPr>
                  <w:tcW w:w="868" w:type="pct"/>
                  <w:vMerge w:val="continue"/>
                  <w:vAlign w:val="center"/>
                </w:tcPr>
                <w:p w14:paraId="0D33EA4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64579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429DBD8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7109716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7EB1EF6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792" w:type="pct"/>
                  <w:vAlign w:val="center"/>
                </w:tcPr>
                <w:p w14:paraId="3D0B527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40</w:t>
                  </w:r>
                </w:p>
              </w:tc>
              <w:tc>
                <w:tcPr>
                  <w:tcW w:w="970" w:type="pct"/>
                  <w:vAlign w:val="center"/>
                </w:tcPr>
                <w:p w14:paraId="4B4AE2A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0.0008</w:t>
                  </w:r>
                </w:p>
              </w:tc>
              <w:tc>
                <w:tcPr>
                  <w:tcW w:w="868" w:type="pct"/>
                  <w:vMerge w:val="continue"/>
                  <w:vAlign w:val="center"/>
                </w:tcPr>
                <w:p w14:paraId="1840C9B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1E25E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7DB0CF8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06FF3EB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3BF7361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792" w:type="pct"/>
                  <w:vAlign w:val="center"/>
                </w:tcPr>
                <w:p w14:paraId="6773B87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w:t>
                  </w:r>
                </w:p>
              </w:tc>
              <w:tc>
                <w:tcPr>
                  <w:tcW w:w="970" w:type="pct"/>
                  <w:vAlign w:val="center"/>
                </w:tcPr>
                <w:p w14:paraId="04178EA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 xml:space="preserve">0.0001 </w:t>
                  </w:r>
                </w:p>
              </w:tc>
              <w:tc>
                <w:tcPr>
                  <w:tcW w:w="868" w:type="pct"/>
                  <w:vMerge w:val="continue"/>
                  <w:vAlign w:val="center"/>
                </w:tcPr>
                <w:p w14:paraId="7809309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0975E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Merge w:val="continue"/>
                  <w:vAlign w:val="center"/>
                </w:tcPr>
                <w:p w14:paraId="2E42332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05" w:type="pct"/>
                  <w:vMerge w:val="continue"/>
                  <w:vAlign w:val="center"/>
                </w:tcPr>
                <w:p w14:paraId="0EF7590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2" w:type="pct"/>
                  <w:vAlign w:val="center"/>
                </w:tcPr>
                <w:p w14:paraId="778B159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792" w:type="pct"/>
                  <w:vAlign w:val="center"/>
                </w:tcPr>
                <w:p w14:paraId="161235D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500</w:t>
                  </w:r>
                </w:p>
              </w:tc>
              <w:tc>
                <w:tcPr>
                  <w:tcW w:w="970" w:type="pct"/>
                  <w:vAlign w:val="center"/>
                </w:tcPr>
                <w:p w14:paraId="57CD571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 xml:space="preserve">0.01 </w:t>
                  </w:r>
                </w:p>
              </w:tc>
              <w:tc>
                <w:tcPr>
                  <w:tcW w:w="868" w:type="pct"/>
                  <w:vMerge w:val="continue"/>
                  <w:vAlign w:val="center"/>
                </w:tcPr>
                <w:p w14:paraId="33B1BBE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bl>
          <w:p w14:paraId="069D8AC0">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fldChar w:fldCharType="begin"/>
            </w:r>
            <w:r>
              <w:rPr>
                <w:rFonts w:hint="default" w:eastAsia="仿宋_GB2312"/>
                <w:bCs/>
                <w:color w:val="auto"/>
                <w:sz w:val="24"/>
              </w:rPr>
              <w:instrText xml:space="preserve"> = 4 \* GB3 </w:instrText>
            </w:r>
            <w:r>
              <w:rPr>
                <w:rFonts w:hint="default" w:eastAsia="仿宋_GB2312"/>
                <w:bCs/>
                <w:color w:val="auto"/>
                <w:sz w:val="24"/>
              </w:rPr>
              <w:fldChar w:fldCharType="separate"/>
            </w:r>
            <w:r>
              <w:rPr>
                <w:rFonts w:hint="default"/>
                <w:bCs/>
                <w:color w:val="auto"/>
                <w:sz w:val="24"/>
              </w:rPr>
              <w:t>④</w:t>
            </w:r>
            <w:r>
              <w:rPr>
                <w:rFonts w:hint="default" w:eastAsia="仿宋_GB2312"/>
                <w:bCs/>
                <w:color w:val="auto"/>
                <w:sz w:val="24"/>
              </w:rPr>
              <w:fldChar w:fldCharType="end"/>
            </w:r>
            <w:r>
              <w:rPr>
                <w:rFonts w:hint="default" w:eastAsia="仿宋_GB2312"/>
                <w:bCs/>
                <w:color w:val="auto"/>
                <w:sz w:val="24"/>
              </w:rPr>
              <w:t>洗衣废水</w:t>
            </w:r>
          </w:p>
          <w:p w14:paraId="4A6F3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561"/>
              <w:textAlignment w:val="auto"/>
              <w:rPr>
                <w:rFonts w:hint="default" w:ascii="Times New Roman" w:hAnsi="Times New Roman"/>
                <w:bCs/>
                <w:color w:val="auto"/>
                <w:szCs w:val="28"/>
              </w:rPr>
            </w:pPr>
            <w:r>
              <w:rPr>
                <w:rFonts w:hint="eastAsia" w:eastAsia="仿宋_GB2312"/>
                <w:bCs/>
                <w:color w:val="auto"/>
                <w:sz w:val="24"/>
              </w:rPr>
              <w:t>车间内设置洗衣机，车间工人工作服等衣物放入车间内洗衣机内清洗，每次用水量约为200L，每两天清洗一次，年用水量为30m</w:t>
            </w:r>
            <w:r>
              <w:rPr>
                <w:rFonts w:hint="eastAsia" w:eastAsia="仿宋_GB2312"/>
                <w:bCs/>
                <w:color w:val="auto"/>
                <w:sz w:val="24"/>
                <w:vertAlign w:val="superscript"/>
              </w:rPr>
              <w:t>3</w:t>
            </w:r>
            <w:r>
              <w:rPr>
                <w:rFonts w:hint="eastAsia" w:eastAsia="仿宋_GB2312"/>
                <w:bCs/>
                <w:color w:val="auto"/>
                <w:sz w:val="24"/>
              </w:rPr>
              <w:t>/a，损耗按10%计，产生车间洗衣废水量约27m</w:t>
            </w:r>
            <w:r>
              <w:rPr>
                <w:rFonts w:hint="eastAsia" w:eastAsia="仿宋_GB2312"/>
                <w:bCs/>
                <w:color w:val="auto"/>
                <w:sz w:val="24"/>
                <w:vertAlign w:val="superscript"/>
              </w:rPr>
              <w:t>3</w:t>
            </w:r>
            <w:r>
              <w:rPr>
                <w:rFonts w:hint="eastAsia" w:eastAsia="仿宋_GB2312"/>
                <w:bCs/>
                <w:color w:val="auto"/>
                <w:sz w:val="24"/>
              </w:rPr>
              <w:t>/a。</w:t>
            </w:r>
          </w:p>
          <w:p w14:paraId="4FFB1262">
            <w:pPr>
              <w:keepNext w:val="0"/>
              <w:keepLines w:val="0"/>
              <w:suppressLineNumbers w:val="0"/>
              <w:adjustRightInd w:val="0"/>
              <w:snapToGrid w:val="0"/>
              <w:spacing w:before="0" w:beforeAutospacing="0" w:after="0" w:afterAutospacing="0" w:line="500" w:lineRule="exact"/>
              <w:ind w:left="0" w:right="0"/>
              <w:jc w:val="center"/>
              <w:rPr>
                <w:rFonts w:hint="eastAsia" w:eastAsia="仿宋_GB2312"/>
                <w:b/>
                <w:color w:val="auto"/>
                <w:sz w:val="22"/>
                <w:szCs w:val="22"/>
              </w:rPr>
            </w:pPr>
            <w:r>
              <w:rPr>
                <w:rFonts w:hint="eastAsia" w:eastAsia="仿宋_GB2312"/>
                <w:b/>
                <w:color w:val="auto"/>
                <w:sz w:val="22"/>
                <w:szCs w:val="22"/>
              </w:rPr>
              <w:t>表</w:t>
            </w:r>
            <w:r>
              <w:rPr>
                <w:rFonts w:hint="eastAsia" w:eastAsia="仿宋_GB2312"/>
                <w:b/>
                <w:color w:val="auto"/>
                <w:sz w:val="22"/>
                <w:szCs w:val="22"/>
                <w:lang w:val="en-US" w:eastAsia="zh-CN"/>
              </w:rPr>
              <w:t>2-41</w:t>
            </w:r>
            <w:r>
              <w:rPr>
                <w:rFonts w:hint="eastAsia" w:eastAsia="仿宋_GB2312"/>
                <w:b/>
                <w:color w:val="auto"/>
                <w:sz w:val="22"/>
                <w:szCs w:val="22"/>
              </w:rPr>
              <w:t xml:space="preserve">  本项目洗衣废水产生情况表</w:t>
            </w:r>
          </w:p>
          <w:tbl>
            <w:tblPr>
              <w:tblStyle w:val="87"/>
              <w:tblW w:w="440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193"/>
              <w:gridCol w:w="961"/>
              <w:gridCol w:w="1246"/>
              <w:gridCol w:w="1129"/>
              <w:gridCol w:w="1462"/>
            </w:tblGrid>
            <w:tr w14:paraId="3C267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0" w:type="pct"/>
                  <w:vMerge w:val="restart"/>
                  <w:vAlign w:val="center"/>
                </w:tcPr>
                <w:p w14:paraId="636B24F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废水名称</w:t>
                  </w:r>
                </w:p>
              </w:tc>
              <w:tc>
                <w:tcPr>
                  <w:tcW w:w="804" w:type="pct"/>
                  <w:vMerge w:val="restart"/>
                  <w:vAlign w:val="center"/>
                </w:tcPr>
                <w:p w14:paraId="6C45E24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废水量（m</w:t>
                  </w:r>
                  <w:r>
                    <w:rPr>
                      <w:rFonts w:hint="default" w:ascii="Times New Roman" w:hAnsi="Times New Roman" w:eastAsia="仿宋_GB2312" w:cs="Times New Roman"/>
                      <w:b/>
                      <w:bCs/>
                      <w:color w:val="auto"/>
                      <w:sz w:val="21"/>
                      <w:vertAlign w:val="superscript"/>
                    </w:rPr>
                    <w:t>3</w:t>
                  </w:r>
                  <w:r>
                    <w:rPr>
                      <w:rFonts w:hint="default" w:ascii="Times New Roman" w:hAnsi="Times New Roman" w:eastAsia="仿宋_GB2312" w:cs="Times New Roman"/>
                      <w:b/>
                      <w:bCs/>
                      <w:color w:val="auto"/>
                      <w:sz w:val="21"/>
                    </w:rPr>
                    <w:t>/a）</w:t>
                  </w:r>
                </w:p>
              </w:tc>
              <w:tc>
                <w:tcPr>
                  <w:tcW w:w="648" w:type="pct"/>
                  <w:vMerge w:val="restart"/>
                  <w:vAlign w:val="center"/>
                </w:tcPr>
                <w:p w14:paraId="009018E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w:t>
                  </w:r>
                </w:p>
                <w:p w14:paraId="0D59D10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名称</w:t>
                  </w:r>
                </w:p>
              </w:tc>
              <w:tc>
                <w:tcPr>
                  <w:tcW w:w="1601" w:type="pct"/>
                  <w:gridSpan w:val="2"/>
                  <w:vAlign w:val="center"/>
                </w:tcPr>
                <w:p w14:paraId="1BA8A74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产生情况</w:t>
                  </w:r>
                </w:p>
              </w:tc>
              <w:tc>
                <w:tcPr>
                  <w:tcW w:w="985" w:type="pct"/>
                  <w:vMerge w:val="restart"/>
                  <w:vAlign w:val="center"/>
                </w:tcPr>
                <w:p w14:paraId="7623B18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排放去向</w:t>
                  </w:r>
                </w:p>
              </w:tc>
            </w:tr>
            <w:tr w14:paraId="1ED33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0" w:type="pct"/>
                  <w:vMerge w:val="continue"/>
                  <w:vAlign w:val="center"/>
                </w:tcPr>
                <w:p w14:paraId="4B63B1A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804" w:type="pct"/>
                  <w:vMerge w:val="continue"/>
                  <w:vAlign w:val="center"/>
                </w:tcPr>
                <w:p w14:paraId="670A44A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648" w:type="pct"/>
                  <w:vMerge w:val="continue"/>
                  <w:vAlign w:val="center"/>
                </w:tcPr>
                <w:p w14:paraId="5D11A91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840" w:type="pct"/>
                  <w:vAlign w:val="center"/>
                </w:tcPr>
                <w:p w14:paraId="72D9D92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浓度</w:t>
                  </w:r>
                </w:p>
                <w:p w14:paraId="03ADB07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（mg/L）</w:t>
                  </w:r>
                </w:p>
              </w:tc>
              <w:tc>
                <w:tcPr>
                  <w:tcW w:w="760" w:type="pct"/>
                  <w:vAlign w:val="center"/>
                </w:tcPr>
                <w:p w14:paraId="67966D1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w:t>
                  </w:r>
                </w:p>
                <w:p w14:paraId="646E8BD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（t/a）</w:t>
                  </w:r>
                </w:p>
              </w:tc>
              <w:tc>
                <w:tcPr>
                  <w:tcW w:w="985" w:type="pct"/>
                  <w:vMerge w:val="continue"/>
                  <w:vAlign w:val="center"/>
                </w:tcPr>
                <w:p w14:paraId="0FB547D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r>
            <w:tr w14:paraId="7C777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0" w:type="pct"/>
                  <w:vMerge w:val="restart"/>
                  <w:vAlign w:val="center"/>
                </w:tcPr>
                <w:p w14:paraId="5A75ACA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洗衣废水</w:t>
                  </w:r>
                </w:p>
              </w:tc>
              <w:tc>
                <w:tcPr>
                  <w:tcW w:w="804" w:type="pct"/>
                  <w:vMerge w:val="restart"/>
                  <w:vAlign w:val="center"/>
                </w:tcPr>
                <w:p w14:paraId="5C4854E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27</w:t>
                  </w:r>
                </w:p>
              </w:tc>
              <w:tc>
                <w:tcPr>
                  <w:tcW w:w="648" w:type="pct"/>
                  <w:vAlign w:val="center"/>
                </w:tcPr>
                <w:p w14:paraId="6A5A168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840" w:type="pct"/>
                  <w:vAlign w:val="center"/>
                </w:tcPr>
                <w:p w14:paraId="6ACC7FE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200</w:t>
                  </w:r>
                </w:p>
              </w:tc>
              <w:tc>
                <w:tcPr>
                  <w:tcW w:w="760" w:type="pct"/>
                  <w:vAlign w:val="bottom"/>
                </w:tcPr>
                <w:p w14:paraId="665DB28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0.0054</w:t>
                  </w:r>
                </w:p>
              </w:tc>
              <w:tc>
                <w:tcPr>
                  <w:tcW w:w="985" w:type="pct"/>
                  <w:vMerge w:val="restart"/>
                  <w:vAlign w:val="center"/>
                </w:tcPr>
                <w:p w14:paraId="74003E3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经污水站处理后回用至循环冷却系统</w:t>
                  </w:r>
                </w:p>
              </w:tc>
            </w:tr>
            <w:tr w14:paraId="59A83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0" w:type="pct"/>
                  <w:vMerge w:val="continue"/>
                  <w:vAlign w:val="center"/>
                </w:tcPr>
                <w:p w14:paraId="06F82D7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04" w:type="pct"/>
                  <w:vMerge w:val="continue"/>
                  <w:vAlign w:val="center"/>
                </w:tcPr>
                <w:p w14:paraId="62F8DCB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48" w:type="pct"/>
                  <w:vAlign w:val="center"/>
                </w:tcPr>
                <w:p w14:paraId="5EBDC0C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840" w:type="pct"/>
                  <w:vAlign w:val="center"/>
                </w:tcPr>
                <w:p w14:paraId="2962194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200</w:t>
                  </w:r>
                </w:p>
              </w:tc>
              <w:tc>
                <w:tcPr>
                  <w:tcW w:w="760" w:type="pct"/>
                  <w:vAlign w:val="bottom"/>
                </w:tcPr>
                <w:p w14:paraId="5D981FC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0.0054</w:t>
                  </w:r>
                </w:p>
              </w:tc>
              <w:tc>
                <w:tcPr>
                  <w:tcW w:w="985" w:type="pct"/>
                  <w:vMerge w:val="continue"/>
                  <w:vAlign w:val="center"/>
                </w:tcPr>
                <w:p w14:paraId="6AD9135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D82B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0" w:type="pct"/>
                  <w:vMerge w:val="continue"/>
                  <w:vAlign w:val="center"/>
                </w:tcPr>
                <w:p w14:paraId="3B0B617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04" w:type="pct"/>
                  <w:vMerge w:val="continue"/>
                  <w:vAlign w:val="center"/>
                </w:tcPr>
                <w:p w14:paraId="31ADC3A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48" w:type="pct"/>
                  <w:vAlign w:val="center"/>
                </w:tcPr>
                <w:p w14:paraId="0D8C0DA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840" w:type="pct"/>
                  <w:vAlign w:val="center"/>
                </w:tcPr>
                <w:p w14:paraId="0E77E15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w:t>
                  </w:r>
                </w:p>
              </w:tc>
              <w:tc>
                <w:tcPr>
                  <w:tcW w:w="760" w:type="pct"/>
                  <w:vAlign w:val="bottom"/>
                </w:tcPr>
                <w:p w14:paraId="2BB433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0.00027</w:t>
                  </w:r>
                </w:p>
              </w:tc>
              <w:tc>
                <w:tcPr>
                  <w:tcW w:w="985" w:type="pct"/>
                  <w:vMerge w:val="continue"/>
                  <w:vAlign w:val="center"/>
                </w:tcPr>
                <w:p w14:paraId="669C08D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21C0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0" w:type="pct"/>
                  <w:vMerge w:val="continue"/>
                  <w:vAlign w:val="center"/>
                </w:tcPr>
                <w:p w14:paraId="74EEB0F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04" w:type="pct"/>
                  <w:vMerge w:val="continue"/>
                  <w:vAlign w:val="center"/>
                </w:tcPr>
                <w:p w14:paraId="659E4AD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48" w:type="pct"/>
                  <w:vAlign w:val="center"/>
                </w:tcPr>
                <w:p w14:paraId="2EF029F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840" w:type="pct"/>
                  <w:vAlign w:val="center"/>
                </w:tcPr>
                <w:p w14:paraId="64EB03B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12</w:t>
                  </w:r>
                </w:p>
              </w:tc>
              <w:tc>
                <w:tcPr>
                  <w:tcW w:w="760" w:type="pct"/>
                  <w:vAlign w:val="bottom"/>
                </w:tcPr>
                <w:p w14:paraId="16BA6A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0.00041</w:t>
                  </w:r>
                </w:p>
              </w:tc>
              <w:tc>
                <w:tcPr>
                  <w:tcW w:w="985" w:type="pct"/>
                  <w:vMerge w:val="continue"/>
                  <w:vAlign w:val="center"/>
                </w:tcPr>
                <w:p w14:paraId="1764130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DEC1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0" w:type="pct"/>
                  <w:vMerge w:val="continue"/>
                  <w:vAlign w:val="center"/>
                </w:tcPr>
                <w:p w14:paraId="244E727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04" w:type="pct"/>
                  <w:vMerge w:val="continue"/>
                  <w:vAlign w:val="center"/>
                </w:tcPr>
                <w:p w14:paraId="778BB12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48" w:type="pct"/>
                  <w:vAlign w:val="center"/>
                </w:tcPr>
                <w:p w14:paraId="24BA32B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840" w:type="pct"/>
                  <w:vAlign w:val="center"/>
                </w:tcPr>
                <w:p w14:paraId="306D51E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760" w:type="pct"/>
                  <w:vAlign w:val="bottom"/>
                </w:tcPr>
                <w:p w14:paraId="50D2FA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0.000054</w:t>
                  </w:r>
                </w:p>
              </w:tc>
              <w:tc>
                <w:tcPr>
                  <w:tcW w:w="985" w:type="pct"/>
                  <w:vMerge w:val="continue"/>
                  <w:vAlign w:val="center"/>
                </w:tcPr>
                <w:p w14:paraId="49EDB6E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6225D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0" w:type="pct"/>
                  <w:vMerge w:val="continue"/>
                  <w:vAlign w:val="center"/>
                </w:tcPr>
                <w:p w14:paraId="2D83F7D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04" w:type="pct"/>
                  <w:vMerge w:val="continue"/>
                  <w:vAlign w:val="center"/>
                </w:tcPr>
                <w:p w14:paraId="2ADB725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48" w:type="pct"/>
                  <w:vAlign w:val="center"/>
                </w:tcPr>
                <w:p w14:paraId="421928E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840" w:type="pct"/>
                  <w:vAlign w:val="center"/>
                </w:tcPr>
                <w:p w14:paraId="372837F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500</w:t>
                  </w:r>
                </w:p>
              </w:tc>
              <w:tc>
                <w:tcPr>
                  <w:tcW w:w="760" w:type="pct"/>
                  <w:vAlign w:val="bottom"/>
                </w:tcPr>
                <w:p w14:paraId="4C930D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0.014</w:t>
                  </w:r>
                </w:p>
              </w:tc>
              <w:tc>
                <w:tcPr>
                  <w:tcW w:w="985" w:type="pct"/>
                  <w:vMerge w:val="continue"/>
                  <w:vAlign w:val="center"/>
                </w:tcPr>
                <w:p w14:paraId="197DF80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bl>
          <w:p w14:paraId="5CFE5220">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default" w:eastAsia="仿宋_GB2312"/>
                <w:bCs/>
                <w:color w:val="auto"/>
                <w:sz w:val="24"/>
                <w:highlight w:val="none"/>
              </w:rPr>
              <w:fldChar w:fldCharType="begin"/>
            </w:r>
            <w:r>
              <w:rPr>
                <w:rFonts w:hint="default" w:eastAsia="仿宋_GB2312"/>
                <w:bCs/>
                <w:color w:val="auto"/>
                <w:sz w:val="24"/>
                <w:highlight w:val="none"/>
              </w:rPr>
              <w:instrText xml:space="preserve"> = 5 \* GB3 </w:instrText>
            </w:r>
            <w:r>
              <w:rPr>
                <w:rFonts w:hint="default" w:eastAsia="仿宋_GB2312"/>
                <w:bCs/>
                <w:color w:val="auto"/>
                <w:sz w:val="24"/>
                <w:highlight w:val="none"/>
              </w:rPr>
              <w:fldChar w:fldCharType="separate"/>
            </w:r>
            <w:r>
              <w:rPr>
                <w:rFonts w:hint="default"/>
                <w:bCs/>
                <w:color w:val="auto"/>
                <w:sz w:val="24"/>
                <w:highlight w:val="none"/>
              </w:rPr>
              <w:t>⑤</w:t>
            </w:r>
            <w:r>
              <w:rPr>
                <w:rFonts w:hint="default" w:eastAsia="仿宋_GB2312"/>
                <w:bCs/>
                <w:color w:val="auto"/>
                <w:sz w:val="24"/>
                <w:highlight w:val="none"/>
              </w:rPr>
              <w:fldChar w:fldCharType="end"/>
            </w:r>
            <w:r>
              <w:rPr>
                <w:rFonts w:hint="default" w:eastAsia="仿宋_GB2312"/>
                <w:bCs/>
                <w:color w:val="auto"/>
                <w:sz w:val="24"/>
                <w:highlight w:val="none"/>
              </w:rPr>
              <w:t>初期雨水</w:t>
            </w:r>
          </w:p>
          <w:p w14:paraId="34518CF6">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s="仿宋_GB2312"/>
                <w:color w:val="auto"/>
                <w:sz w:val="24"/>
                <w:highlight w:val="none"/>
                <w:lang w:val="en-US" w:eastAsia="zh-CN" w:bidi="ar"/>
              </w:rPr>
            </w:pPr>
            <w:r>
              <w:rPr>
                <w:rFonts w:hint="default" w:eastAsia="仿宋_GB2312" w:cs="仿宋_GB2312"/>
                <w:color w:val="auto"/>
                <w:sz w:val="24"/>
                <w:highlight w:val="none"/>
                <w:lang w:val="en-US" w:eastAsia="zh-CN" w:bidi="ar"/>
              </w:rPr>
              <w:t>本项目生产过程均在室内进行。仓储间与生产车间位于同一厂房，搬运过程包装密闭，无淋雨风险。危险废物采用桶装或袋装，包装桶加盖密闭，包装袋扎紧密闭，避免跑冒滴漏现象发生，危险危废转运过程避免淋雨。考虑到本项目正常运行过程对厂区道路无污染途径，因此不考虑初期雨水。</w:t>
            </w:r>
          </w:p>
          <w:p w14:paraId="3805B0A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highlight w:val="none"/>
                <w:lang w:val="en-US" w:eastAsia="zh-CN"/>
              </w:rPr>
            </w:pPr>
            <w:r>
              <w:rPr>
                <w:rFonts w:hint="eastAsia" w:eastAsia="仿宋_GB2312"/>
                <w:bCs/>
                <w:color w:val="auto"/>
                <w:sz w:val="24"/>
                <w:highlight w:val="none"/>
                <w:lang w:val="en-US" w:eastAsia="zh-CN"/>
              </w:rPr>
              <w:t>⑥循环冷却系统排水</w:t>
            </w:r>
          </w:p>
          <w:p w14:paraId="1A9094D1">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s="仿宋_GB2312"/>
                <w:color w:val="auto"/>
                <w:sz w:val="24"/>
                <w:highlight w:val="none"/>
                <w:lang w:val="en-US" w:eastAsia="zh-CN" w:bidi="ar"/>
              </w:rPr>
            </w:pPr>
            <w:r>
              <w:rPr>
                <w:rFonts w:hint="default" w:eastAsia="仿宋_GB2312" w:cs="仿宋_GB2312"/>
                <w:color w:val="auto"/>
                <w:sz w:val="24"/>
                <w:highlight w:val="none"/>
                <w:lang w:val="en-US" w:eastAsia="zh-CN" w:bidi="ar"/>
              </w:rPr>
              <w:t>本项目</w:t>
            </w:r>
            <w:r>
              <w:rPr>
                <w:rFonts w:hint="eastAsia" w:eastAsia="仿宋_GB2312" w:cs="仿宋_GB2312"/>
                <w:color w:val="auto"/>
                <w:sz w:val="24"/>
                <w:highlight w:val="none"/>
                <w:lang w:val="en-US" w:eastAsia="zh-CN" w:bidi="ar"/>
              </w:rPr>
              <w:t>配置1</w:t>
            </w:r>
            <w:r>
              <w:rPr>
                <w:rFonts w:hint="default" w:eastAsia="仿宋_GB2312" w:cs="仿宋_GB2312"/>
                <w:color w:val="auto"/>
                <w:sz w:val="24"/>
                <w:highlight w:val="none"/>
                <w:lang w:val="en-US" w:eastAsia="zh-CN" w:bidi="ar"/>
              </w:rPr>
              <w:t>套循环冷却系统，</w:t>
            </w:r>
            <w:r>
              <w:rPr>
                <w:rFonts w:hint="eastAsia" w:eastAsia="仿宋_GB2312" w:cs="仿宋_GB2312"/>
                <w:color w:val="auto"/>
                <w:sz w:val="24"/>
                <w:highlight w:val="none"/>
                <w:lang w:val="en-US" w:eastAsia="zh-CN" w:bidi="ar"/>
              </w:rPr>
              <w:t>循环能力为1</w:t>
            </w:r>
            <w:r>
              <w:rPr>
                <w:rFonts w:hint="default" w:eastAsia="仿宋_GB2312" w:cs="仿宋_GB2312"/>
                <w:color w:val="auto"/>
                <w:sz w:val="24"/>
                <w:highlight w:val="none"/>
                <w:lang w:val="en-US" w:eastAsia="zh-CN" w:bidi="ar"/>
              </w:rPr>
              <w:t>5</w:t>
            </w:r>
            <w:r>
              <w:rPr>
                <w:rFonts w:hint="eastAsia" w:eastAsia="仿宋_GB2312" w:cs="仿宋_GB2312"/>
                <w:color w:val="auto"/>
                <w:sz w:val="24"/>
                <w:highlight w:val="none"/>
                <w:lang w:val="en-US" w:eastAsia="zh-CN" w:bidi="ar"/>
              </w:rPr>
              <w:t>m</w:t>
            </w:r>
            <w:r>
              <w:rPr>
                <w:rFonts w:hint="default" w:eastAsia="仿宋_GB2312" w:cs="仿宋_GB2312"/>
                <w:color w:val="auto"/>
                <w:sz w:val="24"/>
                <w:highlight w:val="none"/>
                <w:vertAlign w:val="superscript"/>
                <w:lang w:val="en-US" w:eastAsia="zh-CN" w:bidi="ar"/>
              </w:rPr>
              <w:t>3</w:t>
            </w:r>
            <w:r>
              <w:rPr>
                <w:rFonts w:hint="default" w:eastAsia="仿宋_GB2312" w:cs="仿宋_GB2312"/>
                <w:color w:val="auto"/>
                <w:sz w:val="24"/>
                <w:highlight w:val="none"/>
                <w:lang w:val="en-US" w:eastAsia="zh-CN" w:bidi="ar"/>
              </w:rPr>
              <w:t>/</w:t>
            </w:r>
            <w:r>
              <w:rPr>
                <w:rFonts w:hint="eastAsia" w:eastAsia="仿宋_GB2312" w:cs="仿宋_GB2312"/>
                <w:color w:val="auto"/>
                <w:sz w:val="24"/>
                <w:highlight w:val="none"/>
                <w:lang w:val="en-US" w:eastAsia="zh-CN" w:bidi="ar"/>
              </w:rPr>
              <w:t>h，</w:t>
            </w:r>
            <w:r>
              <w:rPr>
                <w:rFonts w:hint="default" w:eastAsia="仿宋_GB2312" w:cs="仿宋_GB2312"/>
                <w:color w:val="auto"/>
                <w:sz w:val="24"/>
                <w:highlight w:val="none"/>
                <w:lang w:val="en-US" w:eastAsia="zh-CN" w:bidi="ar"/>
              </w:rPr>
              <w:t>全年总循环量按设计能力的</w:t>
            </w:r>
            <w:r>
              <w:rPr>
                <w:rFonts w:hint="eastAsia" w:eastAsia="仿宋_GB2312" w:cs="仿宋_GB2312"/>
                <w:color w:val="auto"/>
                <w:sz w:val="24"/>
                <w:highlight w:val="none"/>
                <w:lang w:val="en-US" w:eastAsia="zh-CN" w:bidi="ar"/>
              </w:rPr>
              <w:t>9</w:t>
            </w:r>
            <w:r>
              <w:rPr>
                <w:rFonts w:hint="default" w:eastAsia="仿宋_GB2312" w:cs="仿宋_GB2312"/>
                <w:color w:val="auto"/>
                <w:sz w:val="24"/>
                <w:highlight w:val="none"/>
                <w:lang w:val="en-US" w:eastAsia="zh-CN" w:bidi="ar"/>
              </w:rPr>
              <w:t>0%考虑，即</w:t>
            </w:r>
            <w:r>
              <w:rPr>
                <w:rFonts w:hint="eastAsia" w:eastAsia="仿宋_GB2312" w:cs="仿宋_GB2312"/>
                <w:color w:val="auto"/>
                <w:sz w:val="24"/>
                <w:highlight w:val="none"/>
                <w:lang w:val="en-US" w:eastAsia="zh-CN" w:bidi="ar"/>
              </w:rPr>
              <w:t>97200</w:t>
            </w:r>
            <w:r>
              <w:rPr>
                <w:rFonts w:hint="default" w:eastAsia="仿宋_GB2312" w:cs="仿宋_GB2312"/>
                <w:color w:val="auto"/>
                <w:sz w:val="24"/>
                <w:highlight w:val="none"/>
                <w:lang w:val="en-US" w:eastAsia="zh-CN" w:bidi="ar"/>
              </w:rPr>
              <w:t>m</w:t>
            </w:r>
            <w:r>
              <w:rPr>
                <w:rFonts w:hint="default" w:eastAsia="仿宋_GB2312" w:cs="仿宋_GB2312"/>
                <w:color w:val="auto"/>
                <w:sz w:val="24"/>
                <w:highlight w:val="none"/>
                <w:vertAlign w:val="superscript"/>
                <w:lang w:val="en-US" w:eastAsia="zh-CN" w:bidi="ar"/>
              </w:rPr>
              <w:t>3</w:t>
            </w:r>
            <w:r>
              <w:rPr>
                <w:rFonts w:hint="default" w:eastAsia="仿宋_GB2312" w:cs="仿宋_GB2312"/>
                <w:color w:val="auto"/>
                <w:sz w:val="24"/>
                <w:highlight w:val="none"/>
                <w:lang w:val="en-US" w:eastAsia="zh-CN" w:bidi="ar"/>
              </w:rPr>
              <w:t>/a</w:t>
            </w:r>
            <w:r>
              <w:rPr>
                <w:rFonts w:hint="eastAsia" w:eastAsia="仿宋_GB2312" w:cs="仿宋_GB2312"/>
                <w:color w:val="auto"/>
                <w:sz w:val="24"/>
                <w:highlight w:val="none"/>
                <w:lang w:val="en-US" w:eastAsia="zh-CN" w:bidi="ar"/>
              </w:rPr>
              <w:t>，由含氮磷回用水和自来水进行补水，循环冷却系统水箱水量为30</w:t>
            </w:r>
            <w:r>
              <w:rPr>
                <w:rFonts w:hint="default" w:eastAsia="仿宋_GB2312" w:cs="仿宋_GB2312"/>
                <w:color w:val="auto"/>
                <w:sz w:val="24"/>
                <w:highlight w:val="none"/>
                <w:lang w:val="en-US" w:eastAsia="zh-CN" w:bidi="ar"/>
              </w:rPr>
              <w:t>m</w:t>
            </w:r>
            <w:r>
              <w:rPr>
                <w:rFonts w:hint="default" w:eastAsia="仿宋_GB2312" w:cs="仿宋_GB2312"/>
                <w:color w:val="auto"/>
                <w:sz w:val="24"/>
                <w:highlight w:val="none"/>
                <w:vertAlign w:val="superscript"/>
                <w:lang w:val="en-US" w:eastAsia="zh-CN" w:bidi="ar"/>
              </w:rPr>
              <w:t>3</w:t>
            </w:r>
            <w:r>
              <w:rPr>
                <w:rFonts w:hint="eastAsia" w:eastAsia="仿宋_GB2312" w:cs="仿宋_GB2312"/>
                <w:color w:val="auto"/>
                <w:sz w:val="24"/>
                <w:highlight w:val="none"/>
                <w:lang w:val="en-US" w:eastAsia="zh-CN" w:bidi="ar"/>
              </w:rPr>
              <w:t>。循环冷却系统每季度定期排水，一次排水量为30</w:t>
            </w:r>
            <w:r>
              <w:rPr>
                <w:rFonts w:hint="default" w:eastAsia="仿宋_GB2312" w:cs="仿宋_GB2312"/>
                <w:color w:val="auto"/>
                <w:sz w:val="24"/>
                <w:highlight w:val="none"/>
                <w:lang w:val="en-US" w:eastAsia="zh-CN" w:bidi="ar"/>
              </w:rPr>
              <w:t>m</w:t>
            </w:r>
            <w:r>
              <w:rPr>
                <w:rFonts w:hint="default" w:eastAsia="仿宋_GB2312" w:cs="仿宋_GB2312"/>
                <w:color w:val="auto"/>
                <w:sz w:val="24"/>
                <w:highlight w:val="none"/>
                <w:vertAlign w:val="superscript"/>
                <w:lang w:val="en-US" w:eastAsia="zh-CN" w:bidi="ar"/>
              </w:rPr>
              <w:t>3</w:t>
            </w:r>
            <w:r>
              <w:rPr>
                <w:rFonts w:hint="eastAsia" w:eastAsia="仿宋_GB2312" w:cs="仿宋_GB2312"/>
                <w:color w:val="auto"/>
                <w:sz w:val="24"/>
                <w:highlight w:val="none"/>
                <w:lang w:val="en-US" w:eastAsia="zh-CN" w:bidi="ar"/>
              </w:rPr>
              <w:t>，全年排水量约为120</w:t>
            </w:r>
            <w:r>
              <w:rPr>
                <w:rFonts w:hint="default" w:eastAsia="仿宋_GB2312" w:cs="仿宋_GB2312"/>
                <w:color w:val="auto"/>
                <w:sz w:val="24"/>
                <w:highlight w:val="none"/>
                <w:lang w:val="en-US" w:eastAsia="zh-CN" w:bidi="ar"/>
              </w:rPr>
              <w:t>m</w:t>
            </w:r>
            <w:r>
              <w:rPr>
                <w:rFonts w:hint="default" w:eastAsia="仿宋_GB2312" w:cs="仿宋_GB2312"/>
                <w:color w:val="auto"/>
                <w:sz w:val="24"/>
                <w:highlight w:val="none"/>
                <w:vertAlign w:val="superscript"/>
                <w:lang w:val="en-US" w:eastAsia="zh-CN" w:bidi="ar"/>
              </w:rPr>
              <w:t>3</w:t>
            </w:r>
            <w:r>
              <w:rPr>
                <w:rFonts w:hint="default" w:eastAsia="仿宋_GB2312" w:cs="仿宋_GB2312"/>
                <w:color w:val="auto"/>
                <w:sz w:val="24"/>
                <w:highlight w:val="none"/>
                <w:lang w:val="en-US" w:eastAsia="zh-CN" w:bidi="ar"/>
              </w:rPr>
              <w:t>/a</w:t>
            </w:r>
            <w:r>
              <w:rPr>
                <w:rFonts w:hint="eastAsia" w:eastAsia="仿宋_GB2312" w:cs="仿宋_GB2312"/>
                <w:color w:val="auto"/>
                <w:sz w:val="24"/>
                <w:highlight w:val="none"/>
                <w:lang w:val="en-US" w:eastAsia="zh-CN" w:bidi="ar"/>
              </w:rPr>
              <w:t>。</w:t>
            </w:r>
          </w:p>
          <w:p w14:paraId="7A0C4125">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2-42</w:t>
            </w:r>
            <w:r>
              <w:rPr>
                <w:rFonts w:hint="default" w:ascii="Times New Roman" w:hAnsi="Times New Roman" w:eastAsia="仿宋_GB2312" w:cs="Times New Roman"/>
                <w:b/>
                <w:color w:val="auto"/>
                <w:sz w:val="22"/>
                <w:szCs w:val="22"/>
              </w:rPr>
              <w:t>本项目中循环冷却系统排水产生情况表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159"/>
              <w:gridCol w:w="935"/>
              <w:gridCol w:w="1210"/>
              <w:gridCol w:w="1122"/>
              <w:gridCol w:w="2611"/>
            </w:tblGrid>
            <w:tr w14:paraId="58C8C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restart"/>
                  <w:vAlign w:val="center"/>
                </w:tcPr>
                <w:p w14:paraId="1201705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废水名称</w:t>
                  </w:r>
                </w:p>
              </w:tc>
              <w:tc>
                <w:tcPr>
                  <w:tcW w:w="688" w:type="pct"/>
                  <w:vMerge w:val="restart"/>
                  <w:vAlign w:val="center"/>
                </w:tcPr>
                <w:p w14:paraId="496597E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废水量（m</w:t>
                  </w:r>
                  <w:r>
                    <w:rPr>
                      <w:rFonts w:hint="default" w:ascii="Times New Roman" w:hAnsi="Times New Roman" w:eastAsia="仿宋_GB2312" w:cs="Times New Roman"/>
                      <w:b/>
                      <w:bCs/>
                      <w:color w:val="auto"/>
                      <w:sz w:val="21"/>
                      <w:vertAlign w:val="superscript"/>
                    </w:rPr>
                    <w:t>3</w:t>
                  </w:r>
                  <w:r>
                    <w:rPr>
                      <w:rFonts w:hint="default" w:ascii="Times New Roman" w:hAnsi="Times New Roman" w:eastAsia="仿宋_GB2312" w:cs="Times New Roman"/>
                      <w:b/>
                      <w:bCs/>
                      <w:color w:val="auto"/>
                      <w:sz w:val="21"/>
                    </w:rPr>
                    <w:t>/a）</w:t>
                  </w:r>
                </w:p>
              </w:tc>
              <w:tc>
                <w:tcPr>
                  <w:tcW w:w="555" w:type="pct"/>
                  <w:vMerge w:val="restart"/>
                  <w:vAlign w:val="center"/>
                </w:tcPr>
                <w:p w14:paraId="5C0C756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w:t>
                  </w:r>
                </w:p>
                <w:p w14:paraId="0F61847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名称</w:t>
                  </w:r>
                </w:p>
              </w:tc>
              <w:tc>
                <w:tcPr>
                  <w:tcW w:w="1384" w:type="pct"/>
                  <w:gridSpan w:val="2"/>
                  <w:vAlign w:val="center"/>
                </w:tcPr>
                <w:p w14:paraId="471EBB6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产生情况</w:t>
                  </w:r>
                </w:p>
              </w:tc>
              <w:tc>
                <w:tcPr>
                  <w:tcW w:w="1549" w:type="pct"/>
                  <w:vMerge w:val="restart"/>
                  <w:vAlign w:val="center"/>
                </w:tcPr>
                <w:p w14:paraId="491E1D9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拟采取的处理方式及排放去向</w:t>
                  </w:r>
                </w:p>
              </w:tc>
            </w:tr>
            <w:tr w14:paraId="0DB88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424C4B5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688" w:type="pct"/>
                  <w:vMerge w:val="continue"/>
                  <w:vAlign w:val="center"/>
                </w:tcPr>
                <w:p w14:paraId="731B144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555" w:type="pct"/>
                  <w:vMerge w:val="continue"/>
                  <w:vAlign w:val="center"/>
                </w:tcPr>
                <w:p w14:paraId="7DCFA10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718" w:type="pct"/>
                  <w:vAlign w:val="center"/>
                </w:tcPr>
                <w:p w14:paraId="2E7D97A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浓度</w:t>
                  </w:r>
                </w:p>
                <w:p w14:paraId="486535F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（mg/L）</w:t>
                  </w:r>
                </w:p>
              </w:tc>
              <w:tc>
                <w:tcPr>
                  <w:tcW w:w="666" w:type="pct"/>
                  <w:vAlign w:val="center"/>
                </w:tcPr>
                <w:p w14:paraId="686D7BA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w:t>
                  </w:r>
                </w:p>
                <w:p w14:paraId="2288D53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（t/a）</w:t>
                  </w:r>
                </w:p>
              </w:tc>
              <w:tc>
                <w:tcPr>
                  <w:tcW w:w="1549" w:type="pct"/>
                  <w:vMerge w:val="continue"/>
                  <w:vAlign w:val="center"/>
                </w:tcPr>
                <w:p w14:paraId="53BEABF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r>
            <w:tr w14:paraId="461E9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restart"/>
                  <w:vAlign w:val="center"/>
                </w:tcPr>
                <w:p w14:paraId="13B7072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循环冷却系统排水</w:t>
                  </w:r>
                </w:p>
              </w:tc>
              <w:tc>
                <w:tcPr>
                  <w:tcW w:w="688" w:type="pct"/>
                  <w:vMerge w:val="restart"/>
                  <w:vAlign w:val="center"/>
                </w:tcPr>
                <w:p w14:paraId="30EA01C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120</w:t>
                  </w:r>
                </w:p>
              </w:tc>
              <w:tc>
                <w:tcPr>
                  <w:tcW w:w="555" w:type="pct"/>
                  <w:vAlign w:val="center"/>
                </w:tcPr>
                <w:p w14:paraId="37C0C49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718" w:type="pct"/>
                  <w:vAlign w:val="center"/>
                </w:tcPr>
                <w:p w14:paraId="16A550D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rPr>
                    <w:t>100</w:t>
                  </w:r>
                </w:p>
              </w:tc>
              <w:tc>
                <w:tcPr>
                  <w:tcW w:w="1137" w:type="dxa"/>
                  <w:vAlign w:val="center"/>
                </w:tcPr>
                <w:p w14:paraId="22FBDFC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0.012</w:t>
                  </w:r>
                </w:p>
              </w:tc>
              <w:tc>
                <w:tcPr>
                  <w:tcW w:w="1549" w:type="pct"/>
                  <w:vMerge w:val="restart"/>
                  <w:vAlign w:val="center"/>
                </w:tcPr>
                <w:p w14:paraId="6F0C378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经污水站处理后回用至循环冷却系统</w:t>
                  </w:r>
                </w:p>
              </w:tc>
            </w:tr>
            <w:tr w14:paraId="02F67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62D6CCE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0B97CFF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55" w:type="pct"/>
                  <w:vAlign w:val="center"/>
                </w:tcPr>
                <w:p w14:paraId="2D9460D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718" w:type="pct"/>
                  <w:vAlign w:val="center"/>
                </w:tcPr>
                <w:p w14:paraId="6F30A5C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rPr>
                    <w:t>100</w:t>
                  </w:r>
                </w:p>
              </w:tc>
              <w:tc>
                <w:tcPr>
                  <w:tcW w:w="1137" w:type="dxa"/>
                  <w:vAlign w:val="center"/>
                </w:tcPr>
                <w:p w14:paraId="6FF5021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0.012</w:t>
                  </w:r>
                </w:p>
              </w:tc>
              <w:tc>
                <w:tcPr>
                  <w:tcW w:w="1549" w:type="pct"/>
                  <w:vMerge w:val="continue"/>
                  <w:vAlign w:val="center"/>
                </w:tcPr>
                <w:p w14:paraId="4A8C72C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1F714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04F2D7D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453FDEE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55" w:type="pct"/>
                  <w:vAlign w:val="center"/>
                </w:tcPr>
                <w:p w14:paraId="09593F3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718" w:type="pct"/>
                  <w:vAlign w:val="center"/>
                </w:tcPr>
                <w:p w14:paraId="2E83C42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w:t>
                  </w:r>
                </w:p>
              </w:tc>
              <w:tc>
                <w:tcPr>
                  <w:tcW w:w="1137" w:type="dxa"/>
                  <w:vAlign w:val="center"/>
                </w:tcPr>
                <w:p w14:paraId="72413F3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0.0012 </w:t>
                  </w:r>
                </w:p>
              </w:tc>
              <w:tc>
                <w:tcPr>
                  <w:tcW w:w="1549" w:type="pct"/>
                  <w:vMerge w:val="continue"/>
                  <w:vAlign w:val="center"/>
                </w:tcPr>
                <w:p w14:paraId="104986D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3A0AC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25AEEE7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5634F1A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55" w:type="pct"/>
                  <w:vAlign w:val="center"/>
                </w:tcPr>
                <w:p w14:paraId="45FE4F7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718" w:type="pct"/>
                  <w:vAlign w:val="center"/>
                </w:tcPr>
                <w:p w14:paraId="54DB575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15</w:t>
                  </w:r>
                </w:p>
              </w:tc>
              <w:tc>
                <w:tcPr>
                  <w:tcW w:w="1137" w:type="dxa"/>
                  <w:vAlign w:val="center"/>
                </w:tcPr>
                <w:p w14:paraId="7DD2F13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0.0018</w:t>
                  </w:r>
                </w:p>
              </w:tc>
              <w:tc>
                <w:tcPr>
                  <w:tcW w:w="1549" w:type="pct"/>
                  <w:vMerge w:val="continue"/>
                  <w:vAlign w:val="center"/>
                </w:tcPr>
                <w:p w14:paraId="14E94E8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41660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3424822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2D03721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55" w:type="pct"/>
                  <w:vAlign w:val="center"/>
                </w:tcPr>
                <w:p w14:paraId="6DAE928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718" w:type="pct"/>
                  <w:vAlign w:val="center"/>
                </w:tcPr>
                <w:p w14:paraId="1DC29FD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w:t>
                  </w:r>
                </w:p>
              </w:tc>
              <w:tc>
                <w:tcPr>
                  <w:tcW w:w="1137" w:type="dxa"/>
                  <w:vAlign w:val="center"/>
                </w:tcPr>
                <w:p w14:paraId="4EE6276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0.00024 </w:t>
                  </w:r>
                </w:p>
              </w:tc>
              <w:tc>
                <w:tcPr>
                  <w:tcW w:w="1549" w:type="pct"/>
                  <w:vMerge w:val="continue"/>
                  <w:vAlign w:val="center"/>
                </w:tcPr>
                <w:p w14:paraId="5C77936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611F2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046034F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13F1C9C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55" w:type="pct"/>
                  <w:vAlign w:val="center"/>
                </w:tcPr>
                <w:p w14:paraId="754B880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718" w:type="pct"/>
                  <w:vAlign w:val="center"/>
                </w:tcPr>
                <w:p w14:paraId="553F62F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rPr>
                    <w:t>2000</w:t>
                  </w:r>
                </w:p>
              </w:tc>
              <w:tc>
                <w:tcPr>
                  <w:tcW w:w="1137" w:type="dxa"/>
                  <w:vAlign w:val="center"/>
                </w:tcPr>
                <w:p w14:paraId="2507F4F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0.24 </w:t>
                  </w:r>
                </w:p>
              </w:tc>
              <w:tc>
                <w:tcPr>
                  <w:tcW w:w="1549" w:type="pct"/>
                  <w:vMerge w:val="continue"/>
                  <w:vAlign w:val="center"/>
                </w:tcPr>
                <w:p w14:paraId="4BBDE3B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bl>
          <w:p w14:paraId="1ADE5407">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仿宋_GB2312" w:cs="Times New Roman"/>
                <w:bCs/>
                <w:color w:val="auto"/>
                <w:sz w:val="24"/>
                <w:highlight w:val="none"/>
                <w:lang w:val="en-US" w:eastAsia="zh-CN"/>
              </w:rPr>
            </w:pPr>
            <w:r>
              <w:rPr>
                <w:rFonts w:hint="default" w:ascii="Times New Roman" w:hAnsi="Times New Roman" w:eastAsia="仿宋_GB2312" w:cs="Times New Roman"/>
                <w:bCs/>
                <w:color w:val="auto"/>
                <w:sz w:val="24"/>
                <w:highlight w:val="none"/>
                <w:lang w:val="en-US" w:eastAsia="zh-CN"/>
              </w:rPr>
              <w:t>⑦废气喷淋废水</w:t>
            </w:r>
          </w:p>
          <w:p w14:paraId="2CA1D870">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仿宋_GB2312" w:cs="Times New Roman"/>
                <w:bCs/>
                <w:color w:val="auto"/>
                <w:sz w:val="24"/>
                <w:highlight w:val="none"/>
                <w:lang w:val="en-US" w:eastAsia="zh-CN"/>
              </w:rPr>
            </w:pPr>
            <w:r>
              <w:rPr>
                <w:rFonts w:hint="default" w:ascii="Times New Roman" w:hAnsi="Times New Roman" w:eastAsia="仿宋_GB2312" w:cs="Times New Roman"/>
                <w:bCs/>
                <w:color w:val="auto"/>
                <w:sz w:val="24"/>
                <w:highlight w:val="none"/>
                <w:lang w:val="en-US" w:eastAsia="zh-CN"/>
              </w:rPr>
              <w:t>本项目废气采用“酸吸收+碱吸收+除雾器+两级活性炭吸附”处理后有组织排放。每周更换一次喷淋水，每次更换3m</w:t>
            </w:r>
            <w:r>
              <w:rPr>
                <w:rFonts w:hint="default" w:ascii="Times New Roman" w:hAnsi="Times New Roman" w:eastAsia="仿宋_GB2312" w:cs="Times New Roman"/>
                <w:bCs/>
                <w:color w:val="auto"/>
                <w:sz w:val="24"/>
                <w:highlight w:val="none"/>
                <w:vertAlign w:val="superscript"/>
                <w:lang w:val="en-US" w:eastAsia="zh-CN"/>
              </w:rPr>
              <w:t>3</w:t>
            </w:r>
            <w:r>
              <w:rPr>
                <w:rFonts w:hint="default" w:ascii="Times New Roman" w:hAnsi="Times New Roman" w:eastAsia="仿宋_GB2312" w:cs="Times New Roman"/>
                <w:bCs/>
                <w:color w:val="auto"/>
                <w:sz w:val="24"/>
                <w:highlight w:val="none"/>
                <w:lang w:val="en-US" w:eastAsia="zh-CN"/>
              </w:rPr>
              <w:t>，本项目废气喷淋水量约为120m</w:t>
            </w:r>
            <w:r>
              <w:rPr>
                <w:rFonts w:hint="default" w:ascii="Times New Roman" w:hAnsi="Times New Roman" w:eastAsia="仿宋_GB2312" w:cs="Times New Roman"/>
                <w:bCs/>
                <w:color w:val="auto"/>
                <w:sz w:val="24"/>
                <w:highlight w:val="none"/>
                <w:vertAlign w:val="superscript"/>
                <w:lang w:val="en-US" w:eastAsia="zh-CN"/>
              </w:rPr>
              <w:t>3</w:t>
            </w:r>
            <w:r>
              <w:rPr>
                <w:rFonts w:hint="default" w:ascii="Times New Roman" w:hAnsi="Times New Roman" w:eastAsia="仿宋_GB2312" w:cs="Times New Roman"/>
                <w:bCs/>
                <w:color w:val="auto"/>
                <w:sz w:val="24"/>
                <w:highlight w:val="none"/>
                <w:lang w:val="en-US" w:eastAsia="zh-CN"/>
              </w:rPr>
              <w:t>/a。</w:t>
            </w:r>
          </w:p>
          <w:p w14:paraId="13D2E431">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2-43</w:t>
            </w:r>
            <w:r>
              <w:rPr>
                <w:rFonts w:hint="default" w:ascii="Times New Roman" w:hAnsi="Times New Roman" w:eastAsia="仿宋_GB2312" w:cs="Times New Roman"/>
                <w:b/>
                <w:color w:val="auto"/>
                <w:sz w:val="22"/>
                <w:szCs w:val="22"/>
              </w:rPr>
              <w:t>本项目中废气喷淋水产生情况表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159"/>
              <w:gridCol w:w="1415"/>
              <w:gridCol w:w="1398"/>
              <w:gridCol w:w="1161"/>
              <w:gridCol w:w="1904"/>
            </w:tblGrid>
            <w:tr w14:paraId="34E9F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restart"/>
                  <w:vAlign w:val="center"/>
                </w:tcPr>
                <w:p w14:paraId="27A1EBD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废水名称</w:t>
                  </w:r>
                </w:p>
              </w:tc>
              <w:tc>
                <w:tcPr>
                  <w:tcW w:w="688" w:type="pct"/>
                  <w:vMerge w:val="restart"/>
                  <w:vAlign w:val="center"/>
                </w:tcPr>
                <w:p w14:paraId="5CAF238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废水量（m</w:t>
                  </w:r>
                  <w:r>
                    <w:rPr>
                      <w:rFonts w:hint="default" w:ascii="Times New Roman" w:hAnsi="Times New Roman" w:eastAsia="仿宋_GB2312" w:cs="Times New Roman"/>
                      <w:b/>
                      <w:bCs/>
                      <w:color w:val="auto"/>
                      <w:sz w:val="21"/>
                      <w:vertAlign w:val="superscript"/>
                    </w:rPr>
                    <w:t>3</w:t>
                  </w:r>
                  <w:r>
                    <w:rPr>
                      <w:rFonts w:hint="default" w:ascii="Times New Roman" w:hAnsi="Times New Roman" w:eastAsia="仿宋_GB2312" w:cs="Times New Roman"/>
                      <w:b/>
                      <w:bCs/>
                      <w:color w:val="auto"/>
                      <w:sz w:val="21"/>
                    </w:rPr>
                    <w:t>/a）</w:t>
                  </w:r>
                </w:p>
              </w:tc>
              <w:tc>
                <w:tcPr>
                  <w:tcW w:w="840" w:type="pct"/>
                  <w:vMerge w:val="restart"/>
                  <w:vAlign w:val="center"/>
                </w:tcPr>
                <w:p w14:paraId="104A995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1519" w:type="pct"/>
                  <w:gridSpan w:val="2"/>
                  <w:vAlign w:val="center"/>
                </w:tcPr>
                <w:p w14:paraId="51BDEB7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产生情况</w:t>
                  </w:r>
                </w:p>
              </w:tc>
              <w:tc>
                <w:tcPr>
                  <w:tcW w:w="1130" w:type="pct"/>
                  <w:vMerge w:val="restart"/>
                  <w:vAlign w:val="center"/>
                </w:tcPr>
                <w:p w14:paraId="6D2237A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拟采取的处理方式及排放去向</w:t>
                  </w:r>
                </w:p>
              </w:tc>
            </w:tr>
            <w:tr w14:paraId="1D599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5296D37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688" w:type="pct"/>
                  <w:vMerge w:val="continue"/>
                  <w:vAlign w:val="center"/>
                </w:tcPr>
                <w:p w14:paraId="128233F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840" w:type="pct"/>
                  <w:vMerge w:val="continue"/>
                  <w:vAlign w:val="center"/>
                </w:tcPr>
                <w:p w14:paraId="5FB17E0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830" w:type="pct"/>
                  <w:vAlign w:val="center"/>
                </w:tcPr>
                <w:p w14:paraId="58BB173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浓度</w:t>
                  </w:r>
                </w:p>
                <w:p w14:paraId="56B7268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（mg/L）</w:t>
                  </w:r>
                </w:p>
              </w:tc>
              <w:tc>
                <w:tcPr>
                  <w:tcW w:w="689" w:type="pct"/>
                  <w:vAlign w:val="center"/>
                </w:tcPr>
                <w:p w14:paraId="11CA1F2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w:t>
                  </w:r>
                </w:p>
                <w:p w14:paraId="1D73F90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（t/a）</w:t>
                  </w:r>
                </w:p>
              </w:tc>
              <w:tc>
                <w:tcPr>
                  <w:tcW w:w="1130" w:type="pct"/>
                  <w:vMerge w:val="continue"/>
                  <w:vAlign w:val="center"/>
                </w:tcPr>
                <w:p w14:paraId="04505AF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r>
            <w:tr w14:paraId="6364B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restart"/>
                  <w:vAlign w:val="center"/>
                </w:tcPr>
                <w:p w14:paraId="5F45428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废气喷淋废水</w:t>
                  </w:r>
                </w:p>
              </w:tc>
              <w:tc>
                <w:tcPr>
                  <w:tcW w:w="688" w:type="pct"/>
                  <w:vMerge w:val="restart"/>
                  <w:vAlign w:val="center"/>
                </w:tcPr>
                <w:p w14:paraId="408C1AD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120</w:t>
                  </w:r>
                </w:p>
              </w:tc>
              <w:tc>
                <w:tcPr>
                  <w:tcW w:w="840" w:type="pct"/>
                  <w:vAlign w:val="center"/>
                </w:tcPr>
                <w:p w14:paraId="184569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bidi="ar"/>
                    </w:rPr>
                    <w:t>COD</w:t>
                  </w:r>
                </w:p>
              </w:tc>
              <w:tc>
                <w:tcPr>
                  <w:tcW w:w="830" w:type="pct"/>
                  <w:vAlign w:val="center"/>
                </w:tcPr>
                <w:p w14:paraId="1934FB7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500</w:t>
                  </w:r>
                </w:p>
              </w:tc>
              <w:tc>
                <w:tcPr>
                  <w:tcW w:w="689" w:type="pct"/>
                  <w:vAlign w:val="center"/>
                </w:tcPr>
                <w:p w14:paraId="5EE4112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0.06</w:t>
                  </w:r>
                </w:p>
              </w:tc>
              <w:tc>
                <w:tcPr>
                  <w:tcW w:w="1130" w:type="pct"/>
                  <w:vMerge w:val="restart"/>
                  <w:vAlign w:val="center"/>
                </w:tcPr>
                <w:p w14:paraId="6399730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经污水站处理后回用至循环冷却系统</w:t>
                  </w:r>
                </w:p>
              </w:tc>
            </w:tr>
            <w:tr w14:paraId="5C30E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00D54D9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0D2659F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840" w:type="pct"/>
                  <w:vAlign w:val="center"/>
                </w:tcPr>
                <w:p w14:paraId="1C28F73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SS</w:t>
                  </w:r>
                </w:p>
              </w:tc>
              <w:tc>
                <w:tcPr>
                  <w:tcW w:w="830" w:type="pct"/>
                  <w:vAlign w:val="center"/>
                </w:tcPr>
                <w:p w14:paraId="45EB120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200</w:t>
                  </w:r>
                </w:p>
              </w:tc>
              <w:tc>
                <w:tcPr>
                  <w:tcW w:w="689" w:type="pct"/>
                  <w:vAlign w:val="center"/>
                </w:tcPr>
                <w:p w14:paraId="7E88AB4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0.024</w:t>
                  </w:r>
                </w:p>
              </w:tc>
              <w:tc>
                <w:tcPr>
                  <w:tcW w:w="1130" w:type="pct"/>
                  <w:vMerge w:val="continue"/>
                  <w:vAlign w:val="center"/>
                </w:tcPr>
                <w:p w14:paraId="6A60342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EBEA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6EEE25A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1CE042F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840" w:type="pct"/>
                  <w:vAlign w:val="center"/>
                </w:tcPr>
                <w:p w14:paraId="1316F0C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830" w:type="pct"/>
                  <w:vAlign w:val="center"/>
                </w:tcPr>
                <w:p w14:paraId="6958853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392</w:t>
                  </w:r>
                </w:p>
              </w:tc>
              <w:tc>
                <w:tcPr>
                  <w:tcW w:w="689" w:type="pct"/>
                  <w:vAlign w:val="center"/>
                </w:tcPr>
                <w:p w14:paraId="6F480805">
                  <w:pPr>
                    <w:keepNext w:val="0"/>
                    <w:keepLines w:val="0"/>
                    <w:suppressLineNumbers w:val="0"/>
                    <w:adjustRightInd w:val="0"/>
                    <w:snapToGrid w:val="0"/>
                    <w:spacing w:before="0" w:beforeAutospacing="0" w:after="0" w:afterAutospacing="0" w:line="320" w:lineRule="exact"/>
                    <w:ind w:left="0" w:right="0"/>
                    <w:jc w:val="center"/>
                    <w:rPr>
                      <w:rFonts w:hint="eastAsia"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rPr>
                    <w:t>0.04</w:t>
                  </w:r>
                  <w:r>
                    <w:rPr>
                      <w:rFonts w:hint="eastAsia" w:eastAsia="仿宋_GB2312" w:cs="Times New Roman"/>
                      <w:color w:val="auto"/>
                      <w:sz w:val="21"/>
                      <w:lang w:val="en-US" w:eastAsia="zh-CN"/>
                    </w:rPr>
                    <w:t>7</w:t>
                  </w:r>
                </w:p>
              </w:tc>
              <w:tc>
                <w:tcPr>
                  <w:tcW w:w="1130" w:type="pct"/>
                  <w:vMerge w:val="continue"/>
                  <w:vAlign w:val="center"/>
                </w:tcPr>
                <w:p w14:paraId="0E27F48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6CD2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21" w:type="pct"/>
                  <w:vMerge w:val="continue"/>
                  <w:vAlign w:val="center"/>
                </w:tcPr>
                <w:p w14:paraId="4DE10E5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781DCA4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840" w:type="pct"/>
                  <w:vAlign w:val="center"/>
                </w:tcPr>
                <w:p w14:paraId="292EE40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830" w:type="pct"/>
                  <w:vAlign w:val="center"/>
                </w:tcPr>
                <w:p w14:paraId="3952DF3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color w:val="auto"/>
                      <w:sz w:val="21"/>
                      <w:lang w:val="en-US" w:eastAsia="zh-CN"/>
                    </w:rPr>
                    <w:t>392</w:t>
                  </w:r>
                </w:p>
              </w:tc>
              <w:tc>
                <w:tcPr>
                  <w:tcW w:w="689" w:type="pct"/>
                  <w:vAlign w:val="center"/>
                </w:tcPr>
                <w:p w14:paraId="5C4D2A1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0.04</w:t>
                  </w:r>
                  <w:r>
                    <w:rPr>
                      <w:rFonts w:hint="eastAsia" w:eastAsia="仿宋_GB2312" w:cs="Times New Roman"/>
                      <w:color w:val="auto"/>
                      <w:sz w:val="21"/>
                      <w:lang w:val="en-US" w:eastAsia="zh-CN"/>
                    </w:rPr>
                    <w:t>7</w:t>
                  </w:r>
                </w:p>
              </w:tc>
              <w:tc>
                <w:tcPr>
                  <w:tcW w:w="1130" w:type="pct"/>
                  <w:vMerge w:val="continue"/>
                  <w:vAlign w:val="center"/>
                </w:tcPr>
                <w:p w14:paraId="09765A9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FF84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373A6DD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88" w:type="pct"/>
                  <w:vMerge w:val="continue"/>
                  <w:vAlign w:val="center"/>
                </w:tcPr>
                <w:p w14:paraId="16D4864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840" w:type="pct"/>
                  <w:vAlign w:val="center"/>
                </w:tcPr>
                <w:p w14:paraId="3A71451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bidi="ar"/>
                    </w:rPr>
                    <w:t>盐分</w:t>
                  </w:r>
                </w:p>
              </w:tc>
              <w:tc>
                <w:tcPr>
                  <w:tcW w:w="830" w:type="pct"/>
                  <w:vAlign w:val="center"/>
                </w:tcPr>
                <w:p w14:paraId="3AE61C0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700</w:t>
                  </w:r>
                </w:p>
              </w:tc>
              <w:tc>
                <w:tcPr>
                  <w:tcW w:w="689" w:type="pct"/>
                  <w:vAlign w:val="center"/>
                </w:tcPr>
                <w:p w14:paraId="5850C04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sz w:val="21"/>
                    </w:rPr>
                    <w:t>0.</w:t>
                  </w:r>
                  <w:r>
                    <w:rPr>
                      <w:rFonts w:hint="eastAsia" w:eastAsia="仿宋_GB2312" w:cs="Times New Roman"/>
                      <w:color w:val="auto"/>
                      <w:sz w:val="21"/>
                      <w:lang w:val="en-US" w:eastAsia="zh-CN"/>
                    </w:rPr>
                    <w:t>084</w:t>
                  </w:r>
                </w:p>
              </w:tc>
              <w:tc>
                <w:tcPr>
                  <w:tcW w:w="1130" w:type="pct"/>
                  <w:vMerge w:val="continue"/>
                  <w:vAlign w:val="center"/>
                </w:tcPr>
                <w:p w14:paraId="6A6426E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bl>
          <w:p w14:paraId="660F7432">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仿宋_GB2312" w:cs="Times New Roman"/>
                <w:bCs/>
                <w:color w:val="auto"/>
                <w:sz w:val="24"/>
                <w:highlight w:val="none"/>
                <w:lang w:val="en-US" w:eastAsia="zh-CN"/>
              </w:rPr>
            </w:pPr>
            <w:r>
              <w:rPr>
                <w:rFonts w:hint="eastAsia" w:ascii="Times New Roman" w:hAnsi="Times New Roman" w:eastAsia="仿宋_GB2312" w:cs="Times New Roman"/>
                <w:bCs/>
                <w:color w:val="auto"/>
                <w:sz w:val="24"/>
                <w:highlight w:val="none"/>
                <w:lang w:val="en-US" w:eastAsia="zh-CN"/>
              </w:rPr>
              <w:t>⑧质检区废水</w:t>
            </w:r>
          </w:p>
          <w:p w14:paraId="71D98689">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仿宋_GB2312" w:cs="Times New Roman"/>
                <w:bCs/>
                <w:color w:val="auto"/>
                <w:sz w:val="24"/>
                <w:highlight w:val="none"/>
                <w:lang w:val="en-US" w:eastAsia="zh-CN"/>
              </w:rPr>
            </w:pPr>
            <w:r>
              <w:rPr>
                <w:rFonts w:hint="eastAsia" w:ascii="Times New Roman" w:hAnsi="Times New Roman" w:eastAsia="仿宋_GB2312" w:cs="Times New Roman"/>
                <w:bCs/>
                <w:color w:val="auto"/>
                <w:sz w:val="24"/>
                <w:highlight w:val="none"/>
                <w:lang w:val="en-US" w:eastAsia="zh-CN"/>
              </w:rPr>
              <w:t>本项目在</w:t>
            </w:r>
            <w:r>
              <w:rPr>
                <w:rFonts w:hint="default" w:ascii="Times New Roman" w:hAnsi="Times New Roman" w:eastAsia="仿宋_GB2312" w:cs="Times New Roman"/>
                <w:bCs/>
                <w:color w:val="auto"/>
                <w:sz w:val="24"/>
                <w:highlight w:val="none"/>
                <w:lang w:val="en-US" w:eastAsia="zh-CN"/>
              </w:rPr>
              <w:t>车间</w:t>
            </w:r>
            <w:r>
              <w:rPr>
                <w:rFonts w:hint="eastAsia" w:ascii="Times New Roman" w:hAnsi="Times New Roman" w:eastAsia="仿宋_GB2312" w:cs="Times New Roman"/>
                <w:bCs/>
                <w:color w:val="auto"/>
                <w:sz w:val="24"/>
                <w:highlight w:val="none"/>
                <w:lang w:val="en-US" w:eastAsia="zh-CN"/>
              </w:rPr>
              <w:t>二</w:t>
            </w:r>
            <w:r>
              <w:rPr>
                <w:rFonts w:hint="default" w:ascii="Times New Roman" w:hAnsi="Times New Roman" w:eastAsia="仿宋_GB2312" w:cs="Times New Roman"/>
                <w:bCs/>
                <w:color w:val="auto"/>
                <w:sz w:val="24"/>
                <w:highlight w:val="none"/>
                <w:lang w:val="en-US" w:eastAsia="zh-CN"/>
              </w:rPr>
              <w:t>层局部区域设置质检区，为</w:t>
            </w:r>
            <w:r>
              <w:rPr>
                <w:rFonts w:hint="eastAsia" w:ascii="Times New Roman" w:hAnsi="Times New Roman" w:eastAsia="仿宋_GB2312" w:cs="Times New Roman"/>
                <w:bCs/>
                <w:color w:val="auto"/>
                <w:sz w:val="24"/>
                <w:highlight w:val="none"/>
                <w:lang w:val="en-US" w:eastAsia="zh-CN"/>
              </w:rPr>
              <w:t>产品</w:t>
            </w:r>
            <w:r>
              <w:rPr>
                <w:rFonts w:hint="default" w:ascii="Times New Roman" w:hAnsi="Times New Roman" w:eastAsia="仿宋_GB2312" w:cs="Times New Roman"/>
                <w:bCs/>
                <w:color w:val="auto"/>
                <w:sz w:val="24"/>
                <w:highlight w:val="none"/>
                <w:lang w:val="en-US" w:eastAsia="zh-CN"/>
              </w:rPr>
              <w:t>生产质量控制服务，包括原辅料、包装材料的质量控制、</w:t>
            </w:r>
            <w:r>
              <w:rPr>
                <w:rFonts w:hint="eastAsia" w:ascii="Times New Roman" w:hAnsi="Times New Roman" w:eastAsia="仿宋_GB2312" w:cs="Times New Roman"/>
                <w:bCs/>
                <w:color w:val="auto"/>
                <w:sz w:val="24"/>
                <w:highlight w:val="none"/>
                <w:lang w:val="en-US" w:eastAsia="zh-CN"/>
              </w:rPr>
              <w:t>产品</w:t>
            </w:r>
            <w:r>
              <w:rPr>
                <w:rFonts w:hint="default" w:ascii="Times New Roman" w:hAnsi="Times New Roman" w:eastAsia="仿宋_GB2312" w:cs="Times New Roman"/>
                <w:bCs/>
                <w:color w:val="auto"/>
                <w:sz w:val="24"/>
                <w:highlight w:val="none"/>
                <w:lang w:val="en-US" w:eastAsia="zh-CN"/>
              </w:rPr>
              <w:t>出厂的质量控制等。</w:t>
            </w:r>
            <w:r>
              <w:rPr>
                <w:rFonts w:hint="eastAsia" w:ascii="Times New Roman" w:hAnsi="Times New Roman" w:eastAsia="仿宋_GB2312" w:cs="Times New Roman"/>
                <w:bCs/>
                <w:color w:val="auto"/>
                <w:sz w:val="24"/>
                <w:highlight w:val="none"/>
                <w:lang w:val="en-US" w:eastAsia="zh-CN"/>
              </w:rPr>
              <w:t>质检区</w:t>
            </w:r>
            <w:r>
              <w:rPr>
                <w:rFonts w:hint="default" w:ascii="Times New Roman" w:hAnsi="Times New Roman" w:eastAsia="仿宋_GB2312" w:cs="Times New Roman"/>
                <w:bCs/>
                <w:color w:val="auto"/>
                <w:sz w:val="24"/>
                <w:highlight w:val="none"/>
                <w:lang w:val="en-US" w:eastAsia="zh-CN"/>
              </w:rPr>
              <w:t>用</w:t>
            </w:r>
            <w:r>
              <w:rPr>
                <w:rFonts w:hint="eastAsia" w:ascii="Times New Roman" w:hAnsi="Times New Roman" w:eastAsia="仿宋_GB2312" w:cs="Times New Roman"/>
                <w:bCs/>
                <w:color w:val="auto"/>
                <w:sz w:val="24"/>
                <w:highlight w:val="none"/>
                <w:lang w:val="en-US" w:eastAsia="zh-CN"/>
              </w:rPr>
              <w:t>纯水，类比同类同规模的企业质检区，本项目质检区</w:t>
            </w:r>
            <w:r>
              <w:rPr>
                <w:rFonts w:hint="default" w:ascii="Times New Roman" w:hAnsi="Times New Roman" w:eastAsia="仿宋_GB2312" w:cs="Times New Roman"/>
                <w:bCs/>
                <w:color w:val="auto"/>
                <w:sz w:val="24"/>
                <w:highlight w:val="none"/>
                <w:lang w:val="en-US" w:eastAsia="zh-CN"/>
              </w:rPr>
              <w:t>废水产生量约为30</w:t>
            </w:r>
            <w:r>
              <w:rPr>
                <w:rFonts w:hint="eastAsia" w:ascii="Times New Roman" w:hAnsi="Times New Roman" w:eastAsia="仿宋_GB2312" w:cs="Times New Roman"/>
                <w:bCs/>
                <w:color w:val="auto"/>
                <w:sz w:val="24"/>
                <w:highlight w:val="none"/>
                <w:lang w:val="en-US" w:eastAsia="zh-CN"/>
              </w:rPr>
              <w:t>t</w:t>
            </w:r>
            <w:r>
              <w:rPr>
                <w:rFonts w:hint="default" w:ascii="Times New Roman" w:hAnsi="Times New Roman" w:eastAsia="仿宋_GB2312" w:cs="Times New Roman"/>
                <w:bCs/>
                <w:color w:val="auto"/>
                <w:sz w:val="24"/>
                <w:highlight w:val="none"/>
                <w:lang w:val="en-US" w:eastAsia="zh-CN"/>
              </w:rPr>
              <w:t>/a，具体产生情况见</w:t>
            </w:r>
            <w:r>
              <w:rPr>
                <w:rFonts w:hint="eastAsia" w:eastAsia="仿宋_GB2312" w:cs="Times New Roman"/>
                <w:bCs/>
                <w:color w:val="auto"/>
                <w:sz w:val="24"/>
                <w:highlight w:val="none"/>
                <w:lang w:val="en-US" w:eastAsia="zh-CN"/>
              </w:rPr>
              <w:t>下</w:t>
            </w:r>
            <w:r>
              <w:rPr>
                <w:rFonts w:hint="default" w:ascii="Times New Roman" w:hAnsi="Times New Roman" w:eastAsia="仿宋_GB2312" w:cs="Times New Roman"/>
                <w:bCs/>
                <w:color w:val="auto"/>
                <w:sz w:val="24"/>
                <w:highlight w:val="none"/>
                <w:lang w:val="en-US" w:eastAsia="zh-CN"/>
              </w:rPr>
              <w:t>表。</w:t>
            </w:r>
          </w:p>
          <w:p w14:paraId="0803FD6E">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2-44</w:t>
            </w:r>
            <w:r>
              <w:rPr>
                <w:rFonts w:hint="default" w:ascii="Times New Roman" w:hAnsi="Times New Roman" w:eastAsia="仿宋_GB2312" w:cs="Times New Roman"/>
                <w:b/>
                <w:color w:val="auto"/>
                <w:sz w:val="22"/>
                <w:szCs w:val="22"/>
              </w:rPr>
              <w:t xml:space="preserve"> </w:t>
            </w:r>
            <w:r>
              <w:rPr>
                <w:rFonts w:hint="eastAsia" w:ascii="Times New Roman" w:hAnsi="Times New Roman" w:eastAsia="仿宋_GB2312" w:cs="Times New Roman"/>
                <w:b/>
                <w:color w:val="auto"/>
                <w:sz w:val="22"/>
                <w:szCs w:val="22"/>
              </w:rPr>
              <w:t>质检区</w:t>
            </w:r>
            <w:r>
              <w:rPr>
                <w:rFonts w:hint="default" w:ascii="Times New Roman" w:hAnsi="Times New Roman" w:eastAsia="仿宋_GB2312" w:cs="Times New Roman"/>
                <w:b/>
                <w:color w:val="auto"/>
                <w:sz w:val="22"/>
                <w:szCs w:val="22"/>
              </w:rPr>
              <w:t>废水产生情况表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9"/>
              <w:gridCol w:w="1075"/>
              <w:gridCol w:w="1696"/>
              <w:gridCol w:w="1388"/>
              <w:gridCol w:w="1545"/>
              <w:gridCol w:w="1324"/>
            </w:tblGrid>
            <w:tr w14:paraId="643B2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5" w:type="pct"/>
                  <w:vAlign w:val="center"/>
                </w:tcPr>
                <w:p w14:paraId="5C7E4D1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废水名称</w:t>
                  </w:r>
                </w:p>
              </w:tc>
              <w:tc>
                <w:tcPr>
                  <w:tcW w:w="638" w:type="pct"/>
                  <w:vAlign w:val="center"/>
                </w:tcPr>
                <w:p w14:paraId="3DDA0F7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废水量(m</w:t>
                  </w:r>
                  <w:r>
                    <w:rPr>
                      <w:rFonts w:hint="default" w:ascii="Times New Roman" w:hAnsi="Times New Roman" w:eastAsia="仿宋_GB2312" w:cs="Times New Roman"/>
                      <w:b/>
                      <w:bCs/>
                      <w:color w:val="auto"/>
                      <w:sz w:val="21"/>
                      <w:vertAlign w:val="superscript"/>
                    </w:rPr>
                    <w:t>3</w:t>
                  </w:r>
                  <w:r>
                    <w:rPr>
                      <w:rFonts w:hint="default" w:ascii="Times New Roman" w:hAnsi="Times New Roman" w:eastAsia="仿宋_GB2312" w:cs="Times New Roman"/>
                      <w:b/>
                      <w:bCs/>
                      <w:color w:val="auto"/>
                      <w:sz w:val="21"/>
                    </w:rPr>
                    <w:t>/a)</w:t>
                  </w:r>
                </w:p>
              </w:tc>
              <w:tc>
                <w:tcPr>
                  <w:tcW w:w="1007" w:type="pct"/>
                  <w:vAlign w:val="center"/>
                </w:tcPr>
                <w:p w14:paraId="2F61743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824" w:type="pct"/>
                  <w:vAlign w:val="center"/>
                </w:tcPr>
                <w:p w14:paraId="4FBDE53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浓度(mg/L)</w:t>
                  </w:r>
                </w:p>
              </w:tc>
              <w:tc>
                <w:tcPr>
                  <w:tcW w:w="917" w:type="pct"/>
                  <w:vAlign w:val="center"/>
                </w:tcPr>
                <w:p w14:paraId="3CC0F7D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产生量(t/a)</w:t>
                  </w:r>
                </w:p>
              </w:tc>
              <w:tc>
                <w:tcPr>
                  <w:tcW w:w="786" w:type="pct"/>
                  <w:vAlign w:val="center"/>
                </w:tcPr>
                <w:p w14:paraId="3FFB70E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排放去向</w:t>
                  </w:r>
                </w:p>
              </w:tc>
            </w:tr>
            <w:tr w14:paraId="2A04E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5" w:type="pct"/>
                  <w:vMerge w:val="restart"/>
                  <w:vAlign w:val="center"/>
                </w:tcPr>
                <w:p w14:paraId="60C1FB6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质检区废水</w:t>
                  </w:r>
                </w:p>
              </w:tc>
              <w:tc>
                <w:tcPr>
                  <w:tcW w:w="638" w:type="pct"/>
                  <w:vMerge w:val="restart"/>
                  <w:vAlign w:val="center"/>
                </w:tcPr>
                <w:p w14:paraId="60BFAEC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30</w:t>
                  </w:r>
                </w:p>
              </w:tc>
              <w:tc>
                <w:tcPr>
                  <w:tcW w:w="1007" w:type="pct"/>
                  <w:vAlign w:val="center"/>
                </w:tcPr>
                <w:p w14:paraId="7F16587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COD</w:t>
                  </w:r>
                </w:p>
              </w:tc>
              <w:tc>
                <w:tcPr>
                  <w:tcW w:w="824" w:type="pct"/>
                  <w:vAlign w:val="center"/>
                </w:tcPr>
                <w:p w14:paraId="60DB4E4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1000</w:t>
                  </w:r>
                </w:p>
              </w:tc>
              <w:tc>
                <w:tcPr>
                  <w:tcW w:w="917" w:type="pct"/>
                  <w:vAlign w:val="bottom"/>
                </w:tcPr>
                <w:p w14:paraId="4BFE13F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0.03</w:t>
                  </w:r>
                </w:p>
              </w:tc>
              <w:tc>
                <w:tcPr>
                  <w:tcW w:w="786" w:type="pct"/>
                  <w:vMerge w:val="restart"/>
                  <w:vAlign w:val="center"/>
                </w:tcPr>
                <w:p w14:paraId="5AFA72A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经污水站处理后回用至循环冷却系统</w:t>
                  </w:r>
                </w:p>
              </w:tc>
            </w:tr>
            <w:tr w14:paraId="052653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5" w:type="pct"/>
                  <w:vMerge w:val="continue"/>
                  <w:vAlign w:val="center"/>
                </w:tcPr>
                <w:p w14:paraId="6D13A31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38" w:type="pct"/>
                  <w:vMerge w:val="continue"/>
                  <w:vAlign w:val="center"/>
                </w:tcPr>
                <w:p w14:paraId="509CDBE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1007" w:type="pct"/>
                  <w:vAlign w:val="center"/>
                </w:tcPr>
                <w:p w14:paraId="09AA677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SS</w:t>
                  </w:r>
                </w:p>
              </w:tc>
              <w:tc>
                <w:tcPr>
                  <w:tcW w:w="824" w:type="pct"/>
                  <w:vAlign w:val="center"/>
                </w:tcPr>
                <w:p w14:paraId="2C013E7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200</w:t>
                  </w:r>
                </w:p>
              </w:tc>
              <w:tc>
                <w:tcPr>
                  <w:tcW w:w="917" w:type="pct"/>
                  <w:vAlign w:val="bottom"/>
                </w:tcPr>
                <w:p w14:paraId="7E0C025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0.006</w:t>
                  </w:r>
                </w:p>
              </w:tc>
              <w:tc>
                <w:tcPr>
                  <w:tcW w:w="786" w:type="pct"/>
                  <w:vMerge w:val="continue"/>
                  <w:vAlign w:val="center"/>
                </w:tcPr>
                <w:p w14:paraId="3B6131C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7FCFA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5" w:type="pct"/>
                  <w:vMerge w:val="continue"/>
                  <w:vAlign w:val="center"/>
                </w:tcPr>
                <w:p w14:paraId="78D0F81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38" w:type="pct"/>
                  <w:vMerge w:val="continue"/>
                  <w:vAlign w:val="center"/>
                </w:tcPr>
                <w:p w14:paraId="091F952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1007" w:type="pct"/>
                  <w:vAlign w:val="center"/>
                </w:tcPr>
                <w:p w14:paraId="07603E0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NH</w:t>
                  </w:r>
                  <w:r>
                    <w:rPr>
                      <w:rFonts w:hint="default" w:ascii="Times New Roman" w:hAnsi="Times New Roman" w:eastAsia="仿宋_GB2312" w:cs="Times New Roman"/>
                      <w:bCs/>
                      <w:color w:val="auto"/>
                      <w:sz w:val="21"/>
                      <w:vertAlign w:val="subscript"/>
                    </w:rPr>
                    <w:t>3</w:t>
                  </w:r>
                  <w:r>
                    <w:rPr>
                      <w:rFonts w:hint="default" w:ascii="Times New Roman" w:hAnsi="Times New Roman" w:eastAsia="仿宋_GB2312" w:cs="Times New Roman"/>
                      <w:bCs/>
                      <w:color w:val="auto"/>
                      <w:sz w:val="21"/>
                    </w:rPr>
                    <w:t>-N</w:t>
                  </w:r>
                </w:p>
              </w:tc>
              <w:tc>
                <w:tcPr>
                  <w:tcW w:w="824" w:type="pct"/>
                  <w:vAlign w:val="center"/>
                </w:tcPr>
                <w:p w14:paraId="3DB36DD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15</w:t>
                  </w:r>
                </w:p>
              </w:tc>
              <w:tc>
                <w:tcPr>
                  <w:tcW w:w="917" w:type="pct"/>
                  <w:vAlign w:val="bottom"/>
                </w:tcPr>
                <w:p w14:paraId="553E96E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0.00045</w:t>
                  </w:r>
                </w:p>
              </w:tc>
              <w:tc>
                <w:tcPr>
                  <w:tcW w:w="786" w:type="pct"/>
                  <w:vMerge w:val="continue"/>
                  <w:vAlign w:val="center"/>
                </w:tcPr>
                <w:p w14:paraId="4F7EEF5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00035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5" w:type="pct"/>
                  <w:vMerge w:val="continue"/>
                  <w:vAlign w:val="center"/>
                </w:tcPr>
                <w:p w14:paraId="467DA93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38" w:type="pct"/>
                  <w:vMerge w:val="continue"/>
                  <w:vAlign w:val="center"/>
                </w:tcPr>
                <w:p w14:paraId="37302E6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1007" w:type="pct"/>
                  <w:vAlign w:val="center"/>
                </w:tcPr>
                <w:p w14:paraId="2587309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TN</w:t>
                  </w:r>
                </w:p>
              </w:tc>
              <w:tc>
                <w:tcPr>
                  <w:tcW w:w="824" w:type="pct"/>
                  <w:vAlign w:val="center"/>
                </w:tcPr>
                <w:p w14:paraId="4C59860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30</w:t>
                  </w:r>
                </w:p>
              </w:tc>
              <w:tc>
                <w:tcPr>
                  <w:tcW w:w="917" w:type="pct"/>
                  <w:vAlign w:val="bottom"/>
                </w:tcPr>
                <w:p w14:paraId="5555883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0.0009</w:t>
                  </w:r>
                </w:p>
              </w:tc>
              <w:tc>
                <w:tcPr>
                  <w:tcW w:w="786" w:type="pct"/>
                  <w:vMerge w:val="continue"/>
                  <w:vAlign w:val="center"/>
                </w:tcPr>
                <w:p w14:paraId="57720C9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47D19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5" w:type="pct"/>
                  <w:vMerge w:val="continue"/>
                  <w:vAlign w:val="center"/>
                </w:tcPr>
                <w:p w14:paraId="1A4E206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638" w:type="pct"/>
                  <w:vMerge w:val="continue"/>
                  <w:vAlign w:val="center"/>
                </w:tcPr>
                <w:p w14:paraId="4DBDAD2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1007" w:type="pct"/>
                  <w:vAlign w:val="center"/>
                </w:tcPr>
                <w:p w14:paraId="20958D7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TP</w:t>
                  </w:r>
                </w:p>
              </w:tc>
              <w:tc>
                <w:tcPr>
                  <w:tcW w:w="824" w:type="pct"/>
                  <w:vAlign w:val="center"/>
                </w:tcPr>
                <w:p w14:paraId="6E5531C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5</w:t>
                  </w:r>
                </w:p>
              </w:tc>
              <w:tc>
                <w:tcPr>
                  <w:tcW w:w="917" w:type="pct"/>
                  <w:vAlign w:val="bottom"/>
                </w:tcPr>
                <w:p w14:paraId="70502F9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0.00015</w:t>
                  </w:r>
                </w:p>
              </w:tc>
              <w:tc>
                <w:tcPr>
                  <w:tcW w:w="786" w:type="pct"/>
                  <w:vMerge w:val="continue"/>
                  <w:vAlign w:val="center"/>
                </w:tcPr>
                <w:p w14:paraId="6A0B338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bl>
          <w:p w14:paraId="3A7BC5AF">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bCs/>
                <w:color w:val="auto"/>
                <w:sz w:val="24"/>
              </w:rPr>
            </w:pPr>
            <w:r>
              <w:rPr>
                <w:rFonts w:hint="default" w:eastAsia="仿宋_GB2312"/>
                <w:b/>
                <w:bCs/>
                <w:color w:val="auto"/>
                <w:sz w:val="24"/>
              </w:rPr>
              <w:t>3、固废</w:t>
            </w:r>
          </w:p>
          <w:p w14:paraId="592DA4E4">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仿宋_GB2312" w:cs="Times New Roman"/>
                <w:color w:val="auto"/>
                <w:kern w:val="2"/>
                <w:sz w:val="24"/>
                <w:szCs w:val="24"/>
                <w:lang w:val="en-US" w:eastAsia="zh-CN" w:bidi="ar-SA"/>
              </w:rPr>
            </w:pPr>
            <w:bookmarkStart w:id="29" w:name="_Hlk68991122"/>
            <w:r>
              <w:rPr>
                <w:rFonts w:hint="default" w:eastAsia="仿宋_GB2312"/>
                <w:bCs/>
                <w:color w:val="auto"/>
                <w:sz w:val="24"/>
              </w:rPr>
              <w:fldChar w:fldCharType="begin"/>
            </w:r>
            <w:r>
              <w:rPr>
                <w:rFonts w:hint="default" w:eastAsia="仿宋_GB2312"/>
                <w:bCs/>
                <w:color w:val="auto"/>
                <w:sz w:val="24"/>
              </w:rPr>
              <w:instrText xml:space="preserve"> = 1 \* GB3 </w:instrText>
            </w:r>
            <w:r>
              <w:rPr>
                <w:rFonts w:hint="default" w:eastAsia="仿宋_GB2312"/>
                <w:bCs/>
                <w:color w:val="auto"/>
                <w:sz w:val="24"/>
              </w:rPr>
              <w:fldChar w:fldCharType="separate"/>
            </w:r>
            <w:r>
              <w:rPr>
                <w:rFonts w:hint="default"/>
                <w:bCs/>
                <w:color w:val="auto"/>
                <w:sz w:val="24"/>
              </w:rPr>
              <w:t>①</w:t>
            </w:r>
            <w:r>
              <w:rPr>
                <w:rFonts w:hint="default" w:eastAsia="仿宋_GB2312"/>
                <w:bCs/>
                <w:color w:val="auto"/>
                <w:sz w:val="24"/>
              </w:rPr>
              <w:fldChar w:fldCharType="end"/>
            </w:r>
            <w:r>
              <w:rPr>
                <w:rFonts w:hint="default" w:ascii="Times New Roman" w:hAnsi="Times New Roman" w:eastAsia="仿宋_GB2312" w:cs="Times New Roman"/>
                <w:color w:val="auto"/>
                <w:kern w:val="2"/>
                <w:sz w:val="24"/>
                <w:szCs w:val="24"/>
                <w:lang w:val="en-US" w:eastAsia="zh-CN" w:bidi="ar-SA"/>
              </w:rPr>
              <w:t>生活垃圾</w:t>
            </w:r>
          </w:p>
          <w:p w14:paraId="45485822">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本项目员工32人。每人产生生活垃圾量以0.5kg/d计，全年工作300天，则本项目生活垃圾产生量4.8t/a，生活垃圾由环卫部门统一收集清运。</w:t>
            </w:r>
          </w:p>
          <w:p w14:paraId="1F697C0D">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default" w:eastAsia="仿宋_GB2312"/>
                <w:bCs/>
                <w:color w:val="auto"/>
                <w:sz w:val="24"/>
              </w:rPr>
              <w:fldChar w:fldCharType="begin"/>
            </w:r>
            <w:r>
              <w:rPr>
                <w:rFonts w:hint="default" w:eastAsia="仿宋_GB2312"/>
                <w:bCs/>
                <w:color w:val="auto"/>
                <w:sz w:val="24"/>
              </w:rPr>
              <w:instrText xml:space="preserve"> = 2 \* GB3 </w:instrText>
            </w:r>
            <w:r>
              <w:rPr>
                <w:rFonts w:hint="default" w:eastAsia="仿宋_GB2312"/>
                <w:bCs/>
                <w:color w:val="auto"/>
                <w:sz w:val="24"/>
              </w:rPr>
              <w:fldChar w:fldCharType="separate"/>
            </w:r>
            <w:r>
              <w:rPr>
                <w:rFonts w:hint="default"/>
                <w:bCs/>
                <w:color w:val="auto"/>
                <w:sz w:val="24"/>
              </w:rPr>
              <w:t>②</w:t>
            </w:r>
            <w:r>
              <w:rPr>
                <w:rFonts w:hint="default" w:eastAsia="仿宋_GB2312"/>
                <w:bCs/>
                <w:color w:val="auto"/>
                <w:sz w:val="24"/>
              </w:rPr>
              <w:fldChar w:fldCharType="end"/>
            </w:r>
            <w:r>
              <w:rPr>
                <w:rFonts w:hint="eastAsia" w:ascii="Times New Roman" w:hAnsi="Times New Roman" w:eastAsia="仿宋_GB2312" w:cs="Times New Roman"/>
                <w:color w:val="auto"/>
                <w:kern w:val="2"/>
                <w:sz w:val="24"/>
                <w:szCs w:val="24"/>
                <w:lang w:val="en-US" w:eastAsia="zh-CN" w:bidi="ar-SA"/>
              </w:rPr>
              <w:t>废包装材料</w:t>
            </w:r>
          </w:p>
          <w:p w14:paraId="2C433EB6">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对照《国家危险废物名录（</w:t>
            </w:r>
            <w:r>
              <w:rPr>
                <w:rFonts w:hint="default" w:ascii="Times New Roman" w:hAnsi="Times New Roman" w:eastAsia="仿宋_GB2312" w:cs="Times New Roman"/>
                <w:color w:val="auto"/>
                <w:kern w:val="2"/>
                <w:sz w:val="24"/>
                <w:szCs w:val="24"/>
                <w:lang w:val="en-US" w:eastAsia="zh-CN" w:bidi="ar-SA"/>
              </w:rPr>
              <w:t>2025年版</w:t>
            </w:r>
            <w:r>
              <w:rPr>
                <w:rFonts w:hint="eastAsia" w:ascii="Times New Roman" w:hAnsi="Times New Roman" w:eastAsia="仿宋_GB2312" w:cs="Times New Roman"/>
                <w:color w:val="auto"/>
                <w:kern w:val="2"/>
                <w:sz w:val="24"/>
                <w:szCs w:val="24"/>
                <w:lang w:val="en-US" w:eastAsia="zh-CN" w:bidi="ar-SA"/>
              </w:rPr>
              <w:t>）》，</w:t>
            </w:r>
            <w:r>
              <w:rPr>
                <w:rFonts w:hint="default" w:ascii="Times New Roman" w:hAnsi="Times New Roman" w:eastAsia="仿宋_GB2312" w:cs="Times New Roman"/>
                <w:color w:val="auto"/>
                <w:kern w:val="2"/>
                <w:sz w:val="24"/>
                <w:szCs w:val="24"/>
                <w:lang w:val="en-US" w:eastAsia="zh-CN" w:bidi="ar-SA"/>
              </w:rPr>
              <w:t>含有或沾染毒性、感染性危险废物的废弃包装物、容器、过滤吸附介质</w:t>
            </w:r>
            <w:r>
              <w:rPr>
                <w:rFonts w:hint="eastAsia" w:ascii="Times New Roman" w:hAnsi="Times New Roman" w:eastAsia="仿宋_GB2312" w:cs="Times New Roman"/>
                <w:color w:val="auto"/>
                <w:kern w:val="2"/>
                <w:sz w:val="24"/>
                <w:szCs w:val="24"/>
                <w:lang w:val="en-US" w:eastAsia="zh-CN" w:bidi="ar-SA"/>
              </w:rPr>
              <w:t>属于危险废物。本项目产生的废包装材料分为一般固废和危险固废。</w:t>
            </w:r>
          </w:p>
          <w:p w14:paraId="24107398">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（1）一般固废</w:t>
            </w:r>
          </w:p>
          <w:p w14:paraId="531CF1DD">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本项目产生的未沾染危险物质的废包装纸、袋、箱等情况见下表，含衬袋的原料包装桶重量包含包装桶和衬袋的重量。作为一般固废，委外处置。</w:t>
            </w:r>
          </w:p>
          <w:p w14:paraId="4FF82C12">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eastAsia"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2-45</w:t>
            </w:r>
            <w:r>
              <w:rPr>
                <w:rFonts w:hint="default" w:ascii="Times New Roman" w:hAnsi="Times New Roman" w:eastAsia="仿宋_GB2312" w:cs="Times New Roman"/>
                <w:b/>
                <w:color w:val="auto"/>
                <w:sz w:val="22"/>
                <w:szCs w:val="22"/>
              </w:rPr>
              <w:t xml:space="preserve">  </w:t>
            </w:r>
            <w:r>
              <w:rPr>
                <w:rFonts w:hint="eastAsia" w:ascii="Times New Roman" w:hAnsi="Times New Roman" w:eastAsia="仿宋_GB2312" w:cs="Times New Roman"/>
                <w:b/>
                <w:color w:val="auto"/>
                <w:sz w:val="22"/>
                <w:szCs w:val="22"/>
              </w:rPr>
              <w:t>本项目一般固废产生情况表</w:t>
            </w:r>
          </w:p>
          <w:tbl>
            <w:tblPr>
              <w:tblStyle w:val="16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57" w:type="dxa"/>
                <w:bottom w:w="0" w:type="dxa"/>
                <w:right w:w="57" w:type="dxa"/>
              </w:tblCellMar>
            </w:tblPr>
            <w:tblGrid>
              <w:gridCol w:w="1393"/>
              <w:gridCol w:w="1081"/>
              <w:gridCol w:w="1544"/>
              <w:gridCol w:w="1238"/>
              <w:gridCol w:w="1391"/>
              <w:gridCol w:w="1770"/>
            </w:tblGrid>
            <w:tr w14:paraId="0C9C2005">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90" w:hRule="atLeast"/>
                <w:jc w:val="center"/>
              </w:trPr>
              <w:tc>
                <w:tcPr>
                  <w:tcW w:w="827" w:type="pct"/>
                  <w:vMerge w:val="restart"/>
                  <w:noWrap/>
                  <w:vAlign w:val="center"/>
                </w:tcPr>
                <w:p w14:paraId="14E2185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原料名称</w:t>
                  </w:r>
                </w:p>
              </w:tc>
              <w:tc>
                <w:tcPr>
                  <w:tcW w:w="642" w:type="pct"/>
                  <w:vMerge w:val="restart"/>
                  <w:vAlign w:val="center"/>
                </w:tcPr>
                <w:p w14:paraId="567CB94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年耗量(t/a)</w:t>
                  </w:r>
                </w:p>
              </w:tc>
              <w:tc>
                <w:tcPr>
                  <w:tcW w:w="917" w:type="pct"/>
                  <w:vMerge w:val="restart"/>
                  <w:vAlign w:val="center"/>
                </w:tcPr>
                <w:p w14:paraId="2ED8A79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包装方式</w:t>
                  </w:r>
                </w:p>
              </w:tc>
              <w:tc>
                <w:tcPr>
                  <w:tcW w:w="1561" w:type="pct"/>
                  <w:gridSpan w:val="2"/>
                  <w:vAlign w:val="center"/>
                </w:tcPr>
                <w:p w14:paraId="2136D91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包装桶产生量</w:t>
                  </w:r>
                </w:p>
              </w:tc>
              <w:tc>
                <w:tcPr>
                  <w:tcW w:w="1051" w:type="pct"/>
                  <w:vMerge w:val="restart"/>
                  <w:noWrap/>
                  <w:vAlign w:val="center"/>
                </w:tcPr>
                <w:p w14:paraId="0977798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处置去向</w:t>
                  </w:r>
                </w:p>
              </w:tc>
            </w:tr>
            <w:tr w14:paraId="77E093F3">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vMerge w:val="continue"/>
                  <w:noWrap/>
                  <w:vAlign w:val="center"/>
                </w:tcPr>
                <w:p w14:paraId="39C6B25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c>
                <w:tcPr>
                  <w:tcW w:w="642" w:type="pct"/>
                  <w:vMerge w:val="continue"/>
                  <w:vAlign w:val="center"/>
                </w:tcPr>
                <w:p w14:paraId="1DF2A6D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rPr>
                  </w:pPr>
                </w:p>
              </w:tc>
              <w:tc>
                <w:tcPr>
                  <w:tcW w:w="917" w:type="pct"/>
                  <w:vMerge w:val="continue"/>
                  <w:vAlign w:val="center"/>
                </w:tcPr>
                <w:p w14:paraId="1EB5E6E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p>
              </w:tc>
              <w:tc>
                <w:tcPr>
                  <w:tcW w:w="735" w:type="pct"/>
                  <w:vAlign w:val="center"/>
                </w:tcPr>
                <w:p w14:paraId="5BC837A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bCs/>
                      <w:color w:val="auto"/>
                    </w:rPr>
                    <w:t>数量(</w:t>
                  </w:r>
                  <w:r>
                    <w:rPr>
                      <w:rFonts w:hint="default" w:ascii="Times New Roman" w:hAnsi="Times New Roman" w:eastAsia="仿宋_GB2312" w:cs="Times New Roman"/>
                      <w:b/>
                      <w:color w:val="auto"/>
                    </w:rPr>
                    <w:t>只/a</w:t>
                  </w:r>
                  <w:r>
                    <w:rPr>
                      <w:rFonts w:hint="default" w:ascii="Times New Roman" w:hAnsi="Times New Roman" w:eastAsia="仿宋_GB2312" w:cs="Times New Roman"/>
                      <w:b/>
                      <w:bCs/>
                      <w:color w:val="auto"/>
                    </w:rPr>
                    <w:t>)</w:t>
                  </w:r>
                </w:p>
              </w:tc>
              <w:tc>
                <w:tcPr>
                  <w:tcW w:w="826" w:type="pct"/>
                  <w:vAlign w:val="center"/>
                </w:tcPr>
                <w:p w14:paraId="223DEE7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重量(t/a)</w:t>
                  </w:r>
                </w:p>
              </w:tc>
              <w:tc>
                <w:tcPr>
                  <w:tcW w:w="1051" w:type="pct"/>
                  <w:vMerge w:val="continue"/>
                  <w:noWrap/>
                  <w:vAlign w:val="center"/>
                </w:tcPr>
                <w:p w14:paraId="1A189C7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51DE311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238726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Times New Roman" w:hAnsi="Times New Roman" w:eastAsia="宋体" w:cs="Times New Roman"/>
                      <w:i w:val="0"/>
                      <w:iCs w:val="0"/>
                      <w:color w:val="auto"/>
                      <w:kern w:val="0"/>
                      <w:sz w:val="21"/>
                      <w:szCs w:val="21"/>
                      <w:u w:val="none"/>
                      <w:lang w:val="en-US" w:eastAsia="zh-CN" w:bidi="ar"/>
                    </w:rPr>
                    <w:t>L-</w:t>
                  </w:r>
                  <w:r>
                    <w:rPr>
                      <w:rFonts w:hint="default" w:ascii="仿宋_GB2312" w:hAnsi="Times New Roman" w:eastAsia="仿宋_GB2312" w:cs="仿宋_GB2312"/>
                      <w:i w:val="0"/>
                      <w:iCs w:val="0"/>
                      <w:color w:val="auto"/>
                      <w:kern w:val="0"/>
                      <w:sz w:val="21"/>
                      <w:szCs w:val="21"/>
                      <w:u w:val="none"/>
                      <w:lang w:val="en-US" w:eastAsia="zh-CN" w:bidi="ar"/>
                    </w:rPr>
                    <w:t>苯丙氨酸</w:t>
                  </w:r>
                </w:p>
              </w:tc>
              <w:tc>
                <w:tcPr>
                  <w:tcW w:w="642" w:type="pct"/>
                  <w:vAlign w:val="center"/>
                </w:tcPr>
                <w:p w14:paraId="62305F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0.2576</w:t>
                  </w:r>
                </w:p>
              </w:tc>
              <w:tc>
                <w:tcPr>
                  <w:tcW w:w="917" w:type="pct"/>
                  <w:vAlign w:val="center"/>
                </w:tcPr>
                <w:p w14:paraId="043BBD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35" w:type="pct"/>
                  <w:vAlign w:val="center"/>
                </w:tcPr>
                <w:p w14:paraId="58A9A6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11</w:t>
                  </w:r>
                </w:p>
              </w:tc>
              <w:tc>
                <w:tcPr>
                  <w:tcW w:w="1391" w:type="dxa"/>
                  <w:vAlign w:val="center"/>
                </w:tcPr>
                <w:p w14:paraId="6B4732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0.01 </w:t>
                  </w:r>
                </w:p>
              </w:tc>
              <w:tc>
                <w:tcPr>
                  <w:tcW w:w="1051" w:type="pct"/>
                  <w:vMerge w:val="restart"/>
                  <w:noWrap/>
                  <w:vAlign w:val="center"/>
                </w:tcPr>
                <w:p w14:paraId="2E74B66A">
                  <w:pPr>
                    <w:pStyle w:val="165"/>
                    <w:keepNext w:val="0"/>
                    <w:keepLines w:val="0"/>
                    <w:widowControl w:val="0"/>
                    <w:suppressLineNumbers w:val="0"/>
                    <w:spacing w:before="0" w:beforeAutospacing="0" w:after="0" w:afterAutospacing="0" w:line="320" w:lineRule="exact"/>
                    <w:ind w:left="0" w:right="0"/>
                    <w:rPr>
                      <w:rFonts w:hint="eastAsia"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rPr>
                    <w:t>作为一般固废委外处置</w:t>
                  </w:r>
                </w:p>
              </w:tc>
            </w:tr>
            <w:tr w14:paraId="023F4E8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5DB32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仿宋_GB2312" w:hAnsi="宋体" w:eastAsia="仿宋_GB2312" w:cs="仿宋_GB2312"/>
                      <w:i w:val="0"/>
                      <w:iCs w:val="0"/>
                      <w:color w:val="auto"/>
                      <w:kern w:val="0"/>
                      <w:sz w:val="21"/>
                      <w:szCs w:val="21"/>
                      <w:u w:val="none"/>
                      <w:lang w:val="en-US" w:eastAsia="zh-CN" w:bidi="ar"/>
                    </w:rPr>
                    <w:t>柚皮素</w:t>
                  </w:r>
                </w:p>
              </w:tc>
              <w:tc>
                <w:tcPr>
                  <w:tcW w:w="642" w:type="pct"/>
                  <w:vAlign w:val="center"/>
                </w:tcPr>
                <w:p w14:paraId="67B1E9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0.636</w:t>
                  </w:r>
                </w:p>
              </w:tc>
              <w:tc>
                <w:tcPr>
                  <w:tcW w:w="917" w:type="pct"/>
                  <w:vAlign w:val="center"/>
                </w:tcPr>
                <w:p w14:paraId="60B7C8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35" w:type="pct"/>
                  <w:vAlign w:val="center"/>
                </w:tcPr>
                <w:p w14:paraId="05E45A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26</w:t>
                  </w:r>
                </w:p>
              </w:tc>
              <w:tc>
                <w:tcPr>
                  <w:tcW w:w="1391" w:type="dxa"/>
                  <w:vAlign w:val="center"/>
                </w:tcPr>
                <w:p w14:paraId="7607AF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0.03 </w:t>
                  </w:r>
                </w:p>
              </w:tc>
              <w:tc>
                <w:tcPr>
                  <w:tcW w:w="1051" w:type="pct"/>
                  <w:vMerge w:val="continue"/>
                  <w:noWrap/>
                  <w:vAlign w:val="center"/>
                </w:tcPr>
                <w:p w14:paraId="257EDC2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65A72EF9">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520F4B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仿宋_GB2312" w:hAnsi="宋体" w:eastAsia="仿宋_GB2312" w:cs="仿宋_GB2312"/>
                      <w:i w:val="0"/>
                      <w:iCs w:val="0"/>
                      <w:color w:val="auto"/>
                      <w:kern w:val="0"/>
                      <w:sz w:val="21"/>
                      <w:szCs w:val="21"/>
                      <w:u w:val="none"/>
                      <w:lang w:val="en-US" w:eastAsia="zh-CN" w:bidi="ar"/>
                    </w:rPr>
                    <w:t>蛋白胨</w:t>
                  </w:r>
                </w:p>
              </w:tc>
              <w:tc>
                <w:tcPr>
                  <w:tcW w:w="642" w:type="pct"/>
                  <w:vAlign w:val="center"/>
                </w:tcPr>
                <w:p w14:paraId="3F192E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0.3376</w:t>
                  </w:r>
                </w:p>
              </w:tc>
              <w:tc>
                <w:tcPr>
                  <w:tcW w:w="917" w:type="pct"/>
                  <w:vAlign w:val="center"/>
                </w:tcPr>
                <w:p w14:paraId="10EC3A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eastAsia" w:eastAsia="仿宋_GB2312" w:cs="Times New Roman"/>
                      <w:i w:val="0"/>
                      <w:iCs w:val="0"/>
                      <w:color w:val="auto"/>
                      <w:kern w:val="0"/>
                      <w:sz w:val="21"/>
                      <w:szCs w:val="21"/>
                      <w:u w:val="none"/>
                      <w:lang w:val="en-US" w:eastAsia="zh-CN" w:bidi="ar"/>
                    </w:rPr>
                    <w:t>1</w:t>
                  </w:r>
                  <w:r>
                    <w:rPr>
                      <w:rFonts w:hint="default" w:ascii="Times New Roman" w:hAnsi="Times New Roman" w:eastAsia="仿宋_GB2312" w:cs="Times New Roman"/>
                      <w:i w:val="0"/>
                      <w:iCs w:val="0"/>
                      <w:color w:val="auto"/>
                      <w:kern w:val="0"/>
                      <w:sz w:val="21"/>
                      <w:szCs w:val="21"/>
                      <w:u w:val="none"/>
                      <w:lang w:val="en-US" w:eastAsia="zh-CN" w:bidi="ar"/>
                    </w:rPr>
                    <w:t>kg</w:t>
                  </w:r>
                </w:p>
              </w:tc>
              <w:tc>
                <w:tcPr>
                  <w:tcW w:w="735" w:type="pct"/>
                  <w:vAlign w:val="center"/>
                </w:tcPr>
                <w:p w14:paraId="06228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14</w:t>
                  </w:r>
                </w:p>
              </w:tc>
              <w:tc>
                <w:tcPr>
                  <w:tcW w:w="1391" w:type="dxa"/>
                  <w:vAlign w:val="center"/>
                </w:tcPr>
                <w:p w14:paraId="51E6F5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0.02 </w:t>
                  </w:r>
                </w:p>
              </w:tc>
              <w:tc>
                <w:tcPr>
                  <w:tcW w:w="1051" w:type="pct"/>
                  <w:vMerge w:val="continue"/>
                  <w:noWrap/>
                  <w:vAlign w:val="center"/>
                </w:tcPr>
                <w:p w14:paraId="7D96ECC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4FF176A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167899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仿宋_GB2312" w:hAnsi="宋体" w:eastAsia="仿宋_GB2312" w:cs="仿宋_GB2312"/>
                      <w:i w:val="0"/>
                      <w:iCs w:val="0"/>
                      <w:color w:val="auto"/>
                      <w:kern w:val="0"/>
                      <w:sz w:val="21"/>
                      <w:szCs w:val="21"/>
                      <w:u w:val="none"/>
                      <w:lang w:val="en-US" w:eastAsia="zh-CN" w:bidi="ar"/>
                    </w:rPr>
                    <w:t>酵母粉（主要成分：氨基酸、维生素、微量元素如</w:t>
                  </w:r>
                  <w:r>
                    <w:rPr>
                      <w:rFonts w:hint="default" w:ascii="Times New Roman" w:hAnsi="Times New Roman" w:eastAsia="仿宋_GB2312" w:cs="Times New Roman"/>
                      <w:i w:val="0"/>
                      <w:iCs w:val="0"/>
                      <w:color w:val="auto"/>
                      <w:kern w:val="0"/>
                      <w:sz w:val="21"/>
                      <w:szCs w:val="21"/>
                      <w:u w:val="none"/>
                      <w:lang w:val="en-US" w:eastAsia="zh-CN" w:bidi="ar"/>
                    </w:rPr>
                    <w:t>Fe</w:t>
                  </w:r>
                  <w:r>
                    <w:rPr>
                      <w:rFonts w:hint="default" w:ascii="Times New Roman" w:hAnsi="Times New Roman" w:eastAsia="仿宋_GB2312" w:cs="Times New Roman"/>
                      <w:i w:val="0"/>
                      <w:iCs w:val="0"/>
                      <w:color w:val="auto"/>
                      <w:kern w:val="0"/>
                      <w:sz w:val="21"/>
                      <w:szCs w:val="21"/>
                      <w:u w:val="none"/>
                      <w:vertAlign w:val="superscript"/>
                      <w:lang w:val="en-US" w:eastAsia="zh-CN" w:bidi="ar"/>
                    </w:rPr>
                    <w:t>2+</w:t>
                  </w:r>
                  <w:r>
                    <w:rPr>
                      <w:rFonts w:hint="default" w:ascii="仿宋_GB2312" w:hAnsi="宋体" w:eastAsia="仿宋_GB2312" w:cs="仿宋_GB2312"/>
                      <w:i w:val="0"/>
                      <w:iCs w:val="0"/>
                      <w:color w:val="auto"/>
                      <w:kern w:val="0"/>
                      <w:sz w:val="21"/>
                      <w:szCs w:val="21"/>
                      <w:u w:val="none"/>
                      <w:lang w:val="en-US" w:eastAsia="zh-CN" w:bidi="ar"/>
                    </w:rPr>
                    <w:t>等）</w:t>
                  </w:r>
                </w:p>
              </w:tc>
              <w:tc>
                <w:tcPr>
                  <w:tcW w:w="642" w:type="pct"/>
                  <w:vAlign w:val="center"/>
                </w:tcPr>
                <w:p w14:paraId="7DB489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0.3355</w:t>
                  </w:r>
                </w:p>
              </w:tc>
              <w:tc>
                <w:tcPr>
                  <w:tcW w:w="917" w:type="pct"/>
                  <w:vAlign w:val="center"/>
                </w:tcPr>
                <w:p w14:paraId="63A3E6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eastAsia" w:eastAsia="仿宋_GB2312" w:cs="Times New Roman"/>
                      <w:i w:val="0"/>
                      <w:iCs w:val="0"/>
                      <w:color w:val="auto"/>
                      <w:kern w:val="0"/>
                      <w:sz w:val="21"/>
                      <w:szCs w:val="21"/>
                      <w:u w:val="none"/>
                      <w:lang w:val="en-US" w:eastAsia="zh-CN" w:bidi="ar"/>
                    </w:rPr>
                    <w:t>0.5</w:t>
                  </w:r>
                  <w:r>
                    <w:rPr>
                      <w:rFonts w:hint="default" w:ascii="Times New Roman" w:hAnsi="Times New Roman" w:eastAsia="仿宋_GB2312" w:cs="Times New Roman"/>
                      <w:i w:val="0"/>
                      <w:iCs w:val="0"/>
                      <w:color w:val="auto"/>
                      <w:kern w:val="0"/>
                      <w:sz w:val="21"/>
                      <w:szCs w:val="21"/>
                      <w:u w:val="none"/>
                      <w:lang w:val="en-US" w:eastAsia="zh-CN" w:bidi="ar"/>
                    </w:rPr>
                    <w:t>kg</w:t>
                  </w:r>
                </w:p>
              </w:tc>
              <w:tc>
                <w:tcPr>
                  <w:tcW w:w="735" w:type="pct"/>
                  <w:vAlign w:val="center"/>
                </w:tcPr>
                <w:p w14:paraId="62BB96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14</w:t>
                  </w:r>
                </w:p>
              </w:tc>
              <w:tc>
                <w:tcPr>
                  <w:tcW w:w="1391" w:type="dxa"/>
                  <w:vAlign w:val="center"/>
                </w:tcPr>
                <w:p w14:paraId="1E7DF4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0.02 </w:t>
                  </w:r>
                </w:p>
              </w:tc>
              <w:tc>
                <w:tcPr>
                  <w:tcW w:w="1051" w:type="pct"/>
                  <w:vMerge w:val="continue"/>
                  <w:noWrap/>
                  <w:vAlign w:val="center"/>
                </w:tcPr>
                <w:p w14:paraId="54B69EA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0A9B3978">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0F6B15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Times New Roman" w:hAnsi="Times New Roman" w:eastAsia="仿宋_GB2312" w:cs="Times New Roman"/>
                      <w:i w:val="0"/>
                      <w:iCs w:val="0"/>
                      <w:color w:val="auto"/>
                      <w:kern w:val="0"/>
                      <w:sz w:val="21"/>
                      <w:szCs w:val="21"/>
                      <w:u w:val="none"/>
                      <w:lang w:val="en-US" w:eastAsia="zh-CN" w:bidi="ar"/>
                    </w:rPr>
                    <w:t>60%</w:t>
                  </w:r>
                  <w:r>
                    <w:rPr>
                      <w:rFonts w:hint="default" w:ascii="Times New Roman" w:hAnsi="Times New Roman" w:eastAsia="仿宋_GB2312" w:cs="Times New Roman"/>
                      <w:i w:val="0"/>
                      <w:iCs w:val="0"/>
                      <w:color w:val="auto"/>
                      <w:kern w:val="0"/>
                      <w:sz w:val="21"/>
                      <w:szCs w:val="21"/>
                      <w:u w:val="none"/>
                      <w:lang w:val="en-US" w:eastAsia="zh-CN" w:bidi="ar"/>
                    </w:rPr>
                    <w:t>葡萄糖</w:t>
                  </w:r>
                  <w:r>
                    <w:rPr>
                      <w:rFonts w:hint="eastAsia" w:ascii="Times New Roman" w:hAnsi="Times New Roman" w:eastAsia="仿宋_GB2312" w:cs="Times New Roman"/>
                      <w:i w:val="0"/>
                      <w:iCs w:val="0"/>
                      <w:color w:val="auto"/>
                      <w:kern w:val="0"/>
                      <w:sz w:val="21"/>
                      <w:szCs w:val="21"/>
                      <w:u w:val="none"/>
                      <w:lang w:val="en-US" w:eastAsia="zh-CN" w:bidi="ar"/>
                    </w:rPr>
                    <w:t>溶液</w:t>
                  </w:r>
                </w:p>
              </w:tc>
              <w:tc>
                <w:tcPr>
                  <w:tcW w:w="642" w:type="pct"/>
                  <w:vAlign w:val="center"/>
                </w:tcPr>
                <w:p w14:paraId="30E195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lang w:val="en-US"/>
                    </w:rPr>
                  </w:pPr>
                  <w:r>
                    <w:rPr>
                      <w:rFonts w:hint="eastAsia" w:cs="Times New Roman"/>
                      <w:i w:val="0"/>
                      <w:iCs w:val="0"/>
                      <w:color w:val="auto"/>
                      <w:kern w:val="0"/>
                      <w:sz w:val="21"/>
                      <w:szCs w:val="21"/>
                      <w:u w:val="none"/>
                      <w:lang w:val="en-US" w:eastAsia="zh-CN" w:bidi="ar"/>
                    </w:rPr>
                    <w:t>4.2456</w:t>
                  </w:r>
                </w:p>
              </w:tc>
              <w:tc>
                <w:tcPr>
                  <w:tcW w:w="917" w:type="pct"/>
                  <w:vAlign w:val="center"/>
                </w:tcPr>
                <w:p w14:paraId="719C96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35" w:type="pct"/>
                  <w:vAlign w:val="center"/>
                </w:tcPr>
                <w:p w14:paraId="46386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eastAsia="仿宋_GB2312" w:cs="Times New Roman"/>
                      <w:i w:val="0"/>
                      <w:iCs w:val="0"/>
                      <w:color w:val="auto"/>
                      <w:kern w:val="0"/>
                      <w:sz w:val="21"/>
                      <w:szCs w:val="21"/>
                      <w:u w:val="none"/>
                      <w:lang w:val="en-US" w:eastAsia="zh-CN" w:bidi="ar"/>
                    </w:rPr>
                    <w:t>170</w:t>
                  </w:r>
                </w:p>
              </w:tc>
              <w:tc>
                <w:tcPr>
                  <w:tcW w:w="1391" w:type="dxa"/>
                  <w:vAlign w:val="center"/>
                </w:tcPr>
                <w:p w14:paraId="6790E2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eastAsia="仿宋_GB2312" w:cs="Times New Roman"/>
                      <w:i w:val="0"/>
                      <w:iCs w:val="0"/>
                      <w:color w:val="auto"/>
                      <w:kern w:val="0"/>
                      <w:sz w:val="21"/>
                      <w:szCs w:val="21"/>
                      <w:u w:val="none"/>
                      <w:lang w:val="en-US" w:eastAsia="zh-CN" w:bidi="ar"/>
                    </w:rPr>
                    <w:t>0.2</w:t>
                  </w:r>
                </w:p>
              </w:tc>
              <w:tc>
                <w:tcPr>
                  <w:tcW w:w="1051" w:type="pct"/>
                  <w:vMerge w:val="continue"/>
                  <w:noWrap/>
                  <w:vAlign w:val="center"/>
                </w:tcPr>
                <w:p w14:paraId="0724989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3DC98573">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7E4ECA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牛肉膏</w:t>
                  </w:r>
                </w:p>
              </w:tc>
              <w:tc>
                <w:tcPr>
                  <w:tcW w:w="642" w:type="pct"/>
                  <w:vAlign w:val="center"/>
                </w:tcPr>
                <w:p w14:paraId="2C6932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0.1048</w:t>
                  </w:r>
                </w:p>
              </w:tc>
              <w:tc>
                <w:tcPr>
                  <w:tcW w:w="917" w:type="pct"/>
                  <w:vAlign w:val="center"/>
                </w:tcPr>
                <w:p w14:paraId="71CED2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35" w:type="pct"/>
                  <w:vAlign w:val="center"/>
                </w:tcPr>
                <w:p w14:paraId="1DD0CE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5</w:t>
                  </w:r>
                </w:p>
              </w:tc>
              <w:tc>
                <w:tcPr>
                  <w:tcW w:w="1391" w:type="dxa"/>
                  <w:vAlign w:val="center"/>
                </w:tcPr>
                <w:p w14:paraId="3AB4BF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0.01 </w:t>
                  </w:r>
                </w:p>
              </w:tc>
              <w:tc>
                <w:tcPr>
                  <w:tcW w:w="1051" w:type="pct"/>
                  <w:vMerge w:val="continue"/>
                  <w:noWrap/>
                  <w:vAlign w:val="center"/>
                </w:tcPr>
                <w:p w14:paraId="2A64BBC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1A07EACE">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1805B6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仿宋_GB2312" w:hAnsi="宋体" w:eastAsia="仿宋_GB2312" w:cs="仿宋_GB2312"/>
                      <w:i w:val="0"/>
                      <w:iCs w:val="0"/>
                      <w:color w:val="auto"/>
                      <w:kern w:val="0"/>
                      <w:sz w:val="21"/>
                      <w:szCs w:val="21"/>
                      <w:u w:val="none"/>
                      <w:lang w:val="en-US" w:eastAsia="zh-CN" w:bidi="ar"/>
                    </w:rPr>
                    <w:t>微晶纤维素</w:t>
                  </w:r>
                </w:p>
              </w:tc>
              <w:tc>
                <w:tcPr>
                  <w:tcW w:w="642" w:type="pct"/>
                  <w:vAlign w:val="center"/>
                </w:tcPr>
                <w:p w14:paraId="0D598D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917" w:type="pct"/>
                  <w:vAlign w:val="center"/>
                </w:tcPr>
                <w:p w14:paraId="0F687C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25kg</w:t>
                  </w:r>
                </w:p>
              </w:tc>
              <w:tc>
                <w:tcPr>
                  <w:tcW w:w="735" w:type="pct"/>
                  <w:vAlign w:val="center"/>
                </w:tcPr>
                <w:p w14:paraId="0966EA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9</w:t>
                  </w:r>
                </w:p>
              </w:tc>
              <w:tc>
                <w:tcPr>
                  <w:tcW w:w="1391" w:type="dxa"/>
                  <w:vAlign w:val="center"/>
                </w:tcPr>
                <w:p w14:paraId="30F3FA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0.01 </w:t>
                  </w:r>
                </w:p>
              </w:tc>
              <w:tc>
                <w:tcPr>
                  <w:tcW w:w="1051" w:type="pct"/>
                  <w:vMerge w:val="continue"/>
                  <w:noWrap/>
                  <w:vAlign w:val="center"/>
                </w:tcPr>
                <w:p w14:paraId="222D30B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1F2EAC46">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47FDCD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仿宋_GB2312" w:hAnsi="宋体" w:eastAsia="仿宋_GB2312" w:cs="仿宋_GB2312"/>
                      <w:i w:val="0"/>
                      <w:iCs w:val="0"/>
                      <w:color w:val="auto"/>
                      <w:kern w:val="0"/>
                      <w:sz w:val="21"/>
                      <w:szCs w:val="21"/>
                      <w:u w:val="none"/>
                      <w:lang w:val="en-US" w:eastAsia="zh-CN" w:bidi="ar"/>
                    </w:rPr>
                    <w:t>低聚原花青素</w:t>
                  </w:r>
                </w:p>
              </w:tc>
              <w:tc>
                <w:tcPr>
                  <w:tcW w:w="642" w:type="pct"/>
                  <w:vAlign w:val="center"/>
                </w:tcPr>
                <w:p w14:paraId="2FE488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1.3</w:t>
                  </w:r>
                </w:p>
              </w:tc>
              <w:tc>
                <w:tcPr>
                  <w:tcW w:w="917" w:type="pct"/>
                  <w:vAlign w:val="center"/>
                </w:tcPr>
                <w:p w14:paraId="4C5B3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25kg</w:t>
                  </w:r>
                </w:p>
              </w:tc>
              <w:tc>
                <w:tcPr>
                  <w:tcW w:w="735" w:type="pct"/>
                  <w:vAlign w:val="center"/>
                </w:tcPr>
                <w:p w14:paraId="43094E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52</w:t>
                  </w:r>
                </w:p>
              </w:tc>
              <w:tc>
                <w:tcPr>
                  <w:tcW w:w="1391" w:type="dxa"/>
                  <w:vAlign w:val="center"/>
                </w:tcPr>
                <w:p w14:paraId="700B9B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0.06 </w:t>
                  </w:r>
                </w:p>
              </w:tc>
              <w:tc>
                <w:tcPr>
                  <w:tcW w:w="1051" w:type="pct"/>
                  <w:vMerge w:val="continue"/>
                  <w:noWrap/>
                  <w:vAlign w:val="center"/>
                </w:tcPr>
                <w:p w14:paraId="6EC3047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34FFC14E">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6E9C72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仿宋_GB2312" w:hAnsi="宋体" w:eastAsia="仿宋_GB2312" w:cs="仿宋_GB2312"/>
                      <w:i w:val="0"/>
                      <w:iCs w:val="0"/>
                      <w:color w:val="auto"/>
                      <w:kern w:val="0"/>
                      <w:sz w:val="21"/>
                      <w:szCs w:val="21"/>
                      <w:u w:val="none"/>
                      <w:lang w:val="en-US" w:eastAsia="zh-CN" w:bidi="ar"/>
                    </w:rPr>
                    <w:t>石榴提取物</w:t>
                  </w:r>
                </w:p>
              </w:tc>
              <w:tc>
                <w:tcPr>
                  <w:tcW w:w="642" w:type="pct"/>
                  <w:vAlign w:val="center"/>
                </w:tcPr>
                <w:p w14:paraId="16A33A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1.3</w:t>
                  </w:r>
                </w:p>
              </w:tc>
              <w:tc>
                <w:tcPr>
                  <w:tcW w:w="917" w:type="pct"/>
                  <w:vAlign w:val="center"/>
                </w:tcPr>
                <w:p w14:paraId="2A7CC2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25kg</w:t>
                  </w:r>
                </w:p>
              </w:tc>
              <w:tc>
                <w:tcPr>
                  <w:tcW w:w="735" w:type="pct"/>
                  <w:vAlign w:val="center"/>
                </w:tcPr>
                <w:p w14:paraId="39D07B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52</w:t>
                  </w:r>
                </w:p>
              </w:tc>
              <w:tc>
                <w:tcPr>
                  <w:tcW w:w="1391" w:type="dxa"/>
                  <w:vAlign w:val="center"/>
                </w:tcPr>
                <w:p w14:paraId="59C30E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0.06 </w:t>
                  </w:r>
                </w:p>
              </w:tc>
              <w:tc>
                <w:tcPr>
                  <w:tcW w:w="1051" w:type="pct"/>
                  <w:vMerge w:val="continue"/>
                  <w:noWrap/>
                  <w:vAlign w:val="center"/>
                </w:tcPr>
                <w:p w14:paraId="0414322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4D445B01">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24CED9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仿宋_GB2312" w:hAnsi="宋体" w:eastAsia="仿宋_GB2312" w:cs="仿宋_GB2312"/>
                      <w:i w:val="0"/>
                      <w:iCs w:val="0"/>
                      <w:color w:val="auto"/>
                      <w:kern w:val="0"/>
                      <w:sz w:val="21"/>
                      <w:szCs w:val="21"/>
                      <w:u w:val="none"/>
                      <w:lang w:val="en-US" w:eastAsia="zh-CN" w:bidi="ar"/>
                    </w:rPr>
                    <w:t>水飞蓟提取物</w:t>
                  </w:r>
                </w:p>
              </w:tc>
              <w:tc>
                <w:tcPr>
                  <w:tcW w:w="642" w:type="pct"/>
                  <w:vAlign w:val="center"/>
                </w:tcPr>
                <w:p w14:paraId="010B55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0.476</w:t>
                  </w:r>
                </w:p>
              </w:tc>
              <w:tc>
                <w:tcPr>
                  <w:tcW w:w="917" w:type="pct"/>
                  <w:vAlign w:val="center"/>
                </w:tcPr>
                <w:p w14:paraId="6CBE5B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25kg</w:t>
                  </w:r>
                </w:p>
              </w:tc>
              <w:tc>
                <w:tcPr>
                  <w:tcW w:w="735" w:type="pct"/>
                  <w:vAlign w:val="center"/>
                </w:tcPr>
                <w:p w14:paraId="678422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20</w:t>
                  </w:r>
                </w:p>
              </w:tc>
              <w:tc>
                <w:tcPr>
                  <w:tcW w:w="1391" w:type="dxa"/>
                  <w:vAlign w:val="center"/>
                </w:tcPr>
                <w:p w14:paraId="64AA71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0.02 </w:t>
                  </w:r>
                </w:p>
              </w:tc>
              <w:tc>
                <w:tcPr>
                  <w:tcW w:w="1051" w:type="pct"/>
                  <w:vMerge w:val="continue"/>
                  <w:noWrap/>
                  <w:vAlign w:val="center"/>
                </w:tcPr>
                <w:p w14:paraId="2F21BA4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7418F5B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7" w:type="pct"/>
                  <w:noWrap/>
                  <w:vAlign w:val="center"/>
                </w:tcPr>
                <w:p w14:paraId="70BF73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default" w:ascii="仿宋_GB2312" w:hAnsi="宋体" w:eastAsia="仿宋_GB2312" w:cs="仿宋_GB2312"/>
                      <w:i w:val="0"/>
                      <w:iCs w:val="0"/>
                      <w:color w:val="auto"/>
                      <w:kern w:val="0"/>
                      <w:sz w:val="21"/>
                      <w:szCs w:val="21"/>
                      <w:u w:val="none"/>
                      <w:lang w:val="en-US" w:eastAsia="zh-CN" w:bidi="ar"/>
                    </w:rPr>
                    <w:t>植物胶囊壳</w:t>
                  </w:r>
                </w:p>
              </w:tc>
              <w:tc>
                <w:tcPr>
                  <w:tcW w:w="642" w:type="pct"/>
                  <w:vAlign w:val="center"/>
                </w:tcPr>
                <w:p w14:paraId="67A698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rPr>
                  </w:pPr>
                  <w:r>
                    <w:rPr>
                      <w:rFonts w:hint="default" w:ascii="Times New Roman" w:hAnsi="Times New Roman" w:eastAsia="宋体" w:cs="Times New Roman"/>
                      <w:i w:val="0"/>
                      <w:iCs w:val="0"/>
                      <w:color w:val="auto"/>
                      <w:kern w:val="0"/>
                      <w:sz w:val="21"/>
                      <w:szCs w:val="21"/>
                      <w:u w:val="none"/>
                      <w:lang w:val="en-US" w:eastAsia="zh-CN" w:bidi="ar"/>
                    </w:rPr>
                    <w:t>1.9125</w:t>
                  </w:r>
                </w:p>
              </w:tc>
              <w:tc>
                <w:tcPr>
                  <w:tcW w:w="917" w:type="pct"/>
                  <w:vAlign w:val="center"/>
                </w:tcPr>
                <w:p w14:paraId="1A865D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rPr>
                  </w:pPr>
                  <w:r>
                    <w:rPr>
                      <w:rFonts w:hint="eastAsia" w:ascii="仿宋_GB2312" w:hAnsi="宋体" w:eastAsia="仿宋_GB2312" w:cs="仿宋_GB2312"/>
                      <w:i w:val="0"/>
                      <w:iCs w:val="0"/>
                      <w:color w:val="auto"/>
                      <w:kern w:val="0"/>
                      <w:sz w:val="21"/>
                      <w:szCs w:val="21"/>
                      <w:u w:val="none"/>
                      <w:lang w:val="en-US" w:eastAsia="zh-CN" w:bidi="ar"/>
                    </w:rPr>
                    <w:t>箱装，</w:t>
                  </w:r>
                  <w:r>
                    <w:rPr>
                      <w:rFonts w:hint="default" w:ascii="Times New Roman" w:hAnsi="Times New Roman" w:eastAsia="仿宋_GB2312" w:cs="Times New Roman"/>
                      <w:i w:val="0"/>
                      <w:iCs w:val="0"/>
                      <w:color w:val="auto"/>
                      <w:kern w:val="0"/>
                      <w:sz w:val="21"/>
                      <w:szCs w:val="21"/>
                      <w:u w:val="none"/>
                      <w:lang w:val="en-US" w:eastAsia="zh-CN" w:bidi="ar"/>
                    </w:rPr>
                    <w:t>25kg</w:t>
                  </w:r>
                </w:p>
              </w:tc>
              <w:tc>
                <w:tcPr>
                  <w:tcW w:w="735" w:type="pct"/>
                  <w:vAlign w:val="center"/>
                </w:tcPr>
                <w:p w14:paraId="232C3C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77</w:t>
                  </w:r>
                </w:p>
              </w:tc>
              <w:tc>
                <w:tcPr>
                  <w:tcW w:w="1391" w:type="dxa"/>
                  <w:vAlign w:val="center"/>
                </w:tcPr>
                <w:p w14:paraId="58DEC6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i w:val="0"/>
                      <w:iCs w:val="0"/>
                      <w:color w:val="auto"/>
                      <w:kern w:val="0"/>
                      <w:sz w:val="21"/>
                      <w:szCs w:val="21"/>
                      <w:u w:val="none"/>
                      <w:lang w:val="en-US" w:eastAsia="zh-CN" w:bidi="ar"/>
                    </w:rPr>
                  </w:pPr>
                  <w:r>
                    <w:rPr>
                      <w:rFonts w:hint="eastAsia" w:ascii="Times New Roman" w:hAnsi="Times New Roman" w:eastAsia="仿宋_GB2312" w:cs="Times New Roman"/>
                      <w:i w:val="0"/>
                      <w:iCs w:val="0"/>
                      <w:color w:val="auto"/>
                      <w:kern w:val="0"/>
                      <w:sz w:val="21"/>
                      <w:szCs w:val="21"/>
                      <w:u w:val="none"/>
                      <w:lang w:val="en-US" w:eastAsia="zh-CN" w:bidi="ar"/>
                    </w:rPr>
                    <w:t xml:space="preserve">0.09 </w:t>
                  </w:r>
                </w:p>
              </w:tc>
              <w:tc>
                <w:tcPr>
                  <w:tcW w:w="1051" w:type="pct"/>
                  <w:vMerge w:val="continue"/>
                  <w:noWrap/>
                  <w:vAlign w:val="center"/>
                </w:tcPr>
                <w:p w14:paraId="4CDD9DB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0873586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3122" w:type="pct"/>
                  <w:gridSpan w:val="4"/>
                  <w:vAlign w:val="center"/>
                </w:tcPr>
                <w:p w14:paraId="479C30D4">
                  <w:pPr>
                    <w:keepNext w:val="0"/>
                    <w:keepLines w:val="0"/>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sz w:val="21"/>
                    </w:rPr>
                    <w:t>合计</w:t>
                  </w:r>
                </w:p>
              </w:tc>
              <w:tc>
                <w:tcPr>
                  <w:tcW w:w="826" w:type="pct"/>
                  <w:vAlign w:val="center"/>
                </w:tcPr>
                <w:p w14:paraId="0E7321CB">
                  <w:pPr>
                    <w:keepNext w:val="0"/>
                    <w:keepLines w:val="0"/>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lang w:val="en-US" w:eastAsia="zh-CN" w:bidi="ar"/>
                    </w:rPr>
                  </w:pPr>
                  <w:r>
                    <w:rPr>
                      <w:rFonts w:hint="eastAsia" w:eastAsia="仿宋_GB2312" w:cs="Times New Roman"/>
                      <w:b/>
                      <w:bCs/>
                      <w:color w:val="auto"/>
                      <w:kern w:val="0"/>
                      <w:sz w:val="21"/>
                      <w:lang w:val="en-US" w:eastAsia="zh-CN" w:bidi="ar"/>
                    </w:rPr>
                    <w:t>0.53</w:t>
                  </w:r>
                </w:p>
              </w:tc>
              <w:tc>
                <w:tcPr>
                  <w:tcW w:w="1051" w:type="pct"/>
                  <w:vMerge w:val="continue"/>
                  <w:vAlign w:val="center"/>
                </w:tcPr>
                <w:p w14:paraId="17FA989E">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s="Times New Roman"/>
                      <w:color w:val="auto"/>
                      <w:lang w:val="en-US" w:eastAsia="zh-CN"/>
                    </w:rPr>
                  </w:pPr>
                </w:p>
              </w:tc>
            </w:tr>
          </w:tbl>
          <w:p w14:paraId="791614C8">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（2）危险废物</w:t>
            </w:r>
          </w:p>
          <w:p w14:paraId="0C2F1FD7">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经对照，本项目属于危险废物的包装材料如下表所示。项目原料用量不大，含衬袋的包装桶和衬袋做危险废物处置。</w:t>
            </w:r>
          </w:p>
          <w:p w14:paraId="581B5AC0">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仿宋_GB2312" w:cs="Times New Roman"/>
                <w:b/>
                <w:color w:val="auto"/>
                <w:sz w:val="22"/>
                <w:szCs w:val="22"/>
              </w:rPr>
            </w:pPr>
            <w:r>
              <w:rPr>
                <w:rFonts w:hint="eastAsia" w:ascii="Times New Roman" w:hAnsi="Times New Roman" w:eastAsia="仿宋_GB2312" w:cs="Times New Roman"/>
                <w:b/>
                <w:color w:val="auto"/>
                <w:sz w:val="22"/>
                <w:szCs w:val="22"/>
                <w:lang w:val="en-US" w:eastAsia="zh-CN"/>
              </w:rPr>
              <w:t>表</w:t>
            </w:r>
            <w:r>
              <w:rPr>
                <w:rFonts w:hint="eastAsia" w:eastAsia="仿宋_GB2312" w:cs="Times New Roman"/>
                <w:b/>
                <w:color w:val="auto"/>
                <w:sz w:val="22"/>
                <w:szCs w:val="22"/>
                <w:lang w:val="en-US" w:eastAsia="zh-CN"/>
              </w:rPr>
              <w:t>2-46</w:t>
            </w:r>
            <w:r>
              <w:rPr>
                <w:rFonts w:hint="eastAsia" w:ascii="Times New Roman" w:hAnsi="Times New Roman" w:eastAsia="仿宋_GB2312" w:cs="Times New Roman"/>
                <w:b/>
                <w:color w:val="auto"/>
                <w:sz w:val="22"/>
                <w:szCs w:val="22"/>
              </w:rPr>
              <w:t xml:space="preserve">  本项目危险固废产生情况表</w:t>
            </w:r>
          </w:p>
          <w:tbl>
            <w:tblPr>
              <w:tblStyle w:val="167"/>
              <w:tblW w:w="46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57" w:type="dxa"/>
                <w:bottom w:w="0" w:type="dxa"/>
                <w:right w:w="57" w:type="dxa"/>
              </w:tblCellMar>
            </w:tblPr>
            <w:tblGrid>
              <w:gridCol w:w="1296"/>
              <w:gridCol w:w="1007"/>
              <w:gridCol w:w="1996"/>
              <w:gridCol w:w="1260"/>
              <w:gridCol w:w="1150"/>
              <w:gridCol w:w="1188"/>
            </w:tblGrid>
            <w:tr w14:paraId="3113DE8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Merge w:val="restart"/>
                  <w:noWrap/>
                  <w:vAlign w:val="center"/>
                </w:tcPr>
                <w:p w14:paraId="76C007C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原料名称</w:t>
                  </w:r>
                </w:p>
              </w:tc>
              <w:tc>
                <w:tcPr>
                  <w:tcW w:w="637" w:type="pct"/>
                  <w:vMerge w:val="restart"/>
                  <w:vAlign w:val="center"/>
                </w:tcPr>
                <w:p w14:paraId="4679EE6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年耗量(t/a)</w:t>
                  </w:r>
                </w:p>
              </w:tc>
              <w:tc>
                <w:tcPr>
                  <w:tcW w:w="1263" w:type="pct"/>
                  <w:vMerge w:val="restart"/>
                  <w:vAlign w:val="center"/>
                </w:tcPr>
                <w:p w14:paraId="5732BD3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包装方式</w:t>
                  </w:r>
                </w:p>
              </w:tc>
              <w:tc>
                <w:tcPr>
                  <w:tcW w:w="1525" w:type="pct"/>
                  <w:gridSpan w:val="2"/>
                  <w:vAlign w:val="center"/>
                </w:tcPr>
                <w:p w14:paraId="4A52F05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包装桶产生量</w:t>
                  </w:r>
                </w:p>
              </w:tc>
              <w:tc>
                <w:tcPr>
                  <w:tcW w:w="752" w:type="pct"/>
                  <w:vMerge w:val="restart"/>
                  <w:noWrap/>
                  <w:vAlign w:val="center"/>
                </w:tcPr>
                <w:p w14:paraId="6945A5F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处置去向</w:t>
                  </w:r>
                </w:p>
              </w:tc>
            </w:tr>
            <w:tr w14:paraId="163BFC0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Merge w:val="continue"/>
                  <w:noWrap/>
                  <w:vAlign w:val="center"/>
                </w:tcPr>
                <w:p w14:paraId="12A235F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c>
                <w:tcPr>
                  <w:tcW w:w="637" w:type="pct"/>
                  <w:vMerge w:val="continue"/>
                  <w:vAlign w:val="center"/>
                </w:tcPr>
                <w:p w14:paraId="5028065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rPr>
                  </w:pPr>
                </w:p>
              </w:tc>
              <w:tc>
                <w:tcPr>
                  <w:tcW w:w="1263" w:type="pct"/>
                  <w:vMerge w:val="continue"/>
                  <w:vAlign w:val="center"/>
                </w:tcPr>
                <w:p w14:paraId="199D9A4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p>
              </w:tc>
              <w:tc>
                <w:tcPr>
                  <w:tcW w:w="797" w:type="pct"/>
                  <w:vAlign w:val="center"/>
                </w:tcPr>
                <w:p w14:paraId="5ED7AE4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bCs/>
                      <w:color w:val="auto"/>
                    </w:rPr>
                    <w:t>数量(</w:t>
                  </w:r>
                  <w:r>
                    <w:rPr>
                      <w:rFonts w:hint="default" w:ascii="Times New Roman" w:hAnsi="Times New Roman" w:eastAsia="仿宋_GB2312" w:cs="Times New Roman"/>
                      <w:b/>
                      <w:color w:val="auto"/>
                    </w:rPr>
                    <w:t>只/a</w:t>
                  </w:r>
                  <w:r>
                    <w:rPr>
                      <w:rFonts w:hint="default" w:ascii="Times New Roman" w:hAnsi="Times New Roman" w:eastAsia="仿宋_GB2312" w:cs="Times New Roman"/>
                      <w:b/>
                      <w:bCs/>
                      <w:color w:val="auto"/>
                    </w:rPr>
                    <w:t>)</w:t>
                  </w:r>
                </w:p>
              </w:tc>
              <w:tc>
                <w:tcPr>
                  <w:tcW w:w="728" w:type="pct"/>
                  <w:vAlign w:val="center"/>
                </w:tcPr>
                <w:p w14:paraId="35D010A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重量(t/a)</w:t>
                  </w:r>
                </w:p>
              </w:tc>
              <w:tc>
                <w:tcPr>
                  <w:tcW w:w="752" w:type="pct"/>
                  <w:vMerge w:val="continue"/>
                  <w:noWrap/>
                  <w:vAlign w:val="center"/>
                </w:tcPr>
                <w:p w14:paraId="432CFEF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p>
              </w:tc>
            </w:tr>
            <w:tr w14:paraId="63E3CDE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6579C68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氢氧化钠</w:t>
                  </w:r>
                </w:p>
              </w:tc>
              <w:tc>
                <w:tcPr>
                  <w:tcW w:w="637" w:type="pct"/>
                  <w:vAlign w:val="center"/>
                </w:tcPr>
                <w:p w14:paraId="35B7BCD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1.5</w:t>
                  </w:r>
                  <w:r>
                    <w:rPr>
                      <w:rFonts w:hint="default" w:ascii="Times New Roman" w:hAnsi="Times New Roman" w:eastAsia="仿宋_GB2312" w:cs="Times New Roman"/>
                      <w:color w:val="auto"/>
                      <w:szCs w:val="21"/>
                      <w:lang w:val="en-US"/>
                    </w:rPr>
                    <w:t>484</w:t>
                  </w:r>
                </w:p>
              </w:tc>
              <w:tc>
                <w:tcPr>
                  <w:tcW w:w="1263" w:type="pct"/>
                  <w:vAlign w:val="center"/>
                </w:tcPr>
                <w:p w14:paraId="1346F4F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10kg桶装</w:t>
                  </w:r>
                </w:p>
              </w:tc>
              <w:tc>
                <w:tcPr>
                  <w:tcW w:w="797" w:type="pct"/>
                  <w:vAlign w:val="center"/>
                </w:tcPr>
                <w:p w14:paraId="7D8AD1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zh-CN" w:eastAsia="zh-CN" w:bidi="ar-SA"/>
                    </w:rPr>
                  </w:pPr>
                  <w:r>
                    <w:rPr>
                      <w:rFonts w:hint="eastAsia" w:ascii="Times New Roman" w:hAnsi="Times New Roman" w:eastAsia="仿宋_GB2312" w:cs="Times New Roman"/>
                      <w:color w:val="auto"/>
                      <w:kern w:val="0"/>
                      <w:sz w:val="21"/>
                      <w:szCs w:val="21"/>
                      <w:lang w:val="en-US" w:eastAsia="zh-CN" w:bidi="ar-SA"/>
                    </w:rPr>
                    <w:t>6</w:t>
                  </w:r>
                  <w:r>
                    <w:rPr>
                      <w:rFonts w:hint="eastAsia" w:eastAsia="仿宋_GB2312" w:cs="Times New Roman"/>
                      <w:color w:val="auto"/>
                      <w:kern w:val="0"/>
                      <w:sz w:val="21"/>
                      <w:szCs w:val="21"/>
                      <w:lang w:val="en-US" w:eastAsia="zh-CN" w:bidi="ar-SA"/>
                    </w:rPr>
                    <w:t>8</w:t>
                  </w:r>
                </w:p>
              </w:tc>
              <w:tc>
                <w:tcPr>
                  <w:tcW w:w="728" w:type="pct"/>
                  <w:vAlign w:val="center"/>
                </w:tcPr>
                <w:p w14:paraId="569704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0.0</w:t>
                  </w:r>
                  <w:r>
                    <w:rPr>
                      <w:rFonts w:hint="eastAsia" w:eastAsia="仿宋_GB2312" w:cs="Times New Roman"/>
                      <w:color w:val="auto"/>
                      <w:kern w:val="0"/>
                      <w:sz w:val="21"/>
                      <w:szCs w:val="21"/>
                      <w:lang w:val="en-US" w:eastAsia="zh-CN" w:bidi="ar-SA"/>
                    </w:rPr>
                    <w:t>8</w:t>
                  </w:r>
                  <w:r>
                    <w:rPr>
                      <w:rFonts w:hint="eastAsia" w:ascii="Times New Roman" w:hAnsi="Times New Roman" w:eastAsia="仿宋_GB2312" w:cs="Times New Roman"/>
                      <w:color w:val="auto"/>
                      <w:kern w:val="0"/>
                      <w:sz w:val="21"/>
                      <w:szCs w:val="21"/>
                      <w:lang w:val="en-US" w:eastAsia="zh-CN" w:bidi="ar-SA"/>
                    </w:rPr>
                    <w:t xml:space="preserve"> </w:t>
                  </w:r>
                </w:p>
              </w:tc>
              <w:tc>
                <w:tcPr>
                  <w:tcW w:w="752" w:type="pct"/>
                  <w:vMerge w:val="restart"/>
                  <w:vAlign w:val="center"/>
                </w:tcPr>
                <w:p w14:paraId="0C6FFA6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委托有资质单位处置</w:t>
                  </w:r>
                </w:p>
              </w:tc>
            </w:tr>
            <w:tr w14:paraId="69611912">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6FDDA4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default" w:ascii="仿宋_GB2312" w:hAnsi="宋体" w:eastAsia="仿宋_GB2312" w:cs="仿宋_GB2312"/>
                      <w:i w:val="0"/>
                      <w:iCs w:val="0"/>
                      <w:color w:val="auto"/>
                      <w:kern w:val="0"/>
                      <w:sz w:val="21"/>
                      <w:szCs w:val="21"/>
                      <w:u w:val="none"/>
                      <w:lang w:val="en-US" w:eastAsia="zh-CN" w:bidi="ar"/>
                    </w:rPr>
                    <w:t>磷酸二氢钾</w:t>
                  </w:r>
                </w:p>
              </w:tc>
              <w:tc>
                <w:tcPr>
                  <w:tcW w:w="637" w:type="pct"/>
                  <w:vAlign w:val="center"/>
                </w:tcPr>
                <w:p w14:paraId="0ED694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0.1932</w:t>
                  </w:r>
                </w:p>
              </w:tc>
              <w:tc>
                <w:tcPr>
                  <w:tcW w:w="1263" w:type="pct"/>
                  <w:vAlign w:val="center"/>
                </w:tcPr>
                <w:p w14:paraId="2ED12F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97" w:type="pct"/>
                  <w:vAlign w:val="center"/>
                </w:tcPr>
                <w:p w14:paraId="7D815B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8</w:t>
                  </w:r>
                </w:p>
              </w:tc>
              <w:tc>
                <w:tcPr>
                  <w:tcW w:w="728" w:type="pct"/>
                  <w:vAlign w:val="center"/>
                </w:tcPr>
                <w:p w14:paraId="5B9526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 xml:space="preserve">0.01 </w:t>
                  </w:r>
                </w:p>
              </w:tc>
              <w:tc>
                <w:tcPr>
                  <w:tcW w:w="752" w:type="pct"/>
                  <w:vMerge w:val="continue"/>
                  <w:vAlign w:val="center"/>
                </w:tcPr>
                <w:p w14:paraId="417AD7C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r w14:paraId="2AF631EA">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0615AD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default" w:ascii="仿宋_GB2312" w:hAnsi="宋体" w:eastAsia="仿宋_GB2312" w:cs="仿宋_GB2312"/>
                      <w:i w:val="0"/>
                      <w:iCs w:val="0"/>
                      <w:color w:val="auto"/>
                      <w:kern w:val="0"/>
                      <w:sz w:val="21"/>
                      <w:szCs w:val="21"/>
                      <w:u w:val="none"/>
                      <w:lang w:val="en-US" w:eastAsia="zh-CN" w:bidi="ar"/>
                    </w:rPr>
                    <w:t>磷酸氢二钾</w:t>
                  </w:r>
                </w:p>
              </w:tc>
              <w:tc>
                <w:tcPr>
                  <w:tcW w:w="637" w:type="pct"/>
                  <w:vAlign w:val="center"/>
                </w:tcPr>
                <w:p w14:paraId="691F66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0.4118</w:t>
                  </w:r>
                </w:p>
              </w:tc>
              <w:tc>
                <w:tcPr>
                  <w:tcW w:w="1263" w:type="pct"/>
                  <w:vAlign w:val="center"/>
                </w:tcPr>
                <w:p w14:paraId="320ACF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97" w:type="pct"/>
                  <w:vAlign w:val="center"/>
                </w:tcPr>
                <w:p w14:paraId="0B7352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17</w:t>
                  </w:r>
                </w:p>
              </w:tc>
              <w:tc>
                <w:tcPr>
                  <w:tcW w:w="728" w:type="pct"/>
                  <w:vAlign w:val="center"/>
                </w:tcPr>
                <w:p w14:paraId="473BE1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 xml:space="preserve">0.02 </w:t>
                  </w:r>
                </w:p>
              </w:tc>
              <w:tc>
                <w:tcPr>
                  <w:tcW w:w="752" w:type="pct"/>
                  <w:vMerge w:val="continue"/>
                  <w:vAlign w:val="center"/>
                </w:tcPr>
                <w:p w14:paraId="7B84D38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r w14:paraId="5DAF9E19">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00C61A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default" w:ascii="仿宋_GB2312" w:hAnsi="宋体" w:eastAsia="仿宋_GB2312" w:cs="仿宋_GB2312"/>
                      <w:i w:val="0"/>
                      <w:iCs w:val="0"/>
                      <w:color w:val="auto"/>
                      <w:kern w:val="0"/>
                      <w:sz w:val="21"/>
                      <w:szCs w:val="21"/>
                      <w:u w:val="none"/>
                      <w:lang w:val="en-US" w:eastAsia="zh-CN" w:bidi="ar"/>
                    </w:rPr>
                    <w:t>硫酸镁</w:t>
                  </w:r>
                </w:p>
              </w:tc>
              <w:tc>
                <w:tcPr>
                  <w:tcW w:w="637" w:type="pct"/>
                  <w:vAlign w:val="center"/>
                </w:tcPr>
                <w:p w14:paraId="170972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0.1354</w:t>
                  </w:r>
                </w:p>
              </w:tc>
              <w:tc>
                <w:tcPr>
                  <w:tcW w:w="1263" w:type="pct"/>
                  <w:vAlign w:val="center"/>
                </w:tcPr>
                <w:p w14:paraId="44B153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97" w:type="pct"/>
                  <w:vAlign w:val="center"/>
                </w:tcPr>
                <w:p w14:paraId="0B4BC4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6</w:t>
                  </w:r>
                </w:p>
              </w:tc>
              <w:tc>
                <w:tcPr>
                  <w:tcW w:w="728" w:type="pct"/>
                  <w:vAlign w:val="center"/>
                </w:tcPr>
                <w:p w14:paraId="1C51C6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 xml:space="preserve">0.01 </w:t>
                  </w:r>
                </w:p>
              </w:tc>
              <w:tc>
                <w:tcPr>
                  <w:tcW w:w="752" w:type="pct"/>
                  <w:vMerge w:val="continue"/>
                  <w:vAlign w:val="center"/>
                </w:tcPr>
                <w:p w14:paraId="713D5BE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r w14:paraId="7135A34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1F9525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default" w:ascii="仿宋_GB2312" w:hAnsi="宋体" w:eastAsia="仿宋_GB2312" w:cs="仿宋_GB2312"/>
                      <w:i w:val="0"/>
                      <w:iCs w:val="0"/>
                      <w:color w:val="auto"/>
                      <w:kern w:val="0"/>
                      <w:sz w:val="21"/>
                      <w:szCs w:val="21"/>
                      <w:u w:val="none"/>
                      <w:lang w:val="en-US" w:eastAsia="zh-CN" w:bidi="ar"/>
                    </w:rPr>
                    <w:t>氢氧化钠</w:t>
                  </w:r>
                </w:p>
              </w:tc>
              <w:tc>
                <w:tcPr>
                  <w:tcW w:w="637" w:type="pct"/>
                  <w:vAlign w:val="center"/>
                </w:tcPr>
                <w:p w14:paraId="6FB9D3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0.77328</w:t>
                  </w:r>
                </w:p>
              </w:tc>
              <w:tc>
                <w:tcPr>
                  <w:tcW w:w="1263" w:type="pct"/>
                  <w:vAlign w:val="center"/>
                </w:tcPr>
                <w:p w14:paraId="318CE1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10 kg</w:t>
                  </w:r>
                </w:p>
              </w:tc>
              <w:tc>
                <w:tcPr>
                  <w:tcW w:w="797" w:type="pct"/>
                  <w:vAlign w:val="center"/>
                </w:tcPr>
                <w:p w14:paraId="2E0387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31</w:t>
                  </w:r>
                </w:p>
              </w:tc>
              <w:tc>
                <w:tcPr>
                  <w:tcW w:w="728" w:type="pct"/>
                  <w:vAlign w:val="center"/>
                </w:tcPr>
                <w:p w14:paraId="652263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 xml:space="preserve">0.04 </w:t>
                  </w:r>
                </w:p>
              </w:tc>
              <w:tc>
                <w:tcPr>
                  <w:tcW w:w="752" w:type="pct"/>
                  <w:vMerge w:val="continue"/>
                  <w:vAlign w:val="center"/>
                </w:tcPr>
                <w:p w14:paraId="568485C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r w14:paraId="05F31326">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175E13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default" w:ascii="仿宋_GB2312" w:hAnsi="宋体" w:eastAsia="仿宋_GB2312" w:cs="仿宋_GB2312"/>
                      <w:i w:val="0"/>
                      <w:iCs w:val="0"/>
                      <w:color w:val="auto"/>
                      <w:kern w:val="0"/>
                      <w:sz w:val="21"/>
                      <w:szCs w:val="21"/>
                      <w:u w:val="none"/>
                      <w:lang w:val="en-US" w:eastAsia="zh-CN" w:bidi="ar"/>
                    </w:rPr>
                    <w:t>消泡剂</w:t>
                  </w:r>
                </w:p>
              </w:tc>
              <w:tc>
                <w:tcPr>
                  <w:tcW w:w="637" w:type="pct"/>
                  <w:vAlign w:val="center"/>
                </w:tcPr>
                <w:p w14:paraId="0FFAF9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1263" w:type="pct"/>
                  <w:vAlign w:val="center"/>
                </w:tcPr>
                <w:p w14:paraId="0E1615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5 kg</w:t>
                  </w:r>
                </w:p>
              </w:tc>
              <w:tc>
                <w:tcPr>
                  <w:tcW w:w="797" w:type="pct"/>
                  <w:vAlign w:val="center"/>
                </w:tcPr>
                <w:p w14:paraId="2460D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1</w:t>
                  </w:r>
                </w:p>
              </w:tc>
              <w:tc>
                <w:tcPr>
                  <w:tcW w:w="728" w:type="pct"/>
                  <w:vAlign w:val="center"/>
                </w:tcPr>
                <w:p w14:paraId="013D7B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 xml:space="preserve">0.0001 </w:t>
                  </w:r>
                </w:p>
              </w:tc>
              <w:tc>
                <w:tcPr>
                  <w:tcW w:w="752" w:type="pct"/>
                  <w:vMerge w:val="continue"/>
                  <w:vAlign w:val="center"/>
                </w:tcPr>
                <w:p w14:paraId="59A8A79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r w14:paraId="1AAB490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413C22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乙酸钠</w:t>
                  </w:r>
                </w:p>
              </w:tc>
              <w:tc>
                <w:tcPr>
                  <w:tcW w:w="637" w:type="pct"/>
                  <w:vAlign w:val="center"/>
                </w:tcPr>
                <w:p w14:paraId="74FD78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0.0504</w:t>
                  </w:r>
                </w:p>
              </w:tc>
              <w:tc>
                <w:tcPr>
                  <w:tcW w:w="1263" w:type="pct"/>
                  <w:vAlign w:val="center"/>
                </w:tcPr>
                <w:p w14:paraId="6C8115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97" w:type="pct"/>
                  <w:vAlign w:val="center"/>
                </w:tcPr>
                <w:p w14:paraId="50CB09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3</w:t>
                  </w:r>
                </w:p>
              </w:tc>
              <w:tc>
                <w:tcPr>
                  <w:tcW w:w="728" w:type="pct"/>
                  <w:vAlign w:val="center"/>
                </w:tcPr>
                <w:p w14:paraId="3736D5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 xml:space="preserve">0.0001 </w:t>
                  </w:r>
                </w:p>
              </w:tc>
              <w:tc>
                <w:tcPr>
                  <w:tcW w:w="752" w:type="pct"/>
                  <w:vMerge w:val="continue"/>
                  <w:vAlign w:val="center"/>
                </w:tcPr>
                <w:p w14:paraId="52AAC9F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r w14:paraId="41DFA30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3F8FE6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柠檬酸二铵</w:t>
                  </w:r>
                </w:p>
              </w:tc>
              <w:tc>
                <w:tcPr>
                  <w:tcW w:w="637" w:type="pct"/>
                  <w:vAlign w:val="center"/>
                </w:tcPr>
                <w:p w14:paraId="38BED7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0.152</w:t>
                  </w:r>
                </w:p>
              </w:tc>
              <w:tc>
                <w:tcPr>
                  <w:tcW w:w="1263" w:type="pct"/>
                  <w:vAlign w:val="center"/>
                </w:tcPr>
                <w:p w14:paraId="406A6E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 kg</w:t>
                  </w:r>
                </w:p>
              </w:tc>
              <w:tc>
                <w:tcPr>
                  <w:tcW w:w="797" w:type="pct"/>
                  <w:vAlign w:val="center"/>
                </w:tcPr>
                <w:p w14:paraId="1086FF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7</w:t>
                  </w:r>
                </w:p>
              </w:tc>
              <w:tc>
                <w:tcPr>
                  <w:tcW w:w="728" w:type="pct"/>
                  <w:vAlign w:val="center"/>
                </w:tcPr>
                <w:p w14:paraId="2EEE4E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 xml:space="preserve">0.01 </w:t>
                  </w:r>
                </w:p>
              </w:tc>
              <w:tc>
                <w:tcPr>
                  <w:tcW w:w="752" w:type="pct"/>
                  <w:vMerge w:val="continue"/>
                  <w:vAlign w:val="center"/>
                </w:tcPr>
                <w:p w14:paraId="4E7F6B4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r w14:paraId="53EAD925">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820" w:type="pct"/>
                  <w:vAlign w:val="center"/>
                </w:tcPr>
                <w:p w14:paraId="7AC78C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default" w:ascii="仿宋_GB2312" w:hAnsi="宋体" w:eastAsia="仿宋_GB2312" w:cs="仿宋_GB2312"/>
                      <w:i w:val="0"/>
                      <w:iCs w:val="0"/>
                      <w:color w:val="auto"/>
                      <w:kern w:val="0"/>
                      <w:sz w:val="21"/>
                      <w:szCs w:val="21"/>
                      <w:u w:val="none"/>
                      <w:lang w:val="en-US" w:eastAsia="zh-CN" w:bidi="ar"/>
                    </w:rPr>
                    <w:t>盐酸</w:t>
                  </w:r>
                </w:p>
              </w:tc>
              <w:tc>
                <w:tcPr>
                  <w:tcW w:w="637" w:type="pct"/>
                  <w:vAlign w:val="center"/>
                </w:tcPr>
                <w:p w14:paraId="459175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color w:val="auto"/>
                      <w:kern w:val="2"/>
                      <w:sz w:val="21"/>
                      <w:szCs w:val="24"/>
                      <w:lang w:val="en-US" w:eastAsia="zh-CN" w:bidi="ar-SA"/>
                    </w:rPr>
                  </w:pPr>
                  <w:r>
                    <w:rPr>
                      <w:rFonts w:hint="eastAsia" w:cs="Times New Roman"/>
                      <w:i w:val="0"/>
                      <w:iCs w:val="0"/>
                      <w:color w:val="auto"/>
                      <w:kern w:val="0"/>
                      <w:sz w:val="21"/>
                      <w:szCs w:val="21"/>
                      <w:u w:val="none"/>
                      <w:lang w:val="en-US" w:eastAsia="zh-CN" w:bidi="ar"/>
                    </w:rPr>
                    <w:t>4.44</w:t>
                  </w:r>
                </w:p>
              </w:tc>
              <w:tc>
                <w:tcPr>
                  <w:tcW w:w="1263" w:type="pct"/>
                  <w:vAlign w:val="center"/>
                </w:tcPr>
                <w:p w14:paraId="251AE9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kern w:val="2"/>
                      <w:sz w:val="21"/>
                      <w:szCs w:val="24"/>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桶装，</w:t>
                  </w:r>
                  <w:r>
                    <w:rPr>
                      <w:rFonts w:hint="default" w:ascii="Times New Roman" w:hAnsi="Times New Roman" w:eastAsia="仿宋_GB2312" w:cs="Times New Roman"/>
                      <w:i w:val="0"/>
                      <w:iCs w:val="0"/>
                      <w:color w:val="auto"/>
                      <w:kern w:val="0"/>
                      <w:sz w:val="21"/>
                      <w:szCs w:val="21"/>
                      <w:u w:val="none"/>
                      <w:lang w:val="en-US" w:eastAsia="zh-CN" w:bidi="ar"/>
                    </w:rPr>
                    <w:t>25kg</w:t>
                  </w:r>
                </w:p>
              </w:tc>
              <w:tc>
                <w:tcPr>
                  <w:tcW w:w="797" w:type="pct"/>
                  <w:vAlign w:val="center"/>
                </w:tcPr>
                <w:p w14:paraId="592235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249</w:t>
                  </w:r>
                </w:p>
              </w:tc>
              <w:tc>
                <w:tcPr>
                  <w:tcW w:w="728" w:type="pct"/>
                  <w:vAlign w:val="center"/>
                </w:tcPr>
                <w:p w14:paraId="4F4A38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eastAsia="仿宋_GB2312" w:cs="Times New Roman"/>
                      <w:color w:val="auto"/>
                      <w:kern w:val="0"/>
                      <w:sz w:val="21"/>
                      <w:szCs w:val="21"/>
                      <w:lang w:val="en-US" w:eastAsia="zh-CN" w:bidi="ar-SA"/>
                    </w:rPr>
                    <w:t>0</w:t>
                  </w:r>
                  <w:r>
                    <w:rPr>
                      <w:rFonts w:hint="eastAsia" w:eastAsia="仿宋_GB2312" w:cs="Times New Roman"/>
                      <w:color w:val="auto"/>
                      <w:kern w:val="0"/>
                      <w:sz w:val="21"/>
                      <w:szCs w:val="21"/>
                      <w:lang w:val="en-US" w:eastAsia="zh-CN" w:bidi="ar-SA"/>
                    </w:rPr>
                    <w:t>.2</w:t>
                  </w:r>
                  <w:r>
                    <w:rPr>
                      <w:rFonts w:hint="eastAsia" w:ascii="Times New Roman" w:hAnsi="Times New Roman" w:eastAsia="仿宋_GB2312" w:cs="Times New Roman"/>
                      <w:color w:val="auto"/>
                      <w:kern w:val="0"/>
                      <w:sz w:val="21"/>
                      <w:szCs w:val="21"/>
                      <w:lang w:val="en-US" w:eastAsia="zh-CN" w:bidi="ar-SA"/>
                    </w:rPr>
                    <w:t xml:space="preserve"> </w:t>
                  </w:r>
                </w:p>
              </w:tc>
              <w:tc>
                <w:tcPr>
                  <w:tcW w:w="752" w:type="pct"/>
                  <w:vMerge w:val="continue"/>
                  <w:vAlign w:val="center"/>
                </w:tcPr>
                <w:p w14:paraId="7AD9847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r w14:paraId="1F6937C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3519" w:type="pct"/>
                  <w:gridSpan w:val="4"/>
                  <w:vAlign w:val="center"/>
                </w:tcPr>
                <w:p w14:paraId="78C2ECD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合计</w:t>
                  </w:r>
                </w:p>
              </w:tc>
              <w:tc>
                <w:tcPr>
                  <w:tcW w:w="728" w:type="pct"/>
                  <w:vAlign w:val="center"/>
                </w:tcPr>
                <w:p w14:paraId="61683F2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0.3702</w:t>
                  </w:r>
                </w:p>
              </w:tc>
              <w:tc>
                <w:tcPr>
                  <w:tcW w:w="752" w:type="pct"/>
                  <w:vMerge w:val="continue"/>
                  <w:vAlign w:val="center"/>
                </w:tcPr>
                <w:p w14:paraId="2F3CAF0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r>
          </w:tbl>
          <w:p w14:paraId="46EFA9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仿宋_GB2312" w:cs="Times New Roman"/>
                <w:color w:val="auto"/>
                <w:kern w:val="2"/>
                <w:sz w:val="24"/>
                <w:szCs w:val="24"/>
                <w:lang w:val="en-US" w:eastAsia="zh-CN" w:bidi="ar-SA"/>
              </w:rPr>
            </w:pPr>
            <w:r>
              <w:rPr>
                <w:rFonts w:hint="default" w:eastAsia="仿宋_GB2312"/>
                <w:bCs/>
                <w:color w:val="auto"/>
                <w:sz w:val="24"/>
              </w:rPr>
              <w:fldChar w:fldCharType="begin"/>
            </w:r>
            <w:r>
              <w:rPr>
                <w:rFonts w:hint="default" w:eastAsia="仿宋_GB2312"/>
                <w:bCs/>
                <w:color w:val="auto"/>
                <w:sz w:val="24"/>
              </w:rPr>
              <w:instrText xml:space="preserve"> = 3 \* GB3 </w:instrText>
            </w:r>
            <w:r>
              <w:rPr>
                <w:rFonts w:hint="default" w:eastAsia="仿宋_GB2312"/>
                <w:bCs/>
                <w:color w:val="auto"/>
                <w:sz w:val="24"/>
              </w:rPr>
              <w:fldChar w:fldCharType="separate"/>
            </w:r>
            <w:r>
              <w:rPr>
                <w:rFonts w:hint="default"/>
                <w:bCs/>
                <w:color w:val="auto"/>
                <w:sz w:val="24"/>
              </w:rPr>
              <w:t>③</w:t>
            </w:r>
            <w:r>
              <w:rPr>
                <w:rFonts w:hint="default" w:eastAsia="仿宋_GB2312"/>
                <w:bCs/>
                <w:color w:val="auto"/>
                <w:sz w:val="24"/>
              </w:rPr>
              <w:fldChar w:fldCharType="end"/>
            </w:r>
            <w:r>
              <w:rPr>
                <w:rFonts w:hint="eastAsia" w:ascii="Times New Roman" w:hAnsi="Times New Roman" w:eastAsia="仿宋_GB2312" w:cs="Times New Roman"/>
                <w:color w:val="auto"/>
                <w:kern w:val="2"/>
                <w:sz w:val="24"/>
                <w:szCs w:val="24"/>
                <w:lang w:val="en-US" w:eastAsia="zh-CN" w:bidi="ar-SA"/>
              </w:rPr>
              <w:t>车间清洁废物</w:t>
            </w:r>
          </w:p>
          <w:p w14:paraId="191E82C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本项目车间清洁产生清洁废物，主要是废拖把、废抹布及废劳保用品等，产生量约为0.2t/a，作为危险废物委托有资质单位处置。</w:t>
            </w:r>
          </w:p>
          <w:p w14:paraId="69E0CAC9">
            <w:pPr>
              <w:keepNext w:val="0"/>
              <w:keepLines w:val="0"/>
              <w:pageBreakBefore w:val="0"/>
              <w:widowControl w:val="0"/>
              <w:suppressLineNumbers w:val="0"/>
              <w:tabs>
                <w:tab w:val="left" w:pos="360"/>
              </w:tabs>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fldChar w:fldCharType="begin"/>
            </w:r>
            <w:r>
              <w:rPr>
                <w:rFonts w:hint="default" w:ascii="Times New Roman" w:hAnsi="Times New Roman" w:eastAsia="仿宋_GB2312" w:cs="Times New Roman"/>
                <w:bCs/>
                <w:color w:val="auto"/>
                <w:sz w:val="24"/>
              </w:rPr>
              <w:instrText xml:space="preserve"> = 4 \* GB3 </w:instrText>
            </w:r>
            <w:r>
              <w:rPr>
                <w:rFonts w:hint="default" w:ascii="Times New Roman" w:hAnsi="Times New Roman" w:eastAsia="仿宋_GB2312" w:cs="Times New Roman"/>
                <w:bCs/>
                <w:color w:val="auto"/>
                <w:sz w:val="24"/>
              </w:rPr>
              <w:fldChar w:fldCharType="separate"/>
            </w:r>
            <w:r>
              <w:rPr>
                <w:rFonts w:hint="default" w:ascii="Times New Roman" w:hAnsi="Times New Roman" w:eastAsia="仿宋_GB2312" w:cs="Times New Roman"/>
                <w:bCs/>
                <w:color w:val="auto"/>
                <w:sz w:val="24"/>
              </w:rPr>
              <w:t>④</w:t>
            </w:r>
            <w:r>
              <w:rPr>
                <w:rFonts w:hint="default" w:ascii="Times New Roman" w:hAnsi="Times New Roman" w:eastAsia="仿宋_GB2312" w:cs="Times New Roman"/>
                <w:bCs/>
                <w:color w:val="auto"/>
                <w:sz w:val="24"/>
              </w:rPr>
              <w:fldChar w:fldCharType="end"/>
            </w:r>
            <w:r>
              <w:rPr>
                <w:rFonts w:hint="default" w:ascii="Times New Roman" w:hAnsi="Times New Roman" w:eastAsia="仿宋_GB2312" w:cs="Times New Roman"/>
                <w:bCs/>
                <w:color w:val="auto"/>
                <w:sz w:val="24"/>
              </w:rPr>
              <w:t>废气处理产生固废</w:t>
            </w:r>
          </w:p>
          <w:p w14:paraId="0726E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本项目废气处理过程中产生废活性炭，根据《省生态环境厅关于将排污单位活性炭使用更换纳入排污许可管理的通知》（苏环办2021[218]号文）计算活性炭更换周期如下。</w:t>
            </w:r>
          </w:p>
          <w:p w14:paraId="7623EAED">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仿宋_GB2312" w:cs="Times New Roman"/>
                <w:b/>
                <w:color w:val="auto"/>
                <w:sz w:val="22"/>
                <w:szCs w:val="22"/>
                <w:lang w:val="en-US" w:eastAsia="zh-CN"/>
              </w:rPr>
            </w:pPr>
          </w:p>
          <w:p w14:paraId="1985AD5D">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仿宋_GB2312" w:cs="Times New Roman"/>
                <w:b/>
                <w:color w:val="auto"/>
                <w:sz w:val="22"/>
                <w:szCs w:val="22"/>
                <w:lang w:val="en-US" w:eastAsia="zh-CN"/>
              </w:rPr>
            </w:pPr>
          </w:p>
          <w:p w14:paraId="43F3144F">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仿宋_GB2312" w:cs="Times New Roman"/>
                <w:b/>
                <w:color w:val="auto"/>
                <w:sz w:val="22"/>
                <w:szCs w:val="22"/>
                <w:lang w:val="en-US" w:eastAsia="zh-CN"/>
              </w:rPr>
            </w:pPr>
          </w:p>
          <w:p w14:paraId="128366F2">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仿宋_GB2312" w:cs="Times New Roman"/>
                <w:b/>
                <w:color w:val="auto"/>
                <w:sz w:val="22"/>
                <w:szCs w:val="22"/>
                <w:lang w:val="en-US" w:eastAsia="zh-CN"/>
              </w:rPr>
            </w:pPr>
          </w:p>
          <w:p w14:paraId="0CDEA93A">
            <w:pPr>
              <w:keepNext w:val="0"/>
              <w:keepLines w:val="0"/>
              <w:suppressLineNumbers w:val="0"/>
              <w:adjustRightInd w:val="0"/>
              <w:snapToGrid w:val="0"/>
              <w:spacing w:before="0" w:beforeAutospacing="0" w:after="0" w:afterAutospacing="0" w:line="500" w:lineRule="exact"/>
              <w:ind w:left="0" w:right="0"/>
              <w:jc w:val="center"/>
              <w:rPr>
                <w:rFonts w:hint="eastAsia" w:ascii="Times New Roman" w:hAnsi="Times New Roman" w:eastAsia="仿宋_GB2312" w:cs="Times New Roman"/>
                <w:b/>
                <w:color w:val="auto"/>
                <w:sz w:val="22"/>
                <w:szCs w:val="22"/>
                <w:lang w:val="en-US" w:eastAsia="zh-CN"/>
              </w:rPr>
            </w:pPr>
            <w:r>
              <w:rPr>
                <w:rFonts w:hint="eastAsia" w:ascii="Times New Roman" w:hAnsi="Times New Roman" w:eastAsia="仿宋_GB2312" w:cs="Times New Roman"/>
                <w:b/>
                <w:color w:val="auto"/>
                <w:sz w:val="22"/>
                <w:szCs w:val="22"/>
                <w:lang w:val="en-US" w:eastAsia="zh-CN"/>
              </w:rPr>
              <w:t>表</w:t>
            </w:r>
            <w:r>
              <w:rPr>
                <w:rFonts w:hint="eastAsia" w:eastAsia="仿宋_GB2312" w:cs="Times New Roman"/>
                <w:b/>
                <w:color w:val="auto"/>
                <w:sz w:val="22"/>
                <w:szCs w:val="22"/>
                <w:lang w:val="en-US" w:eastAsia="zh-CN"/>
              </w:rPr>
              <w:t>2-47</w:t>
            </w:r>
            <w:r>
              <w:rPr>
                <w:rFonts w:hint="eastAsia" w:ascii="Times New Roman" w:hAnsi="Times New Roman" w:eastAsia="仿宋_GB2312" w:cs="Times New Roman"/>
                <w:b/>
                <w:color w:val="auto"/>
                <w:sz w:val="22"/>
                <w:szCs w:val="22"/>
                <w:lang w:val="en-US" w:eastAsia="zh-CN"/>
              </w:rPr>
              <w:t xml:space="preserve">  本项目危险固废产生情况表</w:t>
            </w:r>
          </w:p>
          <w:tbl>
            <w:tblPr>
              <w:tblStyle w:val="167"/>
              <w:tblW w:w="512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57" w:type="dxa"/>
                <w:bottom w:w="0" w:type="dxa"/>
                <w:right w:w="57" w:type="dxa"/>
              </w:tblCellMar>
            </w:tblPr>
            <w:tblGrid>
              <w:gridCol w:w="1290"/>
              <w:gridCol w:w="2305"/>
              <w:gridCol w:w="1710"/>
              <w:gridCol w:w="1282"/>
              <w:gridCol w:w="1030"/>
              <w:gridCol w:w="1013"/>
            </w:tblGrid>
            <w:tr w14:paraId="20B908C9">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747" w:type="pct"/>
                  <w:noWrap/>
                  <w:vAlign w:val="center"/>
                </w:tcPr>
                <w:p w14:paraId="418CD39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lang w:val="en-US"/>
                    </w:rPr>
                    <w:t>排气筒</w:t>
                  </w:r>
                </w:p>
              </w:tc>
              <w:tc>
                <w:tcPr>
                  <w:tcW w:w="1334" w:type="pct"/>
                  <w:vAlign w:val="center"/>
                </w:tcPr>
                <w:p w14:paraId="4D261FD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lang w:val="en-US"/>
                    </w:rPr>
                    <w:t>处理方式</w:t>
                  </w:r>
                </w:p>
              </w:tc>
              <w:tc>
                <w:tcPr>
                  <w:tcW w:w="990" w:type="pct"/>
                  <w:vAlign w:val="center"/>
                </w:tcPr>
                <w:p w14:paraId="59069E2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lang w:val="en-US"/>
                    </w:rPr>
                  </w:pPr>
                  <w:r>
                    <w:rPr>
                      <w:rFonts w:hint="default" w:ascii="Times New Roman" w:hAnsi="Times New Roman" w:eastAsia="仿宋_GB2312" w:cs="Times New Roman"/>
                      <w:b/>
                      <w:bCs/>
                      <w:color w:val="auto"/>
                      <w:lang w:val="en-US"/>
                    </w:rPr>
                    <w:t>活性炭吸附VOCs量</w:t>
                  </w:r>
                  <w:r>
                    <w:rPr>
                      <w:rFonts w:hint="default" w:ascii="Times New Roman" w:hAnsi="Times New Roman" w:eastAsia="仿宋_GB2312" w:cs="Times New Roman"/>
                      <w:bCs/>
                      <w:color w:val="auto"/>
                      <w:sz w:val="22"/>
                      <w:szCs w:val="18"/>
                      <w:vertAlign w:val="superscript"/>
                      <w:lang w:val="en-US"/>
                    </w:rPr>
                    <w:t>①</w:t>
                  </w:r>
                  <w:r>
                    <w:rPr>
                      <w:rFonts w:hint="default" w:ascii="Times New Roman" w:hAnsi="Times New Roman" w:eastAsia="仿宋_GB2312" w:cs="Times New Roman"/>
                      <w:b/>
                      <w:bCs/>
                      <w:color w:val="auto"/>
                      <w:lang w:val="en-US"/>
                    </w:rPr>
                    <w:t>（t/a）</w:t>
                  </w:r>
                </w:p>
              </w:tc>
              <w:tc>
                <w:tcPr>
                  <w:tcW w:w="743" w:type="pct"/>
                  <w:vAlign w:val="center"/>
                </w:tcPr>
                <w:p w14:paraId="4C5A8E1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lang w:val="en-US"/>
                    </w:rPr>
                  </w:pPr>
                  <w:r>
                    <w:rPr>
                      <w:rFonts w:hint="default" w:ascii="Times New Roman" w:hAnsi="Times New Roman" w:eastAsia="仿宋_GB2312" w:cs="Times New Roman"/>
                      <w:b/>
                      <w:bCs/>
                      <w:color w:val="auto"/>
                      <w:lang w:val="en-US"/>
                    </w:rPr>
                    <w:t>活性炭总装填量（t）</w:t>
                  </w:r>
                </w:p>
              </w:tc>
              <w:tc>
                <w:tcPr>
                  <w:tcW w:w="597" w:type="pct"/>
                  <w:vAlign w:val="center"/>
                </w:tcPr>
                <w:p w14:paraId="4839ABA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lang w:val="en-US"/>
                    </w:rPr>
                  </w:pPr>
                  <w:r>
                    <w:rPr>
                      <w:rFonts w:hint="default" w:ascii="Times New Roman" w:hAnsi="Times New Roman" w:eastAsia="仿宋_GB2312" w:cs="Times New Roman"/>
                      <w:b/>
                      <w:bCs/>
                      <w:color w:val="auto"/>
                      <w:lang w:val="en-US"/>
                    </w:rPr>
                    <w:t>更换频次</w:t>
                  </w:r>
                </w:p>
              </w:tc>
              <w:tc>
                <w:tcPr>
                  <w:tcW w:w="587" w:type="pct"/>
                  <w:noWrap/>
                  <w:vAlign w:val="center"/>
                </w:tcPr>
                <w:p w14:paraId="409798F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bCs/>
                      <w:color w:val="auto"/>
                      <w:lang w:val="en-US"/>
                    </w:rPr>
                  </w:pPr>
                  <w:r>
                    <w:rPr>
                      <w:rFonts w:hint="default" w:ascii="Times New Roman" w:hAnsi="Times New Roman" w:eastAsia="仿宋_GB2312" w:cs="Times New Roman"/>
                      <w:b/>
                      <w:bCs/>
                      <w:color w:val="auto"/>
                      <w:lang w:val="en-US"/>
                    </w:rPr>
                    <w:t>废活性炭量（t）</w:t>
                  </w:r>
                </w:p>
              </w:tc>
            </w:tr>
            <w:tr w14:paraId="40330824">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57" w:type="dxa"/>
                  <w:bottom w:w="0" w:type="dxa"/>
                  <w:right w:w="57" w:type="dxa"/>
                </w:tblCellMar>
              </w:tblPrEx>
              <w:trPr>
                <w:trHeight w:val="340" w:hRule="atLeast"/>
                <w:jc w:val="center"/>
              </w:trPr>
              <w:tc>
                <w:tcPr>
                  <w:tcW w:w="747" w:type="pct"/>
                  <w:vAlign w:val="center"/>
                </w:tcPr>
                <w:p w14:paraId="1D2D965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DA002</w:t>
                  </w:r>
                </w:p>
              </w:tc>
              <w:tc>
                <w:tcPr>
                  <w:tcW w:w="1334" w:type="pct"/>
                  <w:vAlign w:val="center"/>
                </w:tcPr>
                <w:p w14:paraId="3820B16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rPr>
                    <w:t>酸吸收+碱吸收+除雾器+二级活性炭吸附</w:t>
                  </w:r>
                </w:p>
              </w:tc>
              <w:tc>
                <w:tcPr>
                  <w:tcW w:w="990" w:type="pct"/>
                  <w:vAlign w:val="center"/>
                </w:tcPr>
                <w:p w14:paraId="5507546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highlight w:val="none"/>
                      <w:lang w:val="en-US"/>
                    </w:rPr>
                    <w:t>0.</w:t>
                  </w:r>
                  <w:r>
                    <w:rPr>
                      <w:rFonts w:hint="eastAsia" w:ascii="Times New Roman" w:hAnsi="Times New Roman" w:cs="Times New Roman"/>
                      <w:color w:val="auto"/>
                      <w:szCs w:val="21"/>
                      <w:highlight w:val="none"/>
                      <w:lang w:val="en-US" w:eastAsia="zh-CN"/>
                    </w:rPr>
                    <w:t>2272</w:t>
                  </w:r>
                </w:p>
              </w:tc>
              <w:tc>
                <w:tcPr>
                  <w:tcW w:w="743" w:type="pct"/>
                  <w:vAlign w:val="center"/>
                </w:tcPr>
                <w:p w14:paraId="1A11562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lang w:val="en-US"/>
                    </w:rPr>
                    <w:t>0.26</w:t>
                  </w:r>
                  <w:r>
                    <w:rPr>
                      <w:rFonts w:hint="default" w:ascii="Times New Roman" w:hAnsi="Times New Roman" w:eastAsia="仿宋_GB2312" w:cs="Times New Roman"/>
                      <w:color w:val="auto"/>
                      <w:vertAlign w:val="superscript"/>
                      <w:lang w:val="en-US"/>
                    </w:rPr>
                    <w:t>②</w:t>
                  </w:r>
                </w:p>
              </w:tc>
              <w:tc>
                <w:tcPr>
                  <w:tcW w:w="597" w:type="pct"/>
                  <w:vAlign w:val="center"/>
                </w:tcPr>
                <w:p w14:paraId="0C2733B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15次/年</w:t>
                  </w:r>
                </w:p>
              </w:tc>
              <w:tc>
                <w:tcPr>
                  <w:tcW w:w="587" w:type="pct"/>
                  <w:vAlign w:val="center"/>
                </w:tcPr>
                <w:p w14:paraId="1A29639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3.9</w:t>
                  </w:r>
                </w:p>
              </w:tc>
            </w:tr>
          </w:tbl>
          <w:p w14:paraId="6222EF0E">
            <w:pPr>
              <w:keepNext w:val="0"/>
              <w:keepLines w:val="0"/>
              <w:widowControl w:val="0"/>
              <w:suppressLineNumbers w:val="0"/>
              <w:spacing w:before="0" w:beforeAutospacing="0" w:after="0" w:afterAutospacing="0" w:line="320" w:lineRule="exact"/>
              <w:ind w:left="0" w:right="0" w:firstLine="440" w:firstLineChars="200"/>
              <w:jc w:val="both"/>
              <w:rPr>
                <w:rFonts w:hint="default" w:ascii="Times New Roman" w:hAnsi="Times New Roman" w:eastAsia="仿宋_GB2312" w:cs="Times New Roman"/>
                <w:bCs/>
                <w:color w:val="auto"/>
                <w:sz w:val="22"/>
                <w:szCs w:val="18"/>
                <w:highlight w:val="none"/>
              </w:rPr>
            </w:pPr>
            <w:r>
              <w:rPr>
                <w:rFonts w:hint="default" w:ascii="Times New Roman" w:hAnsi="Times New Roman" w:eastAsia="仿宋_GB2312" w:cs="Times New Roman"/>
                <w:bCs/>
                <w:color w:val="auto"/>
                <w:sz w:val="22"/>
                <w:szCs w:val="18"/>
                <w:highlight w:val="none"/>
              </w:rPr>
              <w:t>注：①VOCs是所有有机物之和。活性炭的吸附容量以10%计。②活性炭装填体积为0.52m</w:t>
            </w:r>
            <w:r>
              <w:rPr>
                <w:rFonts w:hint="default" w:ascii="Times New Roman" w:hAnsi="Times New Roman" w:eastAsia="仿宋_GB2312" w:cs="Times New Roman"/>
                <w:bCs/>
                <w:color w:val="auto"/>
                <w:sz w:val="22"/>
                <w:szCs w:val="18"/>
                <w:highlight w:val="none"/>
                <w:vertAlign w:val="superscript"/>
              </w:rPr>
              <w:t>3</w:t>
            </w:r>
            <w:r>
              <w:rPr>
                <w:rFonts w:hint="default" w:ascii="Times New Roman" w:hAnsi="Times New Roman" w:eastAsia="仿宋_GB2312" w:cs="Times New Roman"/>
                <w:bCs/>
                <w:color w:val="auto"/>
                <w:sz w:val="22"/>
                <w:szCs w:val="18"/>
                <w:highlight w:val="none"/>
              </w:rPr>
              <w:t>，年装填量为0.26t。</w:t>
            </w:r>
          </w:p>
          <w:p w14:paraId="245BE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eastAsia="仿宋_GB2312"/>
                <w:color w:val="auto"/>
                <w:sz w:val="24"/>
                <w:highlight w:val="none"/>
              </w:rPr>
            </w:pPr>
            <w:r>
              <w:rPr>
                <w:rFonts w:hint="eastAsia" w:eastAsia="仿宋_GB2312"/>
                <w:color w:val="auto"/>
                <w:sz w:val="24"/>
                <w:highlight w:val="none"/>
              </w:rPr>
              <w:t>本项目一年产生废活性炭3.9t，作为危险废物委托有资质单位处置。</w:t>
            </w:r>
          </w:p>
          <w:p w14:paraId="4848ADBA">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highlight w:val="yellow"/>
                <w:lang w:val="en-US" w:eastAsia="zh-CN"/>
              </w:rPr>
            </w:pPr>
            <w:r>
              <w:rPr>
                <w:rFonts w:hint="default" w:eastAsia="仿宋_GB2312"/>
                <w:color w:val="auto"/>
                <w:sz w:val="24"/>
                <w:highlight w:val="none"/>
              </w:rPr>
              <w:fldChar w:fldCharType="begin"/>
            </w:r>
            <w:r>
              <w:rPr>
                <w:rFonts w:hint="default" w:eastAsia="仿宋_GB2312"/>
                <w:color w:val="auto"/>
                <w:sz w:val="24"/>
                <w:highlight w:val="none"/>
              </w:rPr>
              <w:instrText xml:space="preserve"> = 5 \* GB3 </w:instrText>
            </w:r>
            <w:r>
              <w:rPr>
                <w:rFonts w:hint="default" w:eastAsia="仿宋_GB2312"/>
                <w:color w:val="auto"/>
                <w:sz w:val="24"/>
                <w:highlight w:val="none"/>
              </w:rPr>
              <w:fldChar w:fldCharType="separate"/>
            </w:r>
            <w:r>
              <w:rPr>
                <w:rFonts w:hint="default"/>
                <w:color w:val="auto"/>
                <w:sz w:val="24"/>
                <w:highlight w:val="none"/>
              </w:rPr>
              <w:t>⑤</w:t>
            </w:r>
            <w:r>
              <w:rPr>
                <w:rFonts w:hint="default" w:eastAsia="仿宋_GB2312"/>
                <w:color w:val="auto"/>
                <w:sz w:val="24"/>
                <w:highlight w:val="none"/>
              </w:rPr>
              <w:fldChar w:fldCharType="end"/>
            </w:r>
            <w:r>
              <w:rPr>
                <w:rFonts w:hint="default" w:ascii="Times New Roman" w:hAnsi="Times New Roman" w:eastAsia="仿宋_GB2312" w:cs="Times New Roman"/>
                <w:color w:val="auto"/>
                <w:sz w:val="24"/>
                <w:szCs w:val="24"/>
                <w:highlight w:val="none"/>
                <w:lang w:val="en-US" w:eastAsia="zh-CN"/>
              </w:rPr>
              <w:t>生产设备产生废物</w:t>
            </w:r>
          </w:p>
          <w:p w14:paraId="021E752E">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val="en-US" w:eastAsia="zh-CN"/>
              </w:rPr>
              <w:t>陶瓷膜</w:t>
            </w:r>
          </w:p>
          <w:p w14:paraId="1797C418">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本项目二氢槲皮素提取工段设置了陶瓷过滤膜，需定期更换（3年更换一次），陶瓷膜产生量约为0.1t/3a，作为危险废物委托有资质单位处置。</w:t>
            </w:r>
          </w:p>
          <w:p w14:paraId="666D19CD">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lang w:val="en-US" w:eastAsia="zh-CN"/>
              </w:rPr>
              <w:t>超滤膜</w:t>
            </w:r>
          </w:p>
          <w:p w14:paraId="7D25C6D8">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本项目二氢槲皮素提取工段设置了超滤膜过滤，需定期更换（1.5年更换一次），陶瓷膜产生量约为0.1t/1.5a，作为危险废物委托有资质单位处置。</w:t>
            </w:r>
          </w:p>
          <w:p w14:paraId="704CA2E6">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en-US" w:eastAsia="zh-CN"/>
              </w:rPr>
              <w:t>纳滤膜</w:t>
            </w:r>
          </w:p>
          <w:p w14:paraId="19CB6995">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本项目二氢槲皮素提取工段设置了纳滤膜过滤，需定期更换（1.5年更换一次），陶瓷膜产生量约为0.1t/1.5a，作为危险废物委托有资质单位处置。</w:t>
            </w:r>
          </w:p>
          <w:p w14:paraId="343C9B78">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lang w:val="en-US" w:eastAsia="zh-CN"/>
              </w:rPr>
              <w:t>废树脂</w:t>
            </w:r>
          </w:p>
          <w:p w14:paraId="28A3054D">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本项目γ-氨基丁酸</w:t>
            </w:r>
            <w:r>
              <w:rPr>
                <w:rFonts w:hint="eastAsia" w:eastAsia="仿宋_GB2312" w:cs="Times New Roman"/>
                <w:color w:val="auto"/>
                <w:sz w:val="24"/>
                <w:szCs w:val="24"/>
                <w:lang w:val="en-US" w:eastAsia="zh-CN"/>
              </w:rPr>
              <w:t>和</w:t>
            </w:r>
            <w:r>
              <w:rPr>
                <w:rFonts w:hint="default" w:ascii="Times New Roman" w:hAnsi="Times New Roman" w:eastAsia="仿宋_GB2312" w:cs="Times New Roman"/>
                <w:color w:val="auto"/>
                <w:sz w:val="24"/>
                <w:szCs w:val="24"/>
                <w:lang w:val="en-US" w:eastAsia="zh-CN"/>
              </w:rPr>
              <w:t>二氢槲皮素提取工段设置脱色树脂脱色、离子层析树脂脱盐，所用树脂均需定期更换（3年更换一次），脱色树脂产生量约为0.12t/3a，离子层析树脂产生量约为0.25t/3a，均作为危险废物委托有资质单位处置。</w:t>
            </w:r>
          </w:p>
          <w:p w14:paraId="15115E21">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eastAsia="仿宋_GB2312"/>
                <w:color w:val="auto"/>
                <w:sz w:val="24"/>
              </w:rPr>
              <w:fldChar w:fldCharType="begin"/>
            </w:r>
            <w:r>
              <w:rPr>
                <w:rFonts w:hint="default" w:eastAsia="仿宋_GB2312"/>
                <w:color w:val="auto"/>
                <w:sz w:val="24"/>
              </w:rPr>
              <w:instrText xml:space="preserve"> = 6 \* GB3 </w:instrText>
            </w:r>
            <w:r>
              <w:rPr>
                <w:rFonts w:hint="default" w:eastAsia="仿宋_GB2312"/>
                <w:color w:val="auto"/>
                <w:sz w:val="24"/>
              </w:rPr>
              <w:fldChar w:fldCharType="separate"/>
            </w:r>
            <w:r>
              <w:rPr>
                <w:rFonts w:hint="default" w:eastAsia="仿宋_GB2312"/>
                <w:color w:val="auto"/>
                <w:sz w:val="24"/>
              </w:rPr>
              <w:t>⑥</w:t>
            </w:r>
            <w:r>
              <w:rPr>
                <w:rFonts w:hint="default" w:eastAsia="仿宋_GB2312"/>
                <w:color w:val="auto"/>
                <w:sz w:val="24"/>
              </w:rPr>
              <w:fldChar w:fldCharType="end"/>
            </w:r>
            <w:r>
              <w:rPr>
                <w:rFonts w:hint="default" w:ascii="Times New Roman" w:hAnsi="Times New Roman" w:eastAsia="仿宋_GB2312" w:cs="Times New Roman"/>
                <w:color w:val="auto"/>
                <w:sz w:val="24"/>
                <w:szCs w:val="24"/>
                <w:lang w:val="en-US" w:eastAsia="zh-CN"/>
              </w:rPr>
              <w:t>质检区废物</w:t>
            </w:r>
          </w:p>
          <w:p w14:paraId="78DF2368">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本项目在厂房二层设立质检区，主要用于对原料和产品进行质量控制、检验等。化验室样品、原料检测过程产生的废样品、废溶剂、检测废液、试剂瓶、实验用品等作为实验室废物委外处理。本项目质检区废物产生量约为0.5t/a，作为危险废物委托有资质单位处置。</w:t>
            </w:r>
          </w:p>
          <w:p w14:paraId="1CD4F772">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eastAsia="仿宋_GB2312"/>
                <w:color w:val="auto"/>
                <w:sz w:val="24"/>
              </w:rPr>
              <w:fldChar w:fldCharType="begin"/>
            </w:r>
            <w:r>
              <w:rPr>
                <w:rFonts w:hint="default" w:eastAsia="仿宋_GB2312"/>
                <w:color w:val="auto"/>
                <w:sz w:val="24"/>
              </w:rPr>
              <w:instrText xml:space="preserve"> = 7 \* GB3 \* MERGEFORMAT </w:instrText>
            </w:r>
            <w:r>
              <w:rPr>
                <w:rFonts w:hint="default" w:eastAsia="仿宋_GB2312"/>
                <w:color w:val="auto"/>
                <w:sz w:val="24"/>
              </w:rPr>
              <w:fldChar w:fldCharType="separate"/>
            </w:r>
            <w:r>
              <w:rPr>
                <w:rFonts w:hint="default" w:eastAsia="仿宋_GB2312"/>
                <w:color w:val="auto"/>
                <w:sz w:val="24"/>
              </w:rPr>
              <w:t>⑦</w:t>
            </w:r>
            <w:r>
              <w:rPr>
                <w:rFonts w:hint="default" w:eastAsia="仿宋_GB2312"/>
                <w:color w:val="auto"/>
                <w:sz w:val="24"/>
              </w:rPr>
              <w:fldChar w:fldCharType="end"/>
            </w:r>
            <w:r>
              <w:rPr>
                <w:rFonts w:hint="default" w:ascii="Times New Roman" w:hAnsi="Times New Roman" w:eastAsia="仿宋_GB2312" w:cs="Times New Roman"/>
                <w:color w:val="auto"/>
                <w:sz w:val="24"/>
                <w:szCs w:val="24"/>
                <w:lang w:val="en-US" w:eastAsia="zh-CN"/>
              </w:rPr>
              <w:t>废矿物油</w:t>
            </w:r>
          </w:p>
          <w:p w14:paraId="3D791D7A">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空压机等设备每年更换一次机油，更换一次产生量为0.</w:t>
            </w:r>
            <w:r>
              <w:rPr>
                <w:rFonts w:hint="eastAsia"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val="en-US" w:eastAsia="zh-CN"/>
              </w:rPr>
              <w:t>t/a，作为危险废物委托有资质单位处置。</w:t>
            </w:r>
          </w:p>
          <w:p w14:paraId="170F2065">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eastAsia="仿宋_GB2312"/>
                <w:color w:val="auto"/>
                <w:sz w:val="24"/>
              </w:rPr>
              <w:fldChar w:fldCharType="begin"/>
            </w:r>
            <w:r>
              <w:rPr>
                <w:rFonts w:hint="default" w:eastAsia="仿宋_GB2312"/>
                <w:color w:val="auto"/>
                <w:sz w:val="24"/>
              </w:rPr>
              <w:instrText xml:space="preserve"> = 8 \* GB3 \* MERGEFORMAT </w:instrText>
            </w:r>
            <w:r>
              <w:rPr>
                <w:rFonts w:hint="default" w:eastAsia="仿宋_GB2312"/>
                <w:color w:val="auto"/>
                <w:sz w:val="24"/>
              </w:rPr>
              <w:fldChar w:fldCharType="separate"/>
            </w:r>
            <w:r>
              <w:rPr>
                <w:rFonts w:hint="default" w:eastAsia="仿宋_GB2312"/>
                <w:color w:val="auto"/>
                <w:sz w:val="24"/>
              </w:rPr>
              <w:t>⑧</w:t>
            </w:r>
            <w:r>
              <w:rPr>
                <w:rFonts w:hint="default" w:eastAsia="仿宋_GB2312"/>
                <w:color w:val="auto"/>
                <w:sz w:val="24"/>
              </w:rPr>
              <w:fldChar w:fldCharType="end"/>
            </w:r>
            <w:r>
              <w:rPr>
                <w:rFonts w:hint="default" w:ascii="Times New Roman" w:hAnsi="Times New Roman" w:eastAsia="仿宋_GB2312" w:cs="Times New Roman"/>
                <w:color w:val="auto"/>
                <w:sz w:val="24"/>
                <w:szCs w:val="24"/>
                <w:lang w:val="en-US" w:eastAsia="zh-CN"/>
              </w:rPr>
              <w:t>纯水制备系统</w:t>
            </w:r>
          </w:p>
          <w:p w14:paraId="06E05611">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lang w:val="en-US" w:eastAsia="zh-CN"/>
              </w:rPr>
              <w:t>纯水制备系统中的活性炭过滤器需定期更换活性炭，每年更换一次，更换一次产生废活性炭量为0.8t，作为一般固废委外处置。</w:t>
            </w:r>
          </w:p>
          <w:p w14:paraId="6B981D35">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lang w:val="en-US" w:eastAsia="zh-CN"/>
              </w:rPr>
              <w:t>纯水制备系统中的多介质过滤器滤芯需定期更换，每年更换一次，产生废滤芯0.5t/a，作为一般固废委外处置。</w:t>
            </w:r>
          </w:p>
          <w:p w14:paraId="281A55E3">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lang w:val="en-US" w:eastAsia="zh-CN"/>
              </w:rPr>
              <w:t>纯水制备系统两级RO中的滤膜需要定期更换，每年更换一次，更换一次产生量0.6t，作为一般固废委外处置。</w:t>
            </w:r>
          </w:p>
          <w:p w14:paraId="4BE104F6">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lang w:val="en-US" w:eastAsia="zh-CN"/>
              </w:rPr>
              <w:t>纯水制备系统中的离子交换树脂需定期更换，每两年更换一次，更换一次产生废离子交换树脂0.8t，作为一般固废委外处置。</w:t>
            </w:r>
          </w:p>
          <w:p w14:paraId="1F3FC316">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eastAsia="仿宋_GB2312"/>
                <w:color w:val="auto"/>
                <w:sz w:val="24"/>
                <w:lang w:val="en-US" w:eastAsia="zh-CN"/>
              </w:rPr>
              <w:fldChar w:fldCharType="begin"/>
            </w:r>
            <w:r>
              <w:rPr>
                <w:rFonts w:hint="default" w:eastAsia="仿宋_GB2312"/>
                <w:color w:val="auto"/>
                <w:sz w:val="24"/>
                <w:lang w:val="en-US" w:eastAsia="zh-CN"/>
              </w:rPr>
              <w:instrText xml:space="preserve"> = 9 \* GB3 </w:instrText>
            </w:r>
            <w:r>
              <w:rPr>
                <w:rFonts w:hint="default" w:eastAsia="仿宋_GB2312"/>
                <w:color w:val="auto"/>
                <w:sz w:val="24"/>
                <w:lang w:val="en-US" w:eastAsia="zh-CN"/>
              </w:rPr>
              <w:fldChar w:fldCharType="separate"/>
            </w:r>
            <w:r>
              <w:rPr>
                <w:rFonts w:hint="default" w:eastAsia="仿宋_GB2312"/>
                <w:color w:val="auto"/>
                <w:sz w:val="24"/>
                <w:lang w:val="en-US" w:eastAsia="zh-CN"/>
              </w:rPr>
              <w:t>⑨</w:t>
            </w:r>
            <w:r>
              <w:rPr>
                <w:rFonts w:hint="default" w:eastAsia="仿宋_GB2312"/>
                <w:color w:val="auto"/>
                <w:sz w:val="24"/>
                <w:lang w:val="en-US" w:eastAsia="zh-CN"/>
              </w:rPr>
              <w:fldChar w:fldCharType="end"/>
            </w:r>
            <w:r>
              <w:rPr>
                <w:rFonts w:hint="default" w:ascii="Times New Roman" w:hAnsi="Times New Roman" w:eastAsia="仿宋_GB2312" w:cs="Times New Roman"/>
                <w:color w:val="auto"/>
                <w:sz w:val="24"/>
                <w:szCs w:val="24"/>
                <w:lang w:val="en-US" w:eastAsia="zh-CN"/>
              </w:rPr>
              <w:t>污水站运行过程产生污泥，污泥产生量约为3t/a，作为危险废物委托有资质单位处置。</w:t>
            </w:r>
          </w:p>
          <w:p w14:paraId="2F1E6515">
            <w:pPr>
              <w:pStyle w:val="3"/>
              <w:keepNext w:val="0"/>
              <w:keepLines w:val="0"/>
              <w:pageBreakBefore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污水站运行过程产生蒸发残渣，产生量约为4.9t/a，作为危险废物委托有资质单位处置。</w:t>
            </w:r>
          </w:p>
          <w:p w14:paraId="02E8D325">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4、噪声</w:t>
            </w:r>
          </w:p>
          <w:p w14:paraId="397A877B">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本项目在生产过程中的噪声源以机械性噪声及空气噪声为主，主要噪声源设备为空压机组、引风机、冷却塔和制冷机组等。本项目主要噪声污染源产生情况见</w:t>
            </w:r>
            <w:r>
              <w:rPr>
                <w:rFonts w:hint="eastAsia" w:eastAsia="仿宋_GB2312"/>
                <w:bCs/>
                <w:color w:val="auto"/>
                <w:sz w:val="24"/>
                <w:lang w:eastAsia="zh-CN"/>
              </w:rPr>
              <w:t>下表</w:t>
            </w:r>
            <w:r>
              <w:rPr>
                <w:rFonts w:hint="default" w:eastAsia="仿宋_GB2312"/>
                <w:bCs/>
                <w:color w:val="auto"/>
                <w:sz w:val="24"/>
              </w:rPr>
              <w:t>。</w:t>
            </w:r>
          </w:p>
          <w:p w14:paraId="62DFFBA3">
            <w:pPr>
              <w:keepNext w:val="0"/>
              <w:keepLines w:val="0"/>
              <w:suppressLineNumbers w:val="0"/>
              <w:adjustRightInd w:val="0"/>
              <w:snapToGrid w:val="0"/>
              <w:spacing w:before="0" w:beforeAutospacing="0" w:after="0" w:afterAutospacing="0" w:line="500" w:lineRule="exact"/>
              <w:ind w:left="0" w:right="0"/>
              <w:jc w:val="center"/>
              <w:rPr>
                <w:rFonts w:hint="eastAsia" w:eastAsia="仿宋_GB2312"/>
                <w:b/>
                <w:color w:val="auto"/>
                <w:sz w:val="22"/>
                <w:szCs w:val="22"/>
                <w:lang w:val="en-US" w:eastAsia="zh-CN"/>
              </w:rPr>
            </w:pPr>
            <w:r>
              <w:rPr>
                <w:rFonts w:hint="default" w:eastAsia="仿宋_GB2312"/>
                <w:b/>
                <w:color w:val="auto"/>
                <w:sz w:val="22"/>
                <w:szCs w:val="22"/>
              </w:rPr>
              <w:t>表</w:t>
            </w:r>
            <w:r>
              <w:rPr>
                <w:rFonts w:hint="eastAsia" w:eastAsia="仿宋_GB2312"/>
                <w:b/>
                <w:color w:val="auto"/>
                <w:sz w:val="22"/>
                <w:szCs w:val="22"/>
                <w:lang w:val="en-US" w:eastAsia="zh-CN"/>
              </w:rPr>
              <w:t>2-48</w:t>
            </w:r>
            <w:r>
              <w:rPr>
                <w:rFonts w:hint="default" w:eastAsia="仿宋_GB2312"/>
                <w:b/>
                <w:color w:val="auto"/>
                <w:sz w:val="22"/>
                <w:szCs w:val="22"/>
              </w:rPr>
              <w:t xml:space="preserve">  本项目噪声产生情况</w:t>
            </w:r>
            <w:r>
              <w:rPr>
                <w:rFonts w:hint="eastAsia" w:eastAsia="仿宋_GB2312"/>
                <w:b/>
                <w:color w:val="auto"/>
                <w:sz w:val="22"/>
                <w:szCs w:val="22"/>
                <w:lang w:eastAsia="zh-CN"/>
              </w:rPr>
              <w:t>（室外）</w:t>
            </w:r>
          </w:p>
          <w:tbl>
            <w:tblPr>
              <w:tblStyle w:val="167"/>
              <w:tblW w:w="51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97"/>
              <w:gridCol w:w="1171"/>
              <w:gridCol w:w="1190"/>
              <w:gridCol w:w="623"/>
              <w:gridCol w:w="623"/>
              <w:gridCol w:w="613"/>
              <w:gridCol w:w="540"/>
              <w:gridCol w:w="949"/>
              <w:gridCol w:w="1479"/>
              <w:gridCol w:w="866"/>
            </w:tblGrid>
            <w:tr w14:paraId="7CDF6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5" w:type="pct"/>
                  <w:vMerge w:val="restart"/>
                  <w:vAlign w:val="center"/>
                </w:tcPr>
                <w:p w14:paraId="3129C4D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序号</w:t>
                  </w:r>
                </w:p>
              </w:tc>
              <w:tc>
                <w:tcPr>
                  <w:tcW w:w="676" w:type="pct"/>
                  <w:vMerge w:val="restart"/>
                  <w:vAlign w:val="center"/>
                </w:tcPr>
                <w:p w14:paraId="50A0D81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声源名称</w:t>
                  </w:r>
                </w:p>
              </w:tc>
              <w:tc>
                <w:tcPr>
                  <w:tcW w:w="687" w:type="pct"/>
                  <w:vMerge w:val="restart"/>
                  <w:vAlign w:val="center"/>
                </w:tcPr>
                <w:p w14:paraId="2A2B263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型号</w:t>
                  </w:r>
                </w:p>
              </w:tc>
              <w:tc>
                <w:tcPr>
                  <w:tcW w:w="360" w:type="pct"/>
                  <w:vMerge w:val="restart"/>
                  <w:vAlign w:val="center"/>
                </w:tcPr>
                <w:p w14:paraId="0335F15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设备</w:t>
                  </w:r>
                </w:p>
                <w:p w14:paraId="1A1C351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台数</w:t>
                  </w:r>
                </w:p>
              </w:tc>
              <w:tc>
                <w:tcPr>
                  <w:tcW w:w="1026" w:type="pct"/>
                  <w:gridSpan w:val="3"/>
                  <w:vAlign w:val="center"/>
                </w:tcPr>
                <w:p w14:paraId="4759159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空间相对位置/m</w:t>
                  </w:r>
                </w:p>
              </w:tc>
              <w:tc>
                <w:tcPr>
                  <w:tcW w:w="548" w:type="pct"/>
                  <w:vMerge w:val="restart"/>
                  <w:vAlign w:val="center"/>
                </w:tcPr>
                <w:p w14:paraId="38D533D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声源源强d</w:t>
                  </w:r>
                  <w:r>
                    <w:rPr>
                      <w:rFonts w:hint="default" w:ascii="Times New Roman" w:hAnsi="Times New Roman"/>
                      <w:b/>
                      <w:bCs/>
                      <w:color w:val="auto"/>
                    </w:rPr>
                    <w:t>B</w:t>
                  </w:r>
                  <w:r>
                    <w:rPr>
                      <w:rFonts w:hint="eastAsia" w:ascii="Times New Roman" w:hAnsi="Times New Roman"/>
                      <w:b/>
                      <w:bCs/>
                      <w:color w:val="auto"/>
                    </w:rPr>
                    <w:t>(A)</w:t>
                  </w:r>
                </w:p>
              </w:tc>
              <w:tc>
                <w:tcPr>
                  <w:tcW w:w="854" w:type="pct"/>
                  <w:vMerge w:val="restart"/>
                  <w:vAlign w:val="center"/>
                </w:tcPr>
                <w:p w14:paraId="5AD2F36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w:t>
                  </w:r>
                </w:p>
                <w:p w14:paraId="508ED23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控制措施</w:t>
                  </w:r>
                </w:p>
              </w:tc>
              <w:tc>
                <w:tcPr>
                  <w:tcW w:w="500" w:type="pct"/>
                  <w:vMerge w:val="restart"/>
                  <w:vAlign w:val="center"/>
                </w:tcPr>
                <w:p w14:paraId="4ED54EC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运行</w:t>
                  </w:r>
                </w:p>
                <w:p w14:paraId="5025860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时段</w:t>
                  </w:r>
                </w:p>
              </w:tc>
            </w:tr>
            <w:tr w14:paraId="53A53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5" w:type="pct"/>
                  <w:vMerge w:val="continue"/>
                  <w:vAlign w:val="center"/>
                </w:tcPr>
                <w:p w14:paraId="2E58267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676" w:type="pct"/>
                  <w:vMerge w:val="continue"/>
                  <w:vAlign w:val="center"/>
                </w:tcPr>
                <w:p w14:paraId="1F6592D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687" w:type="pct"/>
                  <w:vMerge w:val="continue"/>
                  <w:vAlign w:val="center"/>
                </w:tcPr>
                <w:p w14:paraId="1DE056E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60" w:type="pct"/>
                  <w:vMerge w:val="continue"/>
                  <w:vAlign w:val="center"/>
                </w:tcPr>
                <w:p w14:paraId="1323E2F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60" w:type="pct"/>
                  <w:vAlign w:val="center"/>
                </w:tcPr>
                <w:p w14:paraId="06EDC3F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X</w:t>
                  </w:r>
                </w:p>
              </w:tc>
              <w:tc>
                <w:tcPr>
                  <w:tcW w:w="354" w:type="pct"/>
                  <w:vAlign w:val="center"/>
                </w:tcPr>
                <w:p w14:paraId="0DEFF85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Y</w:t>
                  </w:r>
                </w:p>
              </w:tc>
              <w:tc>
                <w:tcPr>
                  <w:tcW w:w="312" w:type="pct"/>
                  <w:vAlign w:val="center"/>
                </w:tcPr>
                <w:p w14:paraId="4B7F9FC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Z</w:t>
                  </w:r>
                </w:p>
              </w:tc>
              <w:tc>
                <w:tcPr>
                  <w:tcW w:w="548" w:type="pct"/>
                  <w:vMerge w:val="continue"/>
                  <w:vAlign w:val="center"/>
                </w:tcPr>
                <w:p w14:paraId="7EE1C72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854" w:type="pct"/>
                  <w:vMerge w:val="continue"/>
                  <w:vAlign w:val="center"/>
                </w:tcPr>
                <w:p w14:paraId="48E09E3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500" w:type="pct"/>
                  <w:vMerge w:val="continue"/>
                  <w:vAlign w:val="center"/>
                </w:tcPr>
                <w:p w14:paraId="4C9C910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r>
            <w:tr w14:paraId="24D65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5" w:type="pct"/>
                  <w:vAlign w:val="center"/>
                </w:tcPr>
                <w:p w14:paraId="2A7CAC9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p>
              </w:tc>
              <w:tc>
                <w:tcPr>
                  <w:tcW w:w="676" w:type="pct"/>
                  <w:vAlign w:val="center"/>
                </w:tcPr>
                <w:p w14:paraId="54D324E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引风机</w:t>
                  </w:r>
                </w:p>
              </w:tc>
              <w:tc>
                <w:tcPr>
                  <w:tcW w:w="687" w:type="pct"/>
                  <w:vAlign w:val="center"/>
                </w:tcPr>
                <w:p w14:paraId="2F23A8E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color w:val="auto"/>
                    </w:rPr>
                  </w:pPr>
                  <w:r>
                    <w:rPr>
                      <w:rFonts w:hint="eastAsia" w:ascii="Times New Roman" w:hAnsi="Times New Roman"/>
                      <w:color w:val="auto"/>
                      <w:lang w:val="en-US"/>
                    </w:rPr>
                    <w:t>40</w:t>
                  </w:r>
                  <w:r>
                    <w:rPr>
                      <w:rFonts w:hint="default" w:ascii="Times New Roman" w:hAnsi="Times New Roman"/>
                      <w:color w:val="auto"/>
                    </w:rPr>
                    <w:t>00m</w:t>
                  </w:r>
                  <w:r>
                    <w:rPr>
                      <w:rFonts w:hint="default" w:ascii="Times New Roman" w:hAnsi="Times New Roman"/>
                      <w:color w:val="auto"/>
                      <w:vertAlign w:val="superscript"/>
                    </w:rPr>
                    <w:t>3</w:t>
                  </w:r>
                  <w:r>
                    <w:rPr>
                      <w:rFonts w:hint="default" w:ascii="Times New Roman" w:hAnsi="Times New Roman"/>
                      <w:color w:val="auto"/>
                    </w:rPr>
                    <w:t>/h</w:t>
                  </w:r>
                </w:p>
              </w:tc>
              <w:tc>
                <w:tcPr>
                  <w:tcW w:w="360" w:type="pct"/>
                  <w:vAlign w:val="center"/>
                </w:tcPr>
                <w:p w14:paraId="14D994E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1</w:t>
                  </w:r>
                </w:p>
              </w:tc>
              <w:tc>
                <w:tcPr>
                  <w:tcW w:w="360" w:type="pct"/>
                  <w:vAlign w:val="center"/>
                </w:tcPr>
                <w:p w14:paraId="7C26033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40</w:t>
                  </w:r>
                </w:p>
              </w:tc>
              <w:tc>
                <w:tcPr>
                  <w:tcW w:w="354" w:type="pct"/>
                  <w:vAlign w:val="center"/>
                </w:tcPr>
                <w:p w14:paraId="1829BB6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17</w:t>
                  </w:r>
                </w:p>
              </w:tc>
              <w:tc>
                <w:tcPr>
                  <w:tcW w:w="312" w:type="pct"/>
                  <w:vAlign w:val="center"/>
                </w:tcPr>
                <w:p w14:paraId="32FAE83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548" w:type="pct"/>
                  <w:vAlign w:val="center"/>
                </w:tcPr>
                <w:p w14:paraId="52AB4C1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85</w:t>
                  </w:r>
                </w:p>
              </w:tc>
              <w:tc>
                <w:tcPr>
                  <w:tcW w:w="854" w:type="pct"/>
                  <w:vAlign w:val="center"/>
                </w:tcPr>
                <w:p w14:paraId="59B274C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减振、</w:t>
                  </w:r>
                  <w:r>
                    <w:rPr>
                      <w:rFonts w:hint="eastAsia" w:ascii="Times New Roman" w:hAnsi="Times New Roman"/>
                      <w:color w:val="auto"/>
                      <w:lang w:val="en-US"/>
                    </w:rPr>
                    <w:t>隔声</w:t>
                  </w:r>
                </w:p>
              </w:tc>
              <w:tc>
                <w:tcPr>
                  <w:tcW w:w="500" w:type="pct"/>
                  <w:vAlign w:val="center"/>
                </w:tcPr>
                <w:p w14:paraId="50F0EA0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r w14:paraId="47790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5" w:type="pct"/>
                  <w:vAlign w:val="center"/>
                </w:tcPr>
                <w:p w14:paraId="753268E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w:t>
                  </w:r>
                </w:p>
              </w:tc>
              <w:tc>
                <w:tcPr>
                  <w:tcW w:w="676" w:type="pct"/>
                  <w:vAlign w:val="center"/>
                </w:tcPr>
                <w:p w14:paraId="7B190C7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引风机</w:t>
                  </w:r>
                </w:p>
              </w:tc>
              <w:tc>
                <w:tcPr>
                  <w:tcW w:w="687" w:type="pct"/>
                  <w:vAlign w:val="center"/>
                </w:tcPr>
                <w:p w14:paraId="14B021E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w:t>
                  </w:r>
                  <w:r>
                    <w:rPr>
                      <w:rFonts w:hint="default" w:ascii="Times New Roman" w:hAnsi="Times New Roman"/>
                      <w:color w:val="auto"/>
                    </w:rPr>
                    <w:t>500m</w:t>
                  </w:r>
                  <w:r>
                    <w:rPr>
                      <w:rFonts w:hint="default" w:ascii="Times New Roman" w:hAnsi="Times New Roman"/>
                      <w:color w:val="auto"/>
                      <w:vertAlign w:val="superscript"/>
                    </w:rPr>
                    <w:t>3</w:t>
                  </w:r>
                  <w:r>
                    <w:rPr>
                      <w:rFonts w:hint="default" w:ascii="Times New Roman" w:hAnsi="Times New Roman"/>
                      <w:color w:val="auto"/>
                    </w:rPr>
                    <w:t>/h</w:t>
                  </w:r>
                </w:p>
              </w:tc>
              <w:tc>
                <w:tcPr>
                  <w:tcW w:w="360" w:type="pct"/>
                  <w:vAlign w:val="center"/>
                </w:tcPr>
                <w:p w14:paraId="15EF7FA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w:t>
                  </w:r>
                </w:p>
              </w:tc>
              <w:tc>
                <w:tcPr>
                  <w:tcW w:w="360" w:type="pct"/>
                  <w:vAlign w:val="center"/>
                </w:tcPr>
                <w:p w14:paraId="1644629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9</w:t>
                  </w:r>
                </w:p>
              </w:tc>
              <w:tc>
                <w:tcPr>
                  <w:tcW w:w="354" w:type="pct"/>
                  <w:vAlign w:val="center"/>
                </w:tcPr>
                <w:p w14:paraId="014FC27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15</w:t>
                  </w:r>
                </w:p>
              </w:tc>
              <w:tc>
                <w:tcPr>
                  <w:tcW w:w="312" w:type="pct"/>
                  <w:vAlign w:val="center"/>
                </w:tcPr>
                <w:p w14:paraId="6485F4D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548" w:type="pct"/>
                  <w:vAlign w:val="center"/>
                </w:tcPr>
                <w:p w14:paraId="5E5BDD5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85</w:t>
                  </w:r>
                </w:p>
              </w:tc>
              <w:tc>
                <w:tcPr>
                  <w:tcW w:w="854" w:type="pct"/>
                  <w:vAlign w:val="center"/>
                </w:tcPr>
                <w:p w14:paraId="2347601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减振、</w:t>
                  </w:r>
                  <w:r>
                    <w:rPr>
                      <w:rFonts w:hint="eastAsia" w:ascii="Times New Roman" w:hAnsi="Times New Roman"/>
                      <w:color w:val="auto"/>
                      <w:lang w:val="en-US"/>
                    </w:rPr>
                    <w:t>隔声</w:t>
                  </w:r>
                </w:p>
              </w:tc>
              <w:tc>
                <w:tcPr>
                  <w:tcW w:w="500" w:type="pct"/>
                  <w:vAlign w:val="center"/>
                </w:tcPr>
                <w:p w14:paraId="1B810A7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r w14:paraId="3CB07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5" w:type="pct"/>
                  <w:vAlign w:val="center"/>
                </w:tcPr>
                <w:p w14:paraId="0A347D9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3</w:t>
                  </w:r>
                </w:p>
              </w:tc>
              <w:tc>
                <w:tcPr>
                  <w:tcW w:w="676" w:type="pct"/>
                  <w:vAlign w:val="center"/>
                </w:tcPr>
                <w:p w14:paraId="598C12A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引风机</w:t>
                  </w:r>
                </w:p>
              </w:tc>
              <w:tc>
                <w:tcPr>
                  <w:tcW w:w="687" w:type="pct"/>
                  <w:vAlign w:val="center"/>
                </w:tcPr>
                <w:p w14:paraId="59C27D4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color w:val="auto"/>
                      <w:lang w:val="en-US"/>
                    </w:rPr>
                  </w:pPr>
                  <w:r>
                    <w:rPr>
                      <w:rFonts w:hint="eastAsia" w:ascii="Times New Roman" w:hAnsi="Times New Roman"/>
                      <w:color w:val="auto"/>
                      <w:lang w:val="en-US"/>
                    </w:rPr>
                    <w:t>10</w:t>
                  </w:r>
                  <w:r>
                    <w:rPr>
                      <w:rFonts w:hint="default" w:ascii="Times New Roman" w:hAnsi="Times New Roman"/>
                      <w:color w:val="auto"/>
                    </w:rPr>
                    <w:t>00m</w:t>
                  </w:r>
                  <w:r>
                    <w:rPr>
                      <w:rFonts w:hint="default" w:ascii="Times New Roman" w:hAnsi="Times New Roman"/>
                      <w:color w:val="auto"/>
                      <w:vertAlign w:val="superscript"/>
                    </w:rPr>
                    <w:t>3</w:t>
                  </w:r>
                  <w:r>
                    <w:rPr>
                      <w:rFonts w:hint="default" w:ascii="Times New Roman" w:hAnsi="Times New Roman"/>
                      <w:color w:val="auto"/>
                    </w:rPr>
                    <w:t>/h</w:t>
                  </w:r>
                </w:p>
              </w:tc>
              <w:tc>
                <w:tcPr>
                  <w:tcW w:w="360" w:type="pct"/>
                  <w:vAlign w:val="center"/>
                </w:tcPr>
                <w:p w14:paraId="7D8A34B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w:t>
                  </w:r>
                </w:p>
              </w:tc>
              <w:tc>
                <w:tcPr>
                  <w:tcW w:w="360" w:type="pct"/>
                  <w:vAlign w:val="center"/>
                </w:tcPr>
                <w:p w14:paraId="30A9962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6</w:t>
                  </w:r>
                </w:p>
              </w:tc>
              <w:tc>
                <w:tcPr>
                  <w:tcW w:w="354" w:type="pct"/>
                  <w:vAlign w:val="center"/>
                </w:tcPr>
                <w:p w14:paraId="016549F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30</w:t>
                  </w:r>
                </w:p>
              </w:tc>
              <w:tc>
                <w:tcPr>
                  <w:tcW w:w="312" w:type="pct"/>
                  <w:vAlign w:val="center"/>
                </w:tcPr>
                <w:p w14:paraId="5FF7D8F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548" w:type="pct"/>
                  <w:vAlign w:val="center"/>
                </w:tcPr>
                <w:p w14:paraId="6768076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85</w:t>
                  </w:r>
                </w:p>
              </w:tc>
              <w:tc>
                <w:tcPr>
                  <w:tcW w:w="854" w:type="pct"/>
                  <w:vAlign w:val="center"/>
                </w:tcPr>
                <w:p w14:paraId="298B537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减振、</w:t>
                  </w:r>
                  <w:r>
                    <w:rPr>
                      <w:rFonts w:hint="eastAsia" w:ascii="Times New Roman" w:hAnsi="Times New Roman"/>
                      <w:color w:val="auto"/>
                      <w:lang w:val="en-US"/>
                    </w:rPr>
                    <w:t>隔声</w:t>
                  </w:r>
                </w:p>
              </w:tc>
              <w:tc>
                <w:tcPr>
                  <w:tcW w:w="500" w:type="pct"/>
                  <w:vAlign w:val="center"/>
                </w:tcPr>
                <w:p w14:paraId="2032D95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r w14:paraId="0C849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5" w:type="pct"/>
                  <w:vAlign w:val="center"/>
                </w:tcPr>
                <w:p w14:paraId="5D40D71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4</w:t>
                  </w:r>
                </w:p>
              </w:tc>
              <w:tc>
                <w:tcPr>
                  <w:tcW w:w="676" w:type="pct"/>
                  <w:vAlign w:val="center"/>
                </w:tcPr>
                <w:p w14:paraId="7364398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冷却塔</w:t>
                  </w:r>
                </w:p>
              </w:tc>
              <w:tc>
                <w:tcPr>
                  <w:tcW w:w="687" w:type="pct"/>
                  <w:vAlign w:val="center"/>
                </w:tcPr>
                <w:p w14:paraId="03B483A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r>
                    <w:rPr>
                      <w:rFonts w:hint="default" w:ascii="Times New Roman" w:hAnsi="Times New Roman"/>
                      <w:color w:val="auto"/>
                    </w:rPr>
                    <w:t>5</w:t>
                  </w:r>
                  <w:r>
                    <w:rPr>
                      <w:rFonts w:hint="eastAsia" w:ascii="Times New Roman" w:hAnsi="Times New Roman"/>
                      <w:color w:val="auto"/>
                    </w:rPr>
                    <w:t>m</w:t>
                  </w:r>
                  <w:r>
                    <w:rPr>
                      <w:rFonts w:hint="eastAsia" w:ascii="Times New Roman" w:hAnsi="Times New Roman"/>
                      <w:color w:val="auto"/>
                      <w:vertAlign w:val="superscript"/>
                    </w:rPr>
                    <w:t>3</w:t>
                  </w:r>
                  <w:r>
                    <w:rPr>
                      <w:rFonts w:hint="eastAsia" w:ascii="Times New Roman" w:hAnsi="Times New Roman"/>
                      <w:color w:val="auto"/>
                    </w:rPr>
                    <w:t>/h</w:t>
                  </w:r>
                </w:p>
              </w:tc>
              <w:tc>
                <w:tcPr>
                  <w:tcW w:w="360" w:type="pct"/>
                  <w:vAlign w:val="center"/>
                </w:tcPr>
                <w:p w14:paraId="62A946A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p>
              </w:tc>
              <w:tc>
                <w:tcPr>
                  <w:tcW w:w="360" w:type="pct"/>
                  <w:vAlign w:val="center"/>
                </w:tcPr>
                <w:p w14:paraId="2251021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r>
                    <w:rPr>
                      <w:rFonts w:hint="default" w:ascii="Times New Roman" w:hAnsi="Times New Roman"/>
                      <w:color w:val="auto"/>
                    </w:rPr>
                    <w:t>0</w:t>
                  </w:r>
                </w:p>
              </w:tc>
              <w:tc>
                <w:tcPr>
                  <w:tcW w:w="354" w:type="pct"/>
                  <w:vAlign w:val="center"/>
                </w:tcPr>
                <w:p w14:paraId="1412FEB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w:t>
                  </w:r>
                  <w:r>
                    <w:rPr>
                      <w:rFonts w:hint="default" w:ascii="Times New Roman" w:hAnsi="Times New Roman"/>
                      <w:color w:val="auto"/>
                    </w:rPr>
                    <w:t>5</w:t>
                  </w:r>
                </w:p>
              </w:tc>
              <w:tc>
                <w:tcPr>
                  <w:tcW w:w="312" w:type="pct"/>
                  <w:vAlign w:val="center"/>
                </w:tcPr>
                <w:p w14:paraId="62263AE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548" w:type="pct"/>
                  <w:vAlign w:val="center"/>
                </w:tcPr>
                <w:p w14:paraId="32BD06A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85</w:t>
                  </w:r>
                </w:p>
              </w:tc>
              <w:tc>
                <w:tcPr>
                  <w:tcW w:w="854" w:type="pct"/>
                  <w:vAlign w:val="center"/>
                </w:tcPr>
                <w:p w14:paraId="0265ECC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减振、</w:t>
                  </w:r>
                  <w:r>
                    <w:rPr>
                      <w:rFonts w:hint="eastAsia" w:ascii="Times New Roman" w:hAnsi="Times New Roman"/>
                      <w:color w:val="auto"/>
                      <w:lang w:val="en-US"/>
                    </w:rPr>
                    <w:t>隔声</w:t>
                  </w:r>
                </w:p>
              </w:tc>
              <w:tc>
                <w:tcPr>
                  <w:tcW w:w="500" w:type="pct"/>
                  <w:vAlign w:val="center"/>
                </w:tcPr>
                <w:p w14:paraId="2CCC8FB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r w14:paraId="6D2FB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5" w:type="pct"/>
                  <w:vAlign w:val="center"/>
                </w:tcPr>
                <w:p w14:paraId="57ABDC1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w:t>
                  </w:r>
                </w:p>
              </w:tc>
              <w:tc>
                <w:tcPr>
                  <w:tcW w:w="676" w:type="pct"/>
                  <w:vAlign w:val="center"/>
                </w:tcPr>
                <w:p w14:paraId="3B83753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空压机组</w:t>
                  </w:r>
                </w:p>
              </w:tc>
              <w:tc>
                <w:tcPr>
                  <w:tcW w:w="687" w:type="pct"/>
                  <w:vAlign w:val="center"/>
                </w:tcPr>
                <w:p w14:paraId="341B427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w:t>
                  </w:r>
                  <w:r>
                    <w:rPr>
                      <w:rFonts w:hint="default" w:ascii="Times New Roman" w:hAnsi="Times New Roman"/>
                      <w:color w:val="auto"/>
                    </w:rPr>
                    <w:t>.8</w:t>
                  </w:r>
                  <w:r>
                    <w:rPr>
                      <w:rFonts w:hint="eastAsia" w:ascii="Times New Roman" w:hAnsi="Times New Roman"/>
                      <w:color w:val="auto"/>
                    </w:rPr>
                    <w:t>m</w:t>
                  </w:r>
                  <w:r>
                    <w:rPr>
                      <w:rFonts w:hint="eastAsia" w:ascii="Times New Roman" w:hAnsi="Times New Roman"/>
                      <w:color w:val="auto"/>
                      <w:vertAlign w:val="superscript"/>
                    </w:rPr>
                    <w:t>3</w:t>
                  </w:r>
                  <w:r>
                    <w:rPr>
                      <w:rFonts w:hint="eastAsia" w:ascii="Times New Roman" w:hAnsi="Times New Roman"/>
                      <w:color w:val="auto"/>
                    </w:rPr>
                    <w:t>/min</w:t>
                  </w:r>
                </w:p>
              </w:tc>
              <w:tc>
                <w:tcPr>
                  <w:tcW w:w="360" w:type="pct"/>
                  <w:vAlign w:val="center"/>
                </w:tcPr>
                <w:p w14:paraId="5973D0D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1</w:t>
                  </w:r>
                </w:p>
              </w:tc>
              <w:tc>
                <w:tcPr>
                  <w:tcW w:w="360" w:type="pct"/>
                  <w:vAlign w:val="center"/>
                </w:tcPr>
                <w:p w14:paraId="672506F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r>
                    <w:rPr>
                      <w:rFonts w:hint="default" w:ascii="Times New Roman" w:hAnsi="Times New Roman"/>
                      <w:color w:val="auto"/>
                    </w:rPr>
                    <w:t>4</w:t>
                  </w:r>
                </w:p>
              </w:tc>
              <w:tc>
                <w:tcPr>
                  <w:tcW w:w="354" w:type="pct"/>
                  <w:vAlign w:val="center"/>
                </w:tcPr>
                <w:p w14:paraId="1103E73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w:t>
                  </w:r>
                  <w:r>
                    <w:rPr>
                      <w:rFonts w:hint="default" w:ascii="Times New Roman" w:hAnsi="Times New Roman"/>
                      <w:color w:val="auto"/>
                    </w:rPr>
                    <w:t>5</w:t>
                  </w:r>
                </w:p>
              </w:tc>
              <w:tc>
                <w:tcPr>
                  <w:tcW w:w="312" w:type="pct"/>
                  <w:vAlign w:val="center"/>
                </w:tcPr>
                <w:p w14:paraId="226F4C1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548" w:type="pct"/>
                  <w:vAlign w:val="center"/>
                </w:tcPr>
                <w:p w14:paraId="3FF81E3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80</w:t>
                  </w:r>
                </w:p>
              </w:tc>
              <w:tc>
                <w:tcPr>
                  <w:tcW w:w="854" w:type="pct"/>
                  <w:vAlign w:val="center"/>
                </w:tcPr>
                <w:p w14:paraId="039206C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减振、</w:t>
                  </w:r>
                  <w:r>
                    <w:rPr>
                      <w:rFonts w:hint="eastAsia" w:ascii="Times New Roman" w:hAnsi="Times New Roman"/>
                      <w:color w:val="auto"/>
                      <w:lang w:val="en-US"/>
                    </w:rPr>
                    <w:t>隔声</w:t>
                  </w:r>
                </w:p>
              </w:tc>
              <w:tc>
                <w:tcPr>
                  <w:tcW w:w="500" w:type="pct"/>
                  <w:vAlign w:val="center"/>
                </w:tcPr>
                <w:p w14:paraId="27291A3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全天</w:t>
                  </w:r>
                </w:p>
              </w:tc>
            </w:tr>
          </w:tbl>
          <w:p w14:paraId="4EC3BBD8">
            <w:pPr>
              <w:keepNext w:val="0"/>
              <w:keepLines w:val="0"/>
              <w:suppressLineNumbers w:val="0"/>
              <w:snapToGrid w:val="0"/>
              <w:spacing w:before="0" w:beforeAutospacing="0" w:after="0" w:afterAutospacing="0"/>
              <w:ind w:left="0" w:right="0"/>
              <w:rPr>
                <w:rFonts w:hint="default" w:eastAsia="仿宋_GB2312"/>
                <w:color w:val="auto"/>
                <w:sz w:val="18"/>
                <w:szCs w:val="18"/>
              </w:rPr>
            </w:pPr>
            <w:r>
              <w:rPr>
                <w:rFonts w:hint="default" w:eastAsia="仿宋_GB2312"/>
                <w:color w:val="auto"/>
                <w:sz w:val="18"/>
                <w:szCs w:val="18"/>
              </w:rPr>
              <w:t>备注：</w:t>
            </w:r>
            <w:r>
              <w:rPr>
                <w:rFonts w:hint="default" w:eastAsia="仿宋_GB2312"/>
                <w:b/>
                <w:bCs/>
                <w:color w:val="auto"/>
                <w:kern w:val="0"/>
                <w:sz w:val="18"/>
                <w:szCs w:val="18"/>
              </w:rPr>
              <w:t>*</w:t>
            </w:r>
            <w:r>
              <w:rPr>
                <w:rFonts w:hint="default" w:eastAsia="仿宋_GB2312"/>
                <w:color w:val="auto"/>
                <w:sz w:val="18"/>
                <w:szCs w:val="18"/>
              </w:rPr>
              <w:t>以车间西南角为原点建立模型坐标系，取东西向为X坐标轴、南北向为Y坐标轴。</w:t>
            </w:r>
            <w:bookmarkEnd w:id="29"/>
          </w:p>
          <w:p w14:paraId="77AED0E1">
            <w:pPr>
              <w:keepNext w:val="0"/>
              <w:keepLines w:val="0"/>
              <w:widowControl w:val="0"/>
              <w:suppressLineNumbers w:val="0"/>
              <w:spacing w:before="0" w:beforeAutospacing="0" w:after="0" w:afterAutospacing="0"/>
              <w:ind w:left="0" w:right="0"/>
              <w:jc w:val="center"/>
              <w:rPr>
                <w:rFonts w:hint="eastAsia" w:eastAsia="仿宋_GB2312"/>
                <w:b/>
                <w:color w:val="auto"/>
                <w:sz w:val="22"/>
                <w:szCs w:val="22"/>
              </w:rPr>
            </w:pPr>
          </w:p>
          <w:p w14:paraId="0B7FB996">
            <w:pPr>
              <w:keepNext w:val="0"/>
              <w:keepLines w:val="0"/>
              <w:widowControl w:val="0"/>
              <w:suppressLineNumbers w:val="0"/>
              <w:spacing w:before="0" w:beforeAutospacing="0" w:after="0" w:afterAutospacing="0"/>
              <w:ind w:left="0" w:right="0"/>
              <w:jc w:val="center"/>
              <w:rPr>
                <w:rFonts w:hint="eastAsia" w:eastAsia="仿宋_GB2312"/>
                <w:b/>
                <w:color w:val="auto"/>
                <w:sz w:val="22"/>
                <w:szCs w:val="22"/>
              </w:rPr>
            </w:pPr>
          </w:p>
          <w:p w14:paraId="73707279">
            <w:pPr>
              <w:keepNext w:val="0"/>
              <w:keepLines w:val="0"/>
              <w:widowControl w:val="0"/>
              <w:suppressLineNumbers w:val="0"/>
              <w:spacing w:before="0" w:beforeAutospacing="0" w:after="0" w:afterAutospacing="0"/>
              <w:ind w:left="0" w:right="0"/>
              <w:jc w:val="center"/>
              <w:rPr>
                <w:rFonts w:hint="eastAsia" w:eastAsia="仿宋_GB2312"/>
                <w:b/>
                <w:color w:val="auto"/>
                <w:sz w:val="22"/>
                <w:szCs w:val="22"/>
              </w:rPr>
            </w:pPr>
          </w:p>
          <w:p w14:paraId="18A2066E">
            <w:pPr>
              <w:keepNext w:val="0"/>
              <w:keepLines w:val="0"/>
              <w:widowControl w:val="0"/>
              <w:suppressLineNumbers w:val="0"/>
              <w:spacing w:before="0" w:beforeAutospacing="0" w:after="0" w:afterAutospacing="0"/>
              <w:ind w:left="0" w:right="0"/>
              <w:jc w:val="center"/>
              <w:rPr>
                <w:rFonts w:hint="eastAsia" w:eastAsia="仿宋_GB2312"/>
                <w:b/>
                <w:color w:val="auto"/>
                <w:sz w:val="22"/>
                <w:szCs w:val="22"/>
              </w:rPr>
            </w:pPr>
          </w:p>
          <w:p w14:paraId="09B73612">
            <w:pPr>
              <w:keepNext w:val="0"/>
              <w:keepLines w:val="0"/>
              <w:widowControl w:val="0"/>
              <w:suppressLineNumbers w:val="0"/>
              <w:spacing w:before="0" w:beforeAutospacing="0" w:after="0" w:afterAutospacing="0"/>
              <w:ind w:left="0" w:right="0"/>
              <w:jc w:val="center"/>
              <w:rPr>
                <w:rFonts w:hint="eastAsia" w:eastAsia="仿宋_GB2312"/>
                <w:b/>
                <w:color w:val="auto"/>
                <w:sz w:val="22"/>
                <w:szCs w:val="22"/>
              </w:rPr>
            </w:pPr>
          </w:p>
          <w:p w14:paraId="73B60A3A">
            <w:pPr>
              <w:keepNext w:val="0"/>
              <w:keepLines w:val="0"/>
              <w:widowControl w:val="0"/>
              <w:suppressLineNumbers w:val="0"/>
              <w:spacing w:before="0" w:beforeAutospacing="0" w:after="0" w:afterAutospacing="0"/>
              <w:ind w:left="0" w:right="0"/>
              <w:jc w:val="center"/>
              <w:rPr>
                <w:rFonts w:hint="eastAsia" w:eastAsia="仿宋_GB2312"/>
                <w:b/>
                <w:color w:val="auto"/>
                <w:sz w:val="22"/>
                <w:szCs w:val="22"/>
              </w:rPr>
            </w:pPr>
          </w:p>
          <w:p w14:paraId="5F7E3ED9">
            <w:pPr>
              <w:keepNext w:val="0"/>
              <w:keepLines w:val="0"/>
              <w:widowControl w:val="0"/>
              <w:suppressLineNumbers w:val="0"/>
              <w:spacing w:before="0" w:beforeAutospacing="0" w:after="0" w:afterAutospacing="0"/>
              <w:ind w:left="0" w:right="0"/>
              <w:jc w:val="center"/>
              <w:rPr>
                <w:rFonts w:hint="default" w:ascii="Times New Roman" w:hAnsi="Times New Roman"/>
                <w:b/>
                <w:bCs/>
                <w:color w:val="auto"/>
                <w:sz w:val="24"/>
                <w:szCs w:val="24"/>
              </w:rPr>
            </w:pPr>
            <w:r>
              <w:rPr>
                <w:rFonts w:hint="eastAsia" w:eastAsia="仿宋_GB2312"/>
                <w:b/>
                <w:color w:val="auto"/>
                <w:sz w:val="22"/>
                <w:szCs w:val="22"/>
              </w:rPr>
              <w:t>表</w:t>
            </w:r>
            <w:r>
              <w:rPr>
                <w:rFonts w:hint="eastAsia" w:eastAsia="仿宋_GB2312"/>
                <w:b/>
                <w:color w:val="auto"/>
                <w:sz w:val="22"/>
                <w:szCs w:val="22"/>
                <w:lang w:val="en-US" w:eastAsia="zh-CN"/>
              </w:rPr>
              <w:t>2-49</w:t>
            </w:r>
            <w:r>
              <w:rPr>
                <w:rFonts w:hint="default" w:eastAsia="仿宋_GB2312"/>
                <w:b/>
                <w:color w:val="auto"/>
                <w:sz w:val="22"/>
                <w:szCs w:val="22"/>
              </w:rPr>
              <w:t xml:space="preserve"> </w:t>
            </w:r>
            <w:r>
              <w:rPr>
                <w:rFonts w:hint="eastAsia" w:eastAsia="仿宋_GB2312"/>
                <w:b/>
                <w:color w:val="auto"/>
                <w:sz w:val="22"/>
                <w:szCs w:val="22"/>
              </w:rPr>
              <w:t>本项目噪声污染源产生概况（室内源）</w:t>
            </w:r>
          </w:p>
          <w:tbl>
            <w:tblPr>
              <w:tblStyle w:val="167"/>
              <w:tblW w:w="85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42"/>
              <w:gridCol w:w="611"/>
              <w:gridCol w:w="568"/>
              <w:gridCol w:w="380"/>
              <w:gridCol w:w="331"/>
              <w:gridCol w:w="332"/>
              <w:gridCol w:w="407"/>
              <w:gridCol w:w="643"/>
              <w:gridCol w:w="632"/>
              <w:gridCol w:w="696"/>
              <w:gridCol w:w="922"/>
              <w:gridCol w:w="707"/>
              <w:gridCol w:w="525"/>
              <w:gridCol w:w="492"/>
              <w:gridCol w:w="662"/>
            </w:tblGrid>
            <w:tr w14:paraId="62A97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5" w:type="pct"/>
                  <w:vMerge w:val="restart"/>
                  <w:vAlign w:val="center"/>
                </w:tcPr>
                <w:p w14:paraId="681C247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建筑物名称</w:t>
                  </w:r>
                </w:p>
              </w:tc>
              <w:tc>
                <w:tcPr>
                  <w:tcW w:w="357" w:type="pct"/>
                  <w:vMerge w:val="restart"/>
                  <w:vAlign w:val="center"/>
                </w:tcPr>
                <w:p w14:paraId="51A1FD1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声源名称</w:t>
                  </w:r>
                </w:p>
              </w:tc>
              <w:tc>
                <w:tcPr>
                  <w:tcW w:w="332" w:type="pct"/>
                  <w:vMerge w:val="restart"/>
                  <w:vAlign w:val="center"/>
                </w:tcPr>
                <w:p w14:paraId="3BB6EB1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型号</w:t>
                  </w:r>
                </w:p>
              </w:tc>
              <w:tc>
                <w:tcPr>
                  <w:tcW w:w="222" w:type="pct"/>
                  <w:vMerge w:val="restart"/>
                  <w:vAlign w:val="center"/>
                </w:tcPr>
                <w:p w14:paraId="16E495B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设备</w:t>
                  </w:r>
                </w:p>
                <w:p w14:paraId="72FFD8C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台数</w:t>
                  </w:r>
                </w:p>
              </w:tc>
              <w:tc>
                <w:tcPr>
                  <w:tcW w:w="625" w:type="pct"/>
                  <w:gridSpan w:val="3"/>
                  <w:vAlign w:val="center"/>
                </w:tcPr>
                <w:p w14:paraId="377B1C7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空间相对位置/m</w:t>
                  </w:r>
                </w:p>
              </w:tc>
              <w:tc>
                <w:tcPr>
                  <w:tcW w:w="376" w:type="pct"/>
                  <w:vMerge w:val="restart"/>
                  <w:vAlign w:val="center"/>
                </w:tcPr>
                <w:p w14:paraId="17860C5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声源源强d</w:t>
                  </w:r>
                  <w:r>
                    <w:rPr>
                      <w:rFonts w:hint="default" w:ascii="Times New Roman" w:hAnsi="Times New Roman"/>
                      <w:b/>
                      <w:bCs/>
                      <w:color w:val="auto"/>
                    </w:rPr>
                    <w:t>B</w:t>
                  </w:r>
                  <w:r>
                    <w:rPr>
                      <w:rFonts w:hint="eastAsia" w:ascii="Times New Roman" w:hAnsi="Times New Roman"/>
                      <w:b/>
                      <w:bCs/>
                      <w:color w:val="auto"/>
                    </w:rPr>
                    <w:t>(A)</w:t>
                  </w:r>
                </w:p>
              </w:tc>
              <w:tc>
                <w:tcPr>
                  <w:tcW w:w="369" w:type="pct"/>
                  <w:vMerge w:val="restart"/>
                  <w:vAlign w:val="center"/>
                </w:tcPr>
                <w:p w14:paraId="3EEEBFC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w:t>
                  </w:r>
                </w:p>
                <w:p w14:paraId="161AA3B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控制措施</w:t>
                  </w:r>
                </w:p>
              </w:tc>
              <w:tc>
                <w:tcPr>
                  <w:tcW w:w="407" w:type="pct"/>
                  <w:vMerge w:val="restart"/>
                  <w:vAlign w:val="center"/>
                </w:tcPr>
                <w:p w14:paraId="0A0BB1E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距室内边界距离/m</w:t>
                  </w:r>
                </w:p>
              </w:tc>
              <w:tc>
                <w:tcPr>
                  <w:tcW w:w="539" w:type="pct"/>
                  <w:vMerge w:val="restart"/>
                  <w:vAlign w:val="center"/>
                </w:tcPr>
                <w:p w14:paraId="3FDD200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室内边界声级/dB（A）</w:t>
                  </w:r>
                </w:p>
              </w:tc>
              <w:tc>
                <w:tcPr>
                  <w:tcW w:w="413" w:type="pct"/>
                  <w:vMerge w:val="restart"/>
                  <w:vAlign w:val="center"/>
                </w:tcPr>
                <w:p w14:paraId="5B60303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建筑物插入损失/dB（A）</w:t>
                  </w:r>
                </w:p>
              </w:tc>
              <w:tc>
                <w:tcPr>
                  <w:tcW w:w="594" w:type="pct"/>
                  <w:gridSpan w:val="2"/>
                  <w:vAlign w:val="center"/>
                </w:tcPr>
                <w:p w14:paraId="48B6982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建筑物外噪声</w:t>
                  </w:r>
                </w:p>
              </w:tc>
              <w:tc>
                <w:tcPr>
                  <w:tcW w:w="387" w:type="pct"/>
                  <w:vMerge w:val="restart"/>
                  <w:vAlign w:val="center"/>
                </w:tcPr>
                <w:p w14:paraId="7B1E0AE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运行</w:t>
                  </w:r>
                </w:p>
                <w:p w14:paraId="684C047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时段</w:t>
                  </w:r>
                </w:p>
              </w:tc>
            </w:tr>
            <w:tr w14:paraId="58590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5" w:type="pct"/>
                  <w:vMerge w:val="continue"/>
                  <w:vAlign w:val="center"/>
                </w:tcPr>
                <w:p w14:paraId="285756A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57" w:type="pct"/>
                  <w:vMerge w:val="continue"/>
                  <w:vAlign w:val="center"/>
                </w:tcPr>
                <w:p w14:paraId="3E33055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32" w:type="pct"/>
                  <w:vMerge w:val="continue"/>
                  <w:vAlign w:val="center"/>
                </w:tcPr>
                <w:p w14:paraId="3AD3FA1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222" w:type="pct"/>
                  <w:vMerge w:val="continue"/>
                  <w:vAlign w:val="center"/>
                </w:tcPr>
                <w:p w14:paraId="596C928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193" w:type="pct"/>
                  <w:vAlign w:val="center"/>
                </w:tcPr>
                <w:p w14:paraId="550780B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X</w:t>
                  </w:r>
                </w:p>
              </w:tc>
              <w:tc>
                <w:tcPr>
                  <w:tcW w:w="194" w:type="pct"/>
                  <w:vAlign w:val="center"/>
                </w:tcPr>
                <w:p w14:paraId="16B4BEE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Y</w:t>
                  </w:r>
                </w:p>
              </w:tc>
              <w:tc>
                <w:tcPr>
                  <w:tcW w:w="238" w:type="pct"/>
                  <w:vAlign w:val="center"/>
                </w:tcPr>
                <w:p w14:paraId="37911E2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Z</w:t>
                  </w:r>
                </w:p>
              </w:tc>
              <w:tc>
                <w:tcPr>
                  <w:tcW w:w="376" w:type="pct"/>
                  <w:vMerge w:val="continue"/>
                  <w:vAlign w:val="center"/>
                </w:tcPr>
                <w:p w14:paraId="0EA8E23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69" w:type="pct"/>
                  <w:vMerge w:val="continue"/>
                  <w:vAlign w:val="center"/>
                </w:tcPr>
                <w:p w14:paraId="45BB55E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407" w:type="pct"/>
                  <w:vMerge w:val="continue"/>
                  <w:vAlign w:val="center"/>
                </w:tcPr>
                <w:p w14:paraId="7565D48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539" w:type="pct"/>
                  <w:vMerge w:val="continue"/>
                  <w:vAlign w:val="center"/>
                </w:tcPr>
                <w:p w14:paraId="4616DFB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413" w:type="pct"/>
                  <w:vMerge w:val="continue"/>
                  <w:vAlign w:val="center"/>
                </w:tcPr>
                <w:p w14:paraId="0E378AB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07" w:type="pct"/>
                  <w:vAlign w:val="center"/>
                </w:tcPr>
                <w:p w14:paraId="376B5D0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声压级/dB(A)</w:t>
                  </w:r>
                </w:p>
              </w:tc>
              <w:tc>
                <w:tcPr>
                  <w:tcW w:w="287" w:type="pct"/>
                  <w:vAlign w:val="center"/>
                </w:tcPr>
                <w:p w14:paraId="3026E09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建筑物外距离</w:t>
                  </w:r>
                </w:p>
              </w:tc>
              <w:tc>
                <w:tcPr>
                  <w:tcW w:w="387" w:type="pct"/>
                  <w:vMerge w:val="continue"/>
                  <w:vAlign w:val="center"/>
                </w:tcPr>
                <w:p w14:paraId="42B7E93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r>
            <w:tr w14:paraId="1CCDC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5" w:type="pct"/>
                  <w:vAlign w:val="center"/>
                </w:tcPr>
                <w:p w14:paraId="02FD679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成品冷库</w:t>
                  </w:r>
                </w:p>
              </w:tc>
              <w:tc>
                <w:tcPr>
                  <w:tcW w:w="357" w:type="pct"/>
                  <w:vAlign w:val="center"/>
                </w:tcPr>
                <w:p w14:paraId="38DC869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制冷机组</w:t>
                  </w:r>
                </w:p>
              </w:tc>
              <w:tc>
                <w:tcPr>
                  <w:tcW w:w="332" w:type="pct"/>
                  <w:vAlign w:val="center"/>
                </w:tcPr>
                <w:p w14:paraId="0877D96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color w:val="auto"/>
                    </w:rPr>
                  </w:pPr>
                  <w:bookmarkStart w:id="30" w:name="OLE_LINK53"/>
                  <w:r>
                    <w:rPr>
                      <w:rFonts w:hint="eastAsia" w:ascii="Times New Roman" w:hAnsi="Times New Roman"/>
                      <w:color w:val="auto"/>
                      <w:lang w:val="en-US"/>
                    </w:rPr>
                    <w:t>30</w:t>
                  </w:r>
                  <w:r>
                    <w:rPr>
                      <w:rFonts w:hint="default" w:ascii="Times New Roman" w:hAnsi="Times New Roman"/>
                      <w:color w:val="auto"/>
                    </w:rPr>
                    <w:t>00m</w:t>
                  </w:r>
                  <w:r>
                    <w:rPr>
                      <w:rFonts w:hint="default" w:ascii="Times New Roman" w:hAnsi="Times New Roman"/>
                      <w:color w:val="auto"/>
                      <w:vertAlign w:val="superscript"/>
                    </w:rPr>
                    <w:t>3</w:t>
                  </w:r>
                  <w:r>
                    <w:rPr>
                      <w:rFonts w:hint="default" w:ascii="Times New Roman" w:hAnsi="Times New Roman"/>
                      <w:color w:val="auto"/>
                    </w:rPr>
                    <w:t>/h</w:t>
                  </w:r>
                  <w:bookmarkEnd w:id="30"/>
                </w:p>
              </w:tc>
              <w:tc>
                <w:tcPr>
                  <w:tcW w:w="222" w:type="pct"/>
                  <w:vAlign w:val="center"/>
                </w:tcPr>
                <w:p w14:paraId="2F9E54B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1</w:t>
                  </w:r>
                </w:p>
              </w:tc>
              <w:tc>
                <w:tcPr>
                  <w:tcW w:w="193" w:type="pct"/>
                  <w:vAlign w:val="center"/>
                </w:tcPr>
                <w:p w14:paraId="0AA89F0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42</w:t>
                  </w:r>
                </w:p>
              </w:tc>
              <w:tc>
                <w:tcPr>
                  <w:tcW w:w="194" w:type="pct"/>
                  <w:vAlign w:val="center"/>
                </w:tcPr>
                <w:p w14:paraId="2C30E54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18</w:t>
                  </w:r>
                </w:p>
              </w:tc>
              <w:tc>
                <w:tcPr>
                  <w:tcW w:w="238" w:type="pct"/>
                  <w:vAlign w:val="center"/>
                </w:tcPr>
                <w:p w14:paraId="23A2560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376" w:type="pct"/>
                  <w:vAlign w:val="center"/>
                </w:tcPr>
                <w:p w14:paraId="70C8A1E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w:t>
                  </w:r>
                  <w:r>
                    <w:rPr>
                      <w:rFonts w:hint="eastAsia" w:ascii="Times New Roman" w:hAnsi="Times New Roman"/>
                      <w:color w:val="auto"/>
                      <w:lang w:val="en-US"/>
                    </w:rPr>
                    <w:t>0</w:t>
                  </w:r>
                </w:p>
              </w:tc>
              <w:tc>
                <w:tcPr>
                  <w:tcW w:w="369" w:type="pct"/>
                  <w:vAlign w:val="center"/>
                </w:tcPr>
                <w:p w14:paraId="45CF40D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减振、</w:t>
                  </w:r>
                  <w:r>
                    <w:rPr>
                      <w:rFonts w:hint="eastAsia" w:ascii="Times New Roman" w:hAnsi="Times New Roman"/>
                      <w:color w:val="auto"/>
                      <w:lang w:val="en-US"/>
                    </w:rPr>
                    <w:t>隔声</w:t>
                  </w:r>
                </w:p>
              </w:tc>
              <w:tc>
                <w:tcPr>
                  <w:tcW w:w="407" w:type="pct"/>
                  <w:vAlign w:val="center"/>
                </w:tcPr>
                <w:p w14:paraId="4848E5F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0.2</w:t>
                  </w:r>
                </w:p>
              </w:tc>
              <w:tc>
                <w:tcPr>
                  <w:tcW w:w="539" w:type="pct"/>
                  <w:vAlign w:val="center"/>
                </w:tcPr>
                <w:p w14:paraId="5098769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80</w:t>
                  </w:r>
                </w:p>
              </w:tc>
              <w:tc>
                <w:tcPr>
                  <w:tcW w:w="413" w:type="pct"/>
                  <w:vAlign w:val="center"/>
                </w:tcPr>
                <w:p w14:paraId="0308E86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20</w:t>
                  </w:r>
                </w:p>
              </w:tc>
              <w:tc>
                <w:tcPr>
                  <w:tcW w:w="307" w:type="pct"/>
                  <w:vAlign w:val="center"/>
                </w:tcPr>
                <w:p w14:paraId="774FC20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26</w:t>
                  </w:r>
                </w:p>
              </w:tc>
              <w:tc>
                <w:tcPr>
                  <w:tcW w:w="287" w:type="pct"/>
                  <w:vAlign w:val="center"/>
                </w:tcPr>
                <w:p w14:paraId="696C7FC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50m</w:t>
                  </w:r>
                </w:p>
              </w:tc>
              <w:tc>
                <w:tcPr>
                  <w:tcW w:w="387" w:type="pct"/>
                  <w:vAlign w:val="center"/>
                </w:tcPr>
                <w:p w14:paraId="1E26427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bl>
          <w:p w14:paraId="3C5E62F6">
            <w:pPr>
              <w:keepNext w:val="0"/>
              <w:keepLines w:val="0"/>
              <w:suppressLineNumbers w:val="0"/>
              <w:snapToGrid w:val="0"/>
              <w:spacing w:before="0" w:beforeAutospacing="0" w:after="0" w:afterAutospacing="0"/>
              <w:ind w:left="0" w:right="0"/>
              <w:rPr>
                <w:rFonts w:hint="default" w:eastAsia="仿宋_GB2312"/>
                <w:color w:val="auto"/>
                <w:sz w:val="18"/>
                <w:szCs w:val="18"/>
              </w:rPr>
            </w:pPr>
            <w:r>
              <w:rPr>
                <w:rFonts w:hint="default" w:eastAsia="仿宋_GB2312"/>
                <w:color w:val="auto"/>
                <w:sz w:val="18"/>
                <w:szCs w:val="18"/>
              </w:rPr>
              <w:t>备注：</w:t>
            </w:r>
            <w:r>
              <w:rPr>
                <w:rFonts w:hint="default" w:eastAsia="仿宋_GB2312"/>
                <w:b/>
                <w:bCs/>
                <w:color w:val="auto"/>
                <w:kern w:val="0"/>
                <w:sz w:val="18"/>
                <w:szCs w:val="18"/>
              </w:rPr>
              <w:t>*</w:t>
            </w:r>
            <w:r>
              <w:rPr>
                <w:rFonts w:hint="default" w:eastAsia="仿宋_GB2312"/>
                <w:color w:val="auto"/>
                <w:sz w:val="18"/>
                <w:szCs w:val="18"/>
              </w:rPr>
              <w:t>以车间西南角为原点建立模型坐标系，取东西向为X坐标轴、南北向为Y坐标轴。</w:t>
            </w:r>
          </w:p>
          <w:p w14:paraId="3B50AA03">
            <w:pPr>
              <w:pStyle w:val="3"/>
              <w:keepNext w:val="0"/>
              <w:keepLines w:val="0"/>
              <w:suppressLineNumbers w:val="0"/>
              <w:spacing w:before="0" w:beforeAutospacing="0" w:after="0" w:afterAutospacing="0"/>
              <w:ind w:right="0"/>
              <w:rPr>
                <w:rFonts w:hint="default" w:eastAsia="仿宋_GB2312"/>
                <w:color w:val="auto"/>
                <w:sz w:val="18"/>
                <w:szCs w:val="18"/>
              </w:rPr>
            </w:pPr>
          </w:p>
          <w:p w14:paraId="399116B0">
            <w:pPr>
              <w:pStyle w:val="3"/>
              <w:keepNext w:val="0"/>
              <w:keepLines w:val="0"/>
              <w:suppressLineNumbers w:val="0"/>
              <w:spacing w:before="0" w:beforeAutospacing="0" w:after="0" w:afterAutospacing="0"/>
              <w:ind w:right="0"/>
              <w:rPr>
                <w:rFonts w:hint="default" w:eastAsia="仿宋_GB2312"/>
                <w:color w:val="auto"/>
                <w:sz w:val="18"/>
                <w:szCs w:val="18"/>
              </w:rPr>
            </w:pPr>
          </w:p>
          <w:p w14:paraId="6BE94C3F">
            <w:pPr>
              <w:pStyle w:val="3"/>
              <w:keepNext w:val="0"/>
              <w:keepLines w:val="0"/>
              <w:suppressLineNumbers w:val="0"/>
              <w:spacing w:before="0" w:beforeAutospacing="0" w:after="0" w:afterAutospacing="0"/>
              <w:ind w:right="0"/>
              <w:rPr>
                <w:rFonts w:hint="default" w:eastAsia="仿宋_GB2312"/>
                <w:color w:val="auto"/>
                <w:sz w:val="18"/>
                <w:szCs w:val="18"/>
              </w:rPr>
            </w:pPr>
          </w:p>
          <w:p w14:paraId="13B79CE9">
            <w:pPr>
              <w:pStyle w:val="3"/>
              <w:keepNext w:val="0"/>
              <w:keepLines w:val="0"/>
              <w:suppressLineNumbers w:val="0"/>
              <w:spacing w:before="0" w:beforeAutospacing="0" w:after="0" w:afterAutospacing="0"/>
              <w:ind w:right="0"/>
              <w:rPr>
                <w:rFonts w:hint="default" w:eastAsia="仿宋_GB2312"/>
                <w:color w:val="auto"/>
                <w:sz w:val="18"/>
                <w:szCs w:val="18"/>
              </w:rPr>
            </w:pPr>
          </w:p>
          <w:p w14:paraId="4C300AAF">
            <w:pPr>
              <w:pStyle w:val="3"/>
              <w:keepNext w:val="0"/>
              <w:keepLines w:val="0"/>
              <w:suppressLineNumbers w:val="0"/>
              <w:spacing w:before="0" w:beforeAutospacing="0" w:after="0" w:afterAutospacing="0"/>
              <w:ind w:right="0"/>
              <w:rPr>
                <w:rFonts w:hint="default" w:eastAsia="仿宋_GB2312"/>
                <w:color w:val="auto"/>
                <w:sz w:val="18"/>
                <w:szCs w:val="18"/>
              </w:rPr>
            </w:pPr>
          </w:p>
          <w:p w14:paraId="7704ADB8">
            <w:pPr>
              <w:pStyle w:val="3"/>
              <w:keepNext w:val="0"/>
              <w:keepLines w:val="0"/>
              <w:suppressLineNumbers w:val="0"/>
              <w:spacing w:before="0" w:beforeAutospacing="0" w:after="0" w:afterAutospacing="0"/>
              <w:ind w:right="0"/>
              <w:rPr>
                <w:rFonts w:hint="default" w:eastAsia="仿宋_GB2312"/>
                <w:color w:val="auto"/>
                <w:sz w:val="18"/>
                <w:szCs w:val="18"/>
              </w:rPr>
            </w:pPr>
          </w:p>
          <w:p w14:paraId="45133057">
            <w:pPr>
              <w:pStyle w:val="3"/>
              <w:keepNext w:val="0"/>
              <w:keepLines w:val="0"/>
              <w:suppressLineNumbers w:val="0"/>
              <w:spacing w:before="0" w:beforeAutospacing="0" w:after="0" w:afterAutospacing="0"/>
              <w:ind w:right="0"/>
              <w:rPr>
                <w:rFonts w:hint="default" w:eastAsia="仿宋_GB2312"/>
                <w:color w:val="auto"/>
                <w:sz w:val="18"/>
                <w:szCs w:val="18"/>
              </w:rPr>
            </w:pPr>
          </w:p>
          <w:p w14:paraId="75E73F16">
            <w:pPr>
              <w:pStyle w:val="3"/>
              <w:keepNext w:val="0"/>
              <w:keepLines w:val="0"/>
              <w:suppressLineNumbers w:val="0"/>
              <w:spacing w:before="0" w:beforeAutospacing="0" w:after="0" w:afterAutospacing="0"/>
              <w:ind w:right="0"/>
              <w:rPr>
                <w:rFonts w:hint="default" w:eastAsia="仿宋_GB2312"/>
                <w:color w:val="auto"/>
                <w:sz w:val="18"/>
                <w:szCs w:val="18"/>
              </w:rPr>
            </w:pPr>
          </w:p>
          <w:p w14:paraId="25EA8206">
            <w:pPr>
              <w:pStyle w:val="3"/>
              <w:keepNext w:val="0"/>
              <w:keepLines w:val="0"/>
              <w:suppressLineNumbers w:val="0"/>
              <w:spacing w:before="0" w:beforeAutospacing="0" w:after="0" w:afterAutospacing="0"/>
              <w:ind w:right="0"/>
              <w:rPr>
                <w:rFonts w:hint="default" w:eastAsia="仿宋_GB2312"/>
                <w:color w:val="auto"/>
                <w:sz w:val="18"/>
                <w:szCs w:val="18"/>
              </w:rPr>
            </w:pPr>
          </w:p>
          <w:p w14:paraId="52C36382">
            <w:pPr>
              <w:pStyle w:val="3"/>
              <w:keepNext w:val="0"/>
              <w:keepLines w:val="0"/>
              <w:suppressLineNumbers w:val="0"/>
              <w:spacing w:before="0" w:beforeAutospacing="0" w:after="0" w:afterAutospacing="0"/>
              <w:ind w:right="0"/>
              <w:rPr>
                <w:rFonts w:hint="default" w:eastAsia="仿宋_GB2312"/>
                <w:color w:val="auto"/>
                <w:sz w:val="18"/>
                <w:szCs w:val="18"/>
              </w:rPr>
            </w:pPr>
          </w:p>
          <w:p w14:paraId="38EB9298">
            <w:pPr>
              <w:pStyle w:val="3"/>
              <w:keepNext w:val="0"/>
              <w:keepLines w:val="0"/>
              <w:suppressLineNumbers w:val="0"/>
              <w:spacing w:before="0" w:beforeAutospacing="0" w:after="0" w:afterAutospacing="0"/>
              <w:ind w:right="0"/>
              <w:rPr>
                <w:rFonts w:hint="default" w:eastAsia="仿宋_GB2312"/>
                <w:color w:val="auto"/>
                <w:sz w:val="18"/>
                <w:szCs w:val="18"/>
              </w:rPr>
            </w:pPr>
          </w:p>
          <w:p w14:paraId="4DD15E97">
            <w:pPr>
              <w:pStyle w:val="3"/>
              <w:keepNext w:val="0"/>
              <w:keepLines w:val="0"/>
              <w:suppressLineNumbers w:val="0"/>
              <w:spacing w:before="0" w:beforeAutospacing="0" w:after="0" w:afterAutospacing="0"/>
              <w:ind w:right="0"/>
              <w:rPr>
                <w:rFonts w:hint="default" w:eastAsia="仿宋_GB2312"/>
                <w:color w:val="auto"/>
                <w:sz w:val="18"/>
                <w:szCs w:val="18"/>
              </w:rPr>
            </w:pPr>
          </w:p>
          <w:p w14:paraId="261E5998">
            <w:pPr>
              <w:pStyle w:val="3"/>
              <w:keepNext w:val="0"/>
              <w:keepLines w:val="0"/>
              <w:suppressLineNumbers w:val="0"/>
              <w:spacing w:before="0" w:beforeAutospacing="0" w:after="0" w:afterAutospacing="0"/>
              <w:ind w:right="0"/>
              <w:rPr>
                <w:rFonts w:hint="default" w:eastAsia="仿宋_GB2312"/>
                <w:color w:val="auto"/>
                <w:sz w:val="18"/>
                <w:szCs w:val="18"/>
              </w:rPr>
            </w:pPr>
          </w:p>
          <w:p w14:paraId="5B3B3E9F">
            <w:pPr>
              <w:pStyle w:val="3"/>
              <w:keepNext w:val="0"/>
              <w:keepLines w:val="0"/>
              <w:suppressLineNumbers w:val="0"/>
              <w:spacing w:before="0" w:beforeAutospacing="0" w:after="0" w:afterAutospacing="0"/>
              <w:ind w:right="0"/>
              <w:rPr>
                <w:rFonts w:hint="default" w:eastAsia="仿宋_GB2312"/>
                <w:color w:val="auto"/>
                <w:sz w:val="18"/>
                <w:szCs w:val="18"/>
              </w:rPr>
            </w:pPr>
          </w:p>
          <w:p w14:paraId="6E92CE6F">
            <w:pPr>
              <w:pStyle w:val="3"/>
              <w:keepNext w:val="0"/>
              <w:keepLines w:val="0"/>
              <w:suppressLineNumbers w:val="0"/>
              <w:spacing w:before="0" w:beforeAutospacing="0" w:after="0" w:afterAutospacing="0"/>
              <w:ind w:right="0"/>
              <w:rPr>
                <w:rFonts w:hint="default" w:eastAsia="仿宋_GB2312"/>
                <w:color w:val="auto"/>
                <w:sz w:val="18"/>
                <w:szCs w:val="18"/>
              </w:rPr>
            </w:pPr>
          </w:p>
          <w:p w14:paraId="7FA9A525">
            <w:pPr>
              <w:pStyle w:val="3"/>
              <w:keepNext w:val="0"/>
              <w:keepLines w:val="0"/>
              <w:suppressLineNumbers w:val="0"/>
              <w:spacing w:before="0" w:beforeAutospacing="0" w:after="0" w:afterAutospacing="0"/>
              <w:ind w:right="0"/>
              <w:rPr>
                <w:rFonts w:hint="default" w:eastAsia="仿宋_GB2312"/>
                <w:color w:val="auto"/>
                <w:sz w:val="18"/>
                <w:szCs w:val="18"/>
              </w:rPr>
            </w:pPr>
          </w:p>
          <w:p w14:paraId="1A798217">
            <w:pPr>
              <w:pStyle w:val="3"/>
              <w:keepNext w:val="0"/>
              <w:keepLines w:val="0"/>
              <w:suppressLineNumbers w:val="0"/>
              <w:spacing w:before="0" w:beforeAutospacing="0" w:after="0" w:afterAutospacing="0"/>
              <w:ind w:right="0"/>
              <w:rPr>
                <w:rFonts w:hint="default" w:eastAsia="仿宋_GB2312"/>
                <w:color w:val="auto"/>
                <w:sz w:val="18"/>
                <w:szCs w:val="18"/>
              </w:rPr>
            </w:pPr>
          </w:p>
          <w:p w14:paraId="2152C8C8">
            <w:pPr>
              <w:pStyle w:val="3"/>
              <w:keepNext w:val="0"/>
              <w:keepLines w:val="0"/>
              <w:suppressLineNumbers w:val="0"/>
              <w:spacing w:before="0" w:beforeAutospacing="0" w:after="0" w:afterAutospacing="0"/>
              <w:ind w:right="0"/>
              <w:rPr>
                <w:rFonts w:hint="default" w:eastAsia="仿宋_GB2312"/>
                <w:color w:val="auto"/>
                <w:sz w:val="18"/>
                <w:szCs w:val="18"/>
              </w:rPr>
            </w:pPr>
          </w:p>
          <w:p w14:paraId="5BE184FF">
            <w:pPr>
              <w:pStyle w:val="3"/>
              <w:keepNext w:val="0"/>
              <w:keepLines w:val="0"/>
              <w:suppressLineNumbers w:val="0"/>
              <w:spacing w:before="0" w:beforeAutospacing="0" w:after="0" w:afterAutospacing="0"/>
              <w:ind w:right="0"/>
              <w:rPr>
                <w:rFonts w:hint="default" w:eastAsia="仿宋_GB2312"/>
                <w:color w:val="auto"/>
                <w:sz w:val="18"/>
                <w:szCs w:val="18"/>
              </w:rPr>
            </w:pPr>
          </w:p>
          <w:p w14:paraId="7EEE8417">
            <w:pPr>
              <w:pStyle w:val="3"/>
              <w:keepNext w:val="0"/>
              <w:keepLines w:val="0"/>
              <w:suppressLineNumbers w:val="0"/>
              <w:spacing w:before="0" w:beforeAutospacing="0" w:after="0" w:afterAutospacing="0"/>
              <w:ind w:right="0"/>
              <w:rPr>
                <w:rFonts w:hint="default" w:eastAsia="仿宋_GB2312"/>
                <w:color w:val="auto"/>
                <w:sz w:val="18"/>
                <w:szCs w:val="18"/>
              </w:rPr>
            </w:pPr>
          </w:p>
          <w:p w14:paraId="3D93A34D">
            <w:pPr>
              <w:pStyle w:val="3"/>
              <w:keepNext w:val="0"/>
              <w:keepLines w:val="0"/>
              <w:suppressLineNumbers w:val="0"/>
              <w:spacing w:before="0" w:beforeAutospacing="0" w:after="0" w:afterAutospacing="0"/>
              <w:ind w:right="0"/>
              <w:rPr>
                <w:rFonts w:hint="default" w:eastAsia="仿宋_GB2312"/>
                <w:color w:val="auto"/>
                <w:sz w:val="18"/>
                <w:szCs w:val="18"/>
              </w:rPr>
            </w:pPr>
          </w:p>
          <w:p w14:paraId="717481D2">
            <w:pPr>
              <w:pStyle w:val="3"/>
              <w:keepNext w:val="0"/>
              <w:keepLines w:val="0"/>
              <w:suppressLineNumbers w:val="0"/>
              <w:spacing w:before="0" w:beforeAutospacing="0" w:after="0" w:afterAutospacing="0"/>
              <w:ind w:right="0"/>
              <w:rPr>
                <w:rFonts w:hint="default" w:eastAsia="仿宋_GB2312"/>
                <w:color w:val="auto"/>
                <w:sz w:val="18"/>
                <w:szCs w:val="18"/>
              </w:rPr>
            </w:pPr>
          </w:p>
          <w:p w14:paraId="3996FEF1">
            <w:pPr>
              <w:pStyle w:val="3"/>
              <w:keepNext w:val="0"/>
              <w:keepLines w:val="0"/>
              <w:suppressLineNumbers w:val="0"/>
              <w:spacing w:before="0" w:beforeAutospacing="0" w:after="0" w:afterAutospacing="0"/>
              <w:ind w:right="0"/>
              <w:rPr>
                <w:rFonts w:hint="default" w:eastAsia="仿宋_GB2312"/>
                <w:color w:val="auto"/>
                <w:sz w:val="18"/>
                <w:szCs w:val="18"/>
              </w:rPr>
            </w:pPr>
          </w:p>
          <w:p w14:paraId="0E730A03">
            <w:pPr>
              <w:pStyle w:val="3"/>
              <w:keepNext w:val="0"/>
              <w:keepLines w:val="0"/>
              <w:suppressLineNumbers w:val="0"/>
              <w:spacing w:before="0" w:beforeAutospacing="0" w:after="0" w:afterAutospacing="0"/>
              <w:ind w:right="0"/>
              <w:rPr>
                <w:rFonts w:hint="default" w:eastAsia="仿宋_GB2312"/>
                <w:color w:val="auto"/>
                <w:sz w:val="18"/>
                <w:szCs w:val="18"/>
              </w:rPr>
            </w:pPr>
          </w:p>
          <w:p w14:paraId="03C4DD6A">
            <w:pPr>
              <w:pStyle w:val="3"/>
              <w:keepNext w:val="0"/>
              <w:keepLines w:val="0"/>
              <w:suppressLineNumbers w:val="0"/>
              <w:spacing w:before="0" w:beforeAutospacing="0" w:after="0" w:afterAutospacing="0"/>
              <w:ind w:right="0"/>
              <w:rPr>
                <w:rFonts w:hint="default" w:eastAsia="仿宋_GB2312"/>
                <w:color w:val="auto"/>
                <w:sz w:val="18"/>
                <w:szCs w:val="18"/>
              </w:rPr>
            </w:pPr>
          </w:p>
          <w:p w14:paraId="48FDF45B">
            <w:pPr>
              <w:pStyle w:val="3"/>
              <w:keepNext w:val="0"/>
              <w:keepLines w:val="0"/>
              <w:suppressLineNumbers w:val="0"/>
              <w:spacing w:before="0" w:beforeAutospacing="0" w:after="0" w:afterAutospacing="0"/>
              <w:ind w:right="0"/>
              <w:rPr>
                <w:rFonts w:hint="default" w:eastAsia="仿宋_GB2312"/>
                <w:color w:val="auto"/>
                <w:sz w:val="18"/>
                <w:szCs w:val="18"/>
              </w:rPr>
            </w:pPr>
          </w:p>
          <w:p w14:paraId="2F42CC04">
            <w:pPr>
              <w:pStyle w:val="3"/>
              <w:keepNext w:val="0"/>
              <w:keepLines w:val="0"/>
              <w:suppressLineNumbers w:val="0"/>
              <w:spacing w:before="0" w:beforeAutospacing="0" w:after="0" w:afterAutospacing="0"/>
              <w:ind w:right="0"/>
              <w:rPr>
                <w:rFonts w:hint="default" w:eastAsia="仿宋_GB2312"/>
                <w:color w:val="auto"/>
                <w:sz w:val="18"/>
                <w:szCs w:val="18"/>
              </w:rPr>
            </w:pPr>
          </w:p>
          <w:p w14:paraId="5F410EAA">
            <w:pPr>
              <w:pStyle w:val="3"/>
              <w:keepNext w:val="0"/>
              <w:keepLines w:val="0"/>
              <w:suppressLineNumbers w:val="0"/>
              <w:spacing w:before="0" w:beforeAutospacing="0" w:after="0" w:afterAutospacing="0"/>
              <w:ind w:right="0"/>
              <w:rPr>
                <w:rFonts w:hint="default" w:eastAsia="仿宋_GB2312"/>
                <w:color w:val="auto"/>
                <w:sz w:val="18"/>
                <w:szCs w:val="18"/>
              </w:rPr>
            </w:pPr>
          </w:p>
          <w:p w14:paraId="55238D14">
            <w:pPr>
              <w:pStyle w:val="3"/>
              <w:keepNext w:val="0"/>
              <w:keepLines w:val="0"/>
              <w:suppressLineNumbers w:val="0"/>
              <w:spacing w:before="0" w:beforeAutospacing="0" w:after="0" w:afterAutospacing="0"/>
              <w:ind w:right="0"/>
              <w:rPr>
                <w:rFonts w:hint="default" w:eastAsia="仿宋_GB2312"/>
                <w:color w:val="auto"/>
                <w:sz w:val="18"/>
                <w:szCs w:val="18"/>
              </w:rPr>
            </w:pPr>
          </w:p>
          <w:p w14:paraId="75C6E1CE">
            <w:pPr>
              <w:pStyle w:val="3"/>
              <w:keepNext w:val="0"/>
              <w:keepLines w:val="0"/>
              <w:suppressLineNumbers w:val="0"/>
              <w:spacing w:before="0" w:beforeAutospacing="0" w:after="0" w:afterAutospacing="0"/>
              <w:ind w:right="0"/>
              <w:rPr>
                <w:rFonts w:hint="default" w:eastAsia="仿宋_GB2312"/>
                <w:color w:val="auto"/>
                <w:sz w:val="18"/>
                <w:szCs w:val="18"/>
              </w:rPr>
            </w:pPr>
          </w:p>
          <w:p w14:paraId="19312D16">
            <w:pPr>
              <w:pStyle w:val="3"/>
              <w:keepNext w:val="0"/>
              <w:keepLines w:val="0"/>
              <w:suppressLineNumbers w:val="0"/>
              <w:spacing w:before="0" w:beforeAutospacing="0" w:after="0" w:afterAutospacing="0"/>
              <w:ind w:right="0"/>
              <w:rPr>
                <w:rFonts w:hint="default" w:eastAsia="仿宋_GB2312"/>
                <w:color w:val="auto"/>
                <w:sz w:val="18"/>
                <w:szCs w:val="18"/>
              </w:rPr>
            </w:pPr>
          </w:p>
          <w:p w14:paraId="388DE634">
            <w:pPr>
              <w:pStyle w:val="3"/>
              <w:keepNext w:val="0"/>
              <w:keepLines w:val="0"/>
              <w:suppressLineNumbers w:val="0"/>
              <w:spacing w:before="0" w:beforeAutospacing="0" w:after="0" w:afterAutospacing="0"/>
              <w:ind w:right="0"/>
              <w:rPr>
                <w:rFonts w:hint="default" w:eastAsia="仿宋_GB2312"/>
                <w:color w:val="auto"/>
                <w:sz w:val="18"/>
                <w:szCs w:val="18"/>
              </w:rPr>
            </w:pPr>
          </w:p>
          <w:p w14:paraId="269C1B5D">
            <w:pPr>
              <w:pStyle w:val="3"/>
              <w:keepNext w:val="0"/>
              <w:keepLines w:val="0"/>
              <w:suppressLineNumbers w:val="0"/>
              <w:spacing w:before="0" w:beforeAutospacing="0" w:after="0" w:afterAutospacing="0"/>
              <w:ind w:right="0"/>
              <w:rPr>
                <w:rFonts w:hint="default" w:eastAsia="仿宋_GB2312"/>
                <w:color w:val="auto"/>
                <w:sz w:val="18"/>
                <w:szCs w:val="18"/>
              </w:rPr>
            </w:pPr>
          </w:p>
          <w:p w14:paraId="431A0A03">
            <w:pPr>
              <w:pStyle w:val="3"/>
              <w:keepNext w:val="0"/>
              <w:keepLines w:val="0"/>
              <w:suppressLineNumbers w:val="0"/>
              <w:spacing w:before="0" w:beforeAutospacing="0" w:after="0" w:afterAutospacing="0"/>
              <w:ind w:right="0"/>
              <w:rPr>
                <w:rFonts w:hint="default" w:eastAsia="仿宋_GB2312"/>
                <w:color w:val="auto"/>
                <w:sz w:val="18"/>
                <w:szCs w:val="18"/>
              </w:rPr>
            </w:pPr>
          </w:p>
          <w:p w14:paraId="5D87406A">
            <w:pPr>
              <w:pStyle w:val="3"/>
              <w:keepNext w:val="0"/>
              <w:keepLines w:val="0"/>
              <w:suppressLineNumbers w:val="0"/>
              <w:spacing w:before="0" w:beforeAutospacing="0" w:after="0" w:afterAutospacing="0"/>
              <w:ind w:right="0"/>
              <w:rPr>
                <w:rFonts w:hint="default" w:eastAsia="仿宋_GB2312"/>
                <w:color w:val="auto"/>
                <w:sz w:val="18"/>
                <w:szCs w:val="18"/>
              </w:rPr>
            </w:pPr>
          </w:p>
          <w:p w14:paraId="3BC5E102">
            <w:pPr>
              <w:pStyle w:val="3"/>
              <w:keepNext w:val="0"/>
              <w:keepLines w:val="0"/>
              <w:suppressLineNumbers w:val="0"/>
              <w:spacing w:before="0" w:beforeAutospacing="0" w:after="0" w:afterAutospacing="0"/>
              <w:ind w:right="0"/>
              <w:rPr>
                <w:rFonts w:hint="default" w:eastAsia="仿宋_GB2312"/>
                <w:color w:val="auto"/>
                <w:sz w:val="18"/>
                <w:szCs w:val="18"/>
              </w:rPr>
            </w:pPr>
          </w:p>
          <w:p w14:paraId="14A729DA">
            <w:pPr>
              <w:pStyle w:val="3"/>
              <w:keepNext w:val="0"/>
              <w:keepLines w:val="0"/>
              <w:suppressLineNumbers w:val="0"/>
              <w:spacing w:before="0" w:beforeAutospacing="0" w:after="0" w:afterAutospacing="0"/>
              <w:ind w:right="0"/>
              <w:rPr>
                <w:rFonts w:hint="default" w:eastAsia="仿宋_GB2312"/>
                <w:color w:val="auto"/>
                <w:sz w:val="18"/>
                <w:szCs w:val="18"/>
              </w:rPr>
            </w:pPr>
          </w:p>
          <w:p w14:paraId="1B06B796">
            <w:pPr>
              <w:pStyle w:val="3"/>
              <w:keepNext w:val="0"/>
              <w:keepLines w:val="0"/>
              <w:suppressLineNumbers w:val="0"/>
              <w:spacing w:before="0" w:beforeAutospacing="0" w:after="0" w:afterAutospacing="0"/>
              <w:ind w:right="0"/>
              <w:rPr>
                <w:rFonts w:hint="default" w:eastAsia="仿宋_GB2312"/>
                <w:color w:val="auto"/>
                <w:sz w:val="18"/>
                <w:szCs w:val="18"/>
              </w:rPr>
            </w:pPr>
          </w:p>
          <w:p w14:paraId="77169724">
            <w:pPr>
              <w:pStyle w:val="3"/>
              <w:keepNext w:val="0"/>
              <w:keepLines w:val="0"/>
              <w:suppressLineNumbers w:val="0"/>
              <w:spacing w:before="0" w:beforeAutospacing="0" w:after="0" w:afterAutospacing="0"/>
              <w:ind w:right="0"/>
              <w:rPr>
                <w:rFonts w:hint="default" w:eastAsia="仿宋_GB2312"/>
                <w:color w:val="auto"/>
                <w:sz w:val="18"/>
                <w:szCs w:val="18"/>
              </w:rPr>
            </w:pPr>
          </w:p>
          <w:p w14:paraId="7F3C78A1">
            <w:pPr>
              <w:pStyle w:val="3"/>
              <w:keepNext w:val="0"/>
              <w:keepLines w:val="0"/>
              <w:suppressLineNumbers w:val="0"/>
              <w:spacing w:before="0" w:beforeAutospacing="0" w:after="0" w:afterAutospacing="0"/>
              <w:ind w:right="0"/>
              <w:rPr>
                <w:rFonts w:hint="default" w:eastAsia="仿宋_GB2312"/>
                <w:color w:val="auto"/>
                <w:sz w:val="18"/>
                <w:szCs w:val="18"/>
              </w:rPr>
            </w:pPr>
          </w:p>
          <w:p w14:paraId="0F1358EF">
            <w:pPr>
              <w:pStyle w:val="3"/>
              <w:keepNext w:val="0"/>
              <w:keepLines w:val="0"/>
              <w:suppressLineNumbers w:val="0"/>
              <w:spacing w:before="0" w:beforeAutospacing="0" w:after="0" w:afterAutospacing="0"/>
              <w:ind w:right="0"/>
              <w:rPr>
                <w:rFonts w:hint="default" w:eastAsia="仿宋_GB2312"/>
                <w:color w:val="auto"/>
                <w:sz w:val="18"/>
                <w:szCs w:val="18"/>
              </w:rPr>
            </w:pPr>
          </w:p>
          <w:p w14:paraId="3AD66BD5">
            <w:pPr>
              <w:pStyle w:val="3"/>
              <w:keepNext w:val="0"/>
              <w:keepLines w:val="0"/>
              <w:suppressLineNumbers w:val="0"/>
              <w:spacing w:before="0" w:beforeAutospacing="0" w:after="0" w:afterAutospacing="0"/>
              <w:ind w:right="0"/>
              <w:rPr>
                <w:rFonts w:hint="default" w:eastAsia="仿宋_GB2312"/>
                <w:color w:val="auto"/>
                <w:sz w:val="18"/>
                <w:szCs w:val="18"/>
              </w:rPr>
            </w:pPr>
          </w:p>
          <w:p w14:paraId="0590C1EB">
            <w:pPr>
              <w:pStyle w:val="3"/>
              <w:keepNext w:val="0"/>
              <w:keepLines w:val="0"/>
              <w:suppressLineNumbers w:val="0"/>
              <w:spacing w:before="0" w:beforeAutospacing="0" w:after="0" w:afterAutospacing="0"/>
              <w:ind w:right="0"/>
              <w:rPr>
                <w:rFonts w:hint="default" w:eastAsia="仿宋_GB2312"/>
                <w:color w:val="auto"/>
                <w:sz w:val="18"/>
                <w:szCs w:val="18"/>
              </w:rPr>
            </w:pPr>
          </w:p>
          <w:p w14:paraId="5C5BA7C8">
            <w:pPr>
              <w:pStyle w:val="3"/>
              <w:keepNext w:val="0"/>
              <w:keepLines w:val="0"/>
              <w:suppressLineNumbers w:val="0"/>
              <w:spacing w:before="0" w:beforeAutospacing="0" w:after="0" w:afterAutospacing="0"/>
              <w:ind w:right="0"/>
              <w:rPr>
                <w:rFonts w:hint="default" w:eastAsia="仿宋_GB2312"/>
                <w:color w:val="auto"/>
                <w:sz w:val="18"/>
                <w:szCs w:val="18"/>
              </w:rPr>
            </w:pPr>
          </w:p>
          <w:p w14:paraId="48FFAD90">
            <w:pPr>
              <w:pStyle w:val="3"/>
              <w:keepNext w:val="0"/>
              <w:keepLines w:val="0"/>
              <w:suppressLineNumbers w:val="0"/>
              <w:spacing w:before="0" w:beforeAutospacing="0" w:after="0" w:afterAutospacing="0"/>
              <w:ind w:right="0"/>
              <w:rPr>
                <w:rFonts w:hint="default" w:eastAsia="仿宋_GB2312"/>
                <w:color w:val="auto"/>
                <w:sz w:val="18"/>
                <w:szCs w:val="18"/>
              </w:rPr>
            </w:pPr>
          </w:p>
          <w:p w14:paraId="635BC045">
            <w:pPr>
              <w:pStyle w:val="3"/>
              <w:keepNext w:val="0"/>
              <w:keepLines w:val="0"/>
              <w:suppressLineNumbers w:val="0"/>
              <w:spacing w:before="0" w:beforeAutospacing="0" w:after="0" w:afterAutospacing="0"/>
              <w:ind w:right="0"/>
              <w:rPr>
                <w:rFonts w:hint="default" w:eastAsia="仿宋_GB2312"/>
                <w:color w:val="auto"/>
                <w:sz w:val="18"/>
                <w:szCs w:val="18"/>
              </w:rPr>
            </w:pPr>
          </w:p>
          <w:p w14:paraId="302BBF6B">
            <w:pPr>
              <w:keepNext w:val="0"/>
              <w:keepLines w:val="0"/>
              <w:suppressLineNumbers w:val="0"/>
              <w:snapToGrid w:val="0"/>
              <w:spacing w:before="0" w:beforeAutospacing="0" w:after="0" w:afterAutospacing="0"/>
              <w:ind w:left="0" w:right="0"/>
              <w:rPr>
                <w:rFonts w:hint="default" w:eastAsia="仿宋_GB2312"/>
                <w:color w:val="auto"/>
                <w:sz w:val="18"/>
                <w:szCs w:val="18"/>
              </w:rPr>
            </w:pPr>
          </w:p>
        </w:tc>
      </w:tr>
      <w:tr w14:paraId="756DE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216" w:type="pct"/>
            <w:vAlign w:val="center"/>
          </w:tcPr>
          <w:p w14:paraId="7C9F0F71">
            <w:pPr>
              <w:pStyle w:val="8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Cs w:val="24"/>
              </w:rPr>
            </w:pPr>
          </w:p>
        </w:tc>
        <w:tc>
          <w:tcPr>
            <w:tcW w:w="4783" w:type="pct"/>
            <w:vAlign w:val="center"/>
          </w:tcPr>
          <w:p w14:paraId="203A1C0B">
            <w:pPr>
              <w:keepNext w:val="0"/>
              <w:keepLines w:val="0"/>
              <w:suppressLineNumbers w:val="0"/>
              <w:adjustRightInd w:val="0"/>
              <w:snapToGrid w:val="0"/>
              <w:spacing w:before="0" w:beforeAutospacing="0" w:after="0" w:afterAutospacing="0" w:line="500" w:lineRule="exact"/>
              <w:ind w:left="0" w:right="0"/>
              <w:jc w:val="both"/>
              <w:rPr>
                <w:rFonts w:hint="default" w:eastAsia="仿宋_GB2312"/>
                <w:b/>
                <w:bCs w:val="0"/>
                <w:color w:val="auto"/>
                <w:sz w:val="24"/>
                <w:highlight w:val="none"/>
              </w:rPr>
            </w:pPr>
            <w:r>
              <w:rPr>
                <w:rFonts w:hint="default" w:eastAsia="仿宋_GB2312"/>
                <w:b/>
                <w:bCs w:val="0"/>
                <w:color w:val="auto"/>
                <w:sz w:val="24"/>
                <w:highlight w:val="none"/>
              </w:rPr>
              <w:t>七、特征因子平衡</w:t>
            </w:r>
          </w:p>
          <w:p w14:paraId="0C40169F">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highlight w:val="none"/>
                <w:lang w:val="en-US" w:eastAsia="zh-CN"/>
              </w:rPr>
            </w:pPr>
            <w:r>
              <w:rPr>
                <w:rFonts w:hint="eastAsia" w:eastAsia="仿宋_GB2312"/>
                <w:bCs/>
                <w:color w:val="auto"/>
                <w:sz w:val="24"/>
                <w:highlight w:val="none"/>
                <w:lang w:val="en-US" w:eastAsia="zh-CN"/>
              </w:rPr>
              <w:t>1、N平衡</w:t>
            </w:r>
          </w:p>
          <w:p w14:paraId="56A3D257">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本项目</w:t>
            </w:r>
            <w:r>
              <w:rPr>
                <w:rFonts w:hint="eastAsia" w:eastAsia="仿宋_GB2312"/>
                <w:bCs/>
                <w:color w:val="auto"/>
                <w:sz w:val="24"/>
                <w:lang w:val="en-US" w:eastAsia="zh-CN"/>
              </w:rPr>
              <w:t>N</w:t>
            </w:r>
            <w:r>
              <w:rPr>
                <w:rFonts w:hint="default" w:eastAsia="仿宋_GB2312"/>
                <w:bCs/>
                <w:color w:val="auto"/>
                <w:sz w:val="24"/>
              </w:rPr>
              <w:t>平衡见下表和下图。</w:t>
            </w:r>
          </w:p>
          <w:p w14:paraId="12D46C33">
            <w:pPr>
              <w:pStyle w:val="4005"/>
              <w:keepNext w:val="0"/>
              <w:keepLines w:val="0"/>
              <w:suppressLineNumbers w:val="0"/>
              <w:spacing w:before="0" w:beforeAutospacing="0" w:after="0" w:afterAutospacing="0"/>
              <w:ind w:left="0" w:right="0" w:firstLine="0"/>
              <w:jc w:val="center"/>
              <w:rPr>
                <w:rFonts w:hint="eastAsia" w:ascii="Times New Roman" w:hAnsi="Times New Roman" w:eastAsia="仿宋_GB2312" w:cs="Times New Roman"/>
                <w:b/>
                <w:color w:val="auto"/>
                <w:kern w:val="2"/>
                <w:sz w:val="22"/>
                <w:szCs w:val="22"/>
                <w:highlight w:val="none"/>
                <w:lang w:val="en-US" w:eastAsia="zh-CN" w:bidi="ar-SA"/>
              </w:rPr>
            </w:pPr>
            <w:r>
              <w:rPr>
                <w:rFonts w:hint="eastAsia" w:ascii="Times New Roman" w:hAnsi="Times New Roman" w:eastAsia="仿宋_GB2312" w:cs="Times New Roman"/>
                <w:b/>
                <w:color w:val="auto"/>
                <w:kern w:val="2"/>
                <w:sz w:val="22"/>
                <w:szCs w:val="22"/>
                <w:highlight w:val="none"/>
                <w:lang w:val="en-US" w:eastAsia="zh-CN" w:bidi="ar-SA"/>
              </w:rPr>
              <w:t>表</w:t>
            </w:r>
            <w:r>
              <w:rPr>
                <w:rFonts w:hint="eastAsia" w:eastAsia="仿宋_GB2312" w:cs="Times New Roman"/>
                <w:b/>
                <w:color w:val="auto"/>
                <w:kern w:val="2"/>
                <w:sz w:val="22"/>
                <w:szCs w:val="22"/>
                <w:highlight w:val="none"/>
                <w:lang w:val="en-US" w:eastAsia="zh-CN" w:bidi="ar-SA"/>
              </w:rPr>
              <w:t>2-50</w:t>
            </w:r>
            <w:r>
              <w:rPr>
                <w:rFonts w:hint="eastAsia" w:ascii="Times New Roman" w:hAnsi="Times New Roman" w:eastAsia="仿宋_GB2312" w:cs="Times New Roman"/>
                <w:b/>
                <w:color w:val="auto"/>
                <w:kern w:val="2"/>
                <w:sz w:val="22"/>
                <w:szCs w:val="22"/>
                <w:highlight w:val="none"/>
                <w:lang w:val="en-US" w:eastAsia="zh-CN" w:bidi="ar-SA"/>
              </w:rPr>
              <w:t xml:space="preserve">  </w:t>
            </w:r>
            <w:r>
              <w:rPr>
                <w:rFonts w:hint="eastAsia" w:eastAsia="仿宋_GB2312" w:cs="Times New Roman"/>
                <w:b/>
                <w:color w:val="auto"/>
                <w:kern w:val="2"/>
                <w:sz w:val="22"/>
                <w:szCs w:val="22"/>
                <w:highlight w:val="none"/>
                <w:lang w:val="en-US" w:eastAsia="zh-CN" w:bidi="ar-SA"/>
              </w:rPr>
              <w:t>N</w:t>
            </w:r>
            <w:r>
              <w:rPr>
                <w:rFonts w:hint="eastAsia" w:ascii="Times New Roman" w:hAnsi="Times New Roman" w:eastAsia="仿宋_GB2312" w:cs="Times New Roman"/>
                <w:b/>
                <w:color w:val="auto"/>
                <w:kern w:val="2"/>
                <w:sz w:val="22"/>
                <w:szCs w:val="22"/>
                <w:highlight w:val="none"/>
                <w:lang w:val="en-US" w:eastAsia="zh-CN" w:bidi="ar-SA"/>
              </w:rPr>
              <w:t>平衡表</w:t>
            </w:r>
            <w:bookmarkStart w:id="31" w:name="OLE_LINK2"/>
            <w:r>
              <w:rPr>
                <w:rFonts w:hint="eastAsia" w:ascii="Times New Roman" w:hAnsi="Times New Roman" w:eastAsia="仿宋_GB2312" w:cs="Times New Roman"/>
                <w:b/>
                <w:color w:val="auto"/>
                <w:kern w:val="2"/>
                <w:sz w:val="22"/>
                <w:szCs w:val="22"/>
                <w:highlight w:val="none"/>
                <w:lang w:val="en-US" w:eastAsia="zh-CN" w:bidi="ar-SA"/>
              </w:rPr>
              <w:t>（t/a）</w:t>
            </w:r>
            <w:bookmarkEnd w:id="31"/>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439"/>
              <w:gridCol w:w="1294"/>
              <w:gridCol w:w="1294"/>
              <w:gridCol w:w="1726"/>
              <w:gridCol w:w="1667"/>
            </w:tblGrid>
            <w:tr w14:paraId="68A59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vMerge w:val="restart"/>
                  <w:vAlign w:val="center"/>
                </w:tcPr>
                <w:p w14:paraId="6F23B0D4">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入方</w:t>
                  </w:r>
                </w:p>
              </w:tc>
              <w:tc>
                <w:tcPr>
                  <w:tcW w:w="5897" w:type="dxa"/>
                  <w:gridSpan w:val="4"/>
                  <w:vAlign w:val="center"/>
                </w:tcPr>
                <w:p w14:paraId="6F45DC16">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出方</w:t>
                  </w:r>
                </w:p>
              </w:tc>
            </w:tr>
            <w:tr w14:paraId="06453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vMerge w:val="continue"/>
                  <w:noWrap/>
                  <w:vAlign w:val="center"/>
                </w:tcPr>
                <w:p w14:paraId="78396FF5">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p>
              </w:tc>
              <w:tc>
                <w:tcPr>
                  <w:tcW w:w="1276" w:type="dxa"/>
                  <w:noWrap/>
                  <w:vAlign w:val="center"/>
                </w:tcPr>
                <w:p w14:paraId="661CF357">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产品</w:t>
                  </w:r>
                </w:p>
              </w:tc>
              <w:tc>
                <w:tcPr>
                  <w:tcW w:w="1276" w:type="dxa"/>
                  <w:noWrap/>
                  <w:vAlign w:val="center"/>
                </w:tcPr>
                <w:p w14:paraId="5DDC6F38">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废气</w:t>
                  </w:r>
                </w:p>
              </w:tc>
              <w:tc>
                <w:tcPr>
                  <w:tcW w:w="1701" w:type="dxa"/>
                  <w:noWrap/>
                  <w:vAlign w:val="center"/>
                </w:tcPr>
                <w:p w14:paraId="468FC6AD">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废水</w:t>
                  </w:r>
                </w:p>
              </w:tc>
              <w:tc>
                <w:tcPr>
                  <w:tcW w:w="1644" w:type="dxa"/>
                  <w:noWrap/>
                  <w:vAlign w:val="center"/>
                </w:tcPr>
                <w:p w14:paraId="34C5E26E">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固废</w:t>
                  </w:r>
                </w:p>
              </w:tc>
            </w:tr>
            <w:tr w14:paraId="7614D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05" w:type="dxa"/>
                </w:tcPr>
                <w:p w14:paraId="4DBB047D">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eastAsia" w:ascii="Times New Roman" w:hAnsi="Times New Roman"/>
                      <w:color w:val="auto"/>
                      <w:szCs w:val="21"/>
                    </w:rPr>
                    <w:t>酵母粉含氮</w:t>
                  </w:r>
                  <w:r>
                    <w:rPr>
                      <w:rFonts w:hint="default" w:ascii="Times New Roman" w:hAnsi="Times New Roman"/>
                      <w:color w:val="auto"/>
                      <w:szCs w:val="21"/>
                    </w:rPr>
                    <w:t>0.0</w:t>
                  </w:r>
                  <w:r>
                    <w:rPr>
                      <w:rFonts w:hint="eastAsia" w:ascii="Times New Roman" w:hAnsi="Times New Roman"/>
                      <w:color w:val="auto"/>
                      <w:szCs w:val="21"/>
                      <w:lang w:val="en-US" w:eastAsia="zh-CN"/>
                    </w:rPr>
                    <w:t>172</w:t>
                  </w:r>
                </w:p>
                <w:p w14:paraId="3983B348">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eastAsia" w:ascii="Times New Roman" w:hAnsi="Times New Roman"/>
                      <w:color w:val="auto"/>
                      <w:szCs w:val="21"/>
                    </w:rPr>
                    <w:t>蛋白胨含氮</w:t>
                  </w:r>
                  <w:r>
                    <w:rPr>
                      <w:rFonts w:hint="default" w:ascii="Times New Roman" w:hAnsi="Times New Roman"/>
                      <w:color w:val="auto"/>
                      <w:szCs w:val="21"/>
                    </w:rPr>
                    <w:t>0.</w:t>
                  </w:r>
                  <w:r>
                    <w:rPr>
                      <w:rFonts w:hint="eastAsia" w:ascii="Times New Roman" w:hAnsi="Times New Roman"/>
                      <w:color w:val="auto"/>
                      <w:szCs w:val="21"/>
                      <w:lang w:val="en-US"/>
                    </w:rPr>
                    <w:t>0</w:t>
                  </w:r>
                  <w:r>
                    <w:rPr>
                      <w:rFonts w:hint="eastAsia" w:ascii="Times New Roman" w:hAnsi="Times New Roman"/>
                      <w:color w:val="auto"/>
                      <w:szCs w:val="21"/>
                      <w:lang w:val="en-US" w:eastAsia="zh-CN"/>
                    </w:rPr>
                    <w:t>437</w:t>
                  </w:r>
                </w:p>
                <w:p w14:paraId="1FF2DAB0">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r>
                    <w:rPr>
                      <w:rFonts w:hint="eastAsia" w:ascii="Times New Roman" w:hAnsi="Times New Roman"/>
                      <w:color w:val="auto"/>
                      <w:szCs w:val="21"/>
                      <w:lang w:eastAsia="zh-CN"/>
                    </w:rPr>
                    <w:t>柠檬酸二</w:t>
                  </w:r>
                  <w:r>
                    <w:rPr>
                      <w:rFonts w:hint="eastAsia" w:ascii="Times New Roman" w:hAnsi="Times New Roman"/>
                      <w:color w:val="auto"/>
                      <w:szCs w:val="21"/>
                    </w:rPr>
                    <w:t>铵含氮</w:t>
                  </w:r>
                  <w:r>
                    <w:rPr>
                      <w:rFonts w:hint="default" w:ascii="Times New Roman" w:hAnsi="Times New Roman"/>
                      <w:color w:val="auto"/>
                      <w:szCs w:val="21"/>
                    </w:rPr>
                    <w:t>0.0</w:t>
                  </w:r>
                  <w:r>
                    <w:rPr>
                      <w:rFonts w:hint="eastAsia" w:ascii="Times New Roman" w:hAnsi="Times New Roman"/>
                      <w:color w:val="auto"/>
                      <w:szCs w:val="21"/>
                      <w:lang w:val="en-US" w:eastAsia="zh-CN"/>
                    </w:rPr>
                    <w:t>19</w:t>
                  </w:r>
                </w:p>
                <w:p w14:paraId="65D72474">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default" w:ascii="Times New Roman" w:hAnsi="Times New Roman"/>
                      <w:color w:val="auto"/>
                      <w:szCs w:val="21"/>
                    </w:rPr>
                    <w:t>L-</w:t>
                  </w:r>
                  <w:r>
                    <w:rPr>
                      <w:rFonts w:hint="eastAsia" w:ascii="Times New Roman" w:hAnsi="Times New Roman"/>
                      <w:color w:val="auto"/>
                      <w:szCs w:val="21"/>
                    </w:rPr>
                    <w:t>苯丙氨酸</w:t>
                  </w:r>
                  <w:r>
                    <w:rPr>
                      <w:rFonts w:hint="default" w:ascii="Times New Roman" w:hAnsi="Times New Roman"/>
                      <w:color w:val="auto"/>
                      <w:szCs w:val="21"/>
                    </w:rPr>
                    <w:t>0.0218</w:t>
                  </w:r>
                </w:p>
              </w:tc>
              <w:tc>
                <w:tcPr>
                  <w:tcW w:w="1276" w:type="dxa"/>
                </w:tcPr>
                <w:p w14:paraId="4B5871C9">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eastAsia="zh-CN"/>
                    </w:rPr>
                  </w:pPr>
                  <w:r>
                    <w:rPr>
                      <w:rFonts w:hint="eastAsia" w:ascii="Times New Roman" w:hAnsi="Times New Roman"/>
                      <w:color w:val="auto"/>
                      <w:szCs w:val="21"/>
                      <w:lang w:val="en-US" w:eastAsia="zh-CN"/>
                    </w:rPr>
                    <w:t>/</w:t>
                  </w:r>
                </w:p>
              </w:tc>
              <w:tc>
                <w:tcPr>
                  <w:tcW w:w="1276" w:type="dxa"/>
                </w:tcPr>
                <w:p w14:paraId="0615E83D">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rPr>
                  </w:pPr>
                  <w:r>
                    <w:rPr>
                      <w:rFonts w:hint="eastAsia" w:ascii="Times New Roman" w:hAnsi="Times New Roman"/>
                      <w:color w:val="auto"/>
                      <w:szCs w:val="21"/>
                    </w:rPr>
                    <w:t>G2-</w:t>
                  </w:r>
                  <w:r>
                    <w:rPr>
                      <w:rFonts w:hint="eastAsia" w:ascii="Times New Roman" w:hAnsi="Times New Roman"/>
                      <w:color w:val="auto"/>
                      <w:szCs w:val="21"/>
                      <w:lang w:val="en-US"/>
                    </w:rPr>
                    <w:t>1</w:t>
                  </w:r>
                  <w:r>
                    <w:rPr>
                      <w:rFonts w:hint="eastAsia" w:ascii="Times New Roman" w:hAnsi="Times New Roman"/>
                      <w:color w:val="auto"/>
                      <w:szCs w:val="21"/>
                    </w:rPr>
                    <w:t xml:space="preserve">  0.0001</w:t>
                  </w:r>
                </w:p>
                <w:p w14:paraId="1F8F1625">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rPr>
                  </w:pPr>
                  <w:r>
                    <w:rPr>
                      <w:rFonts w:hint="eastAsia" w:ascii="Times New Roman" w:hAnsi="Times New Roman"/>
                      <w:color w:val="auto"/>
                      <w:szCs w:val="21"/>
                    </w:rPr>
                    <w:t>G2-</w:t>
                  </w:r>
                  <w:r>
                    <w:rPr>
                      <w:rFonts w:hint="eastAsia" w:ascii="Times New Roman" w:hAnsi="Times New Roman"/>
                      <w:color w:val="auto"/>
                      <w:szCs w:val="21"/>
                      <w:lang w:val="en-US"/>
                    </w:rPr>
                    <w:t>2</w:t>
                  </w:r>
                  <w:r>
                    <w:rPr>
                      <w:rFonts w:hint="eastAsia" w:ascii="Times New Roman" w:hAnsi="Times New Roman"/>
                      <w:color w:val="auto"/>
                      <w:szCs w:val="21"/>
                    </w:rPr>
                    <w:t xml:space="preserve">  0.0007</w:t>
                  </w:r>
                </w:p>
                <w:p w14:paraId="3A39B00F">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rPr>
                  </w:pPr>
                  <w:r>
                    <w:rPr>
                      <w:rFonts w:hint="eastAsia" w:ascii="Times New Roman" w:hAnsi="Times New Roman"/>
                      <w:color w:val="auto"/>
                      <w:szCs w:val="21"/>
                    </w:rPr>
                    <w:t>G2-</w:t>
                  </w:r>
                  <w:r>
                    <w:rPr>
                      <w:rFonts w:hint="eastAsia" w:ascii="Times New Roman" w:hAnsi="Times New Roman"/>
                      <w:color w:val="auto"/>
                      <w:szCs w:val="21"/>
                      <w:lang w:val="en-US"/>
                    </w:rPr>
                    <w:t>3</w:t>
                  </w:r>
                  <w:r>
                    <w:rPr>
                      <w:rFonts w:hint="eastAsia" w:ascii="Times New Roman" w:hAnsi="Times New Roman"/>
                      <w:color w:val="auto"/>
                      <w:szCs w:val="21"/>
                    </w:rPr>
                    <w:t xml:space="preserve"> 0.0117</w:t>
                  </w:r>
                </w:p>
                <w:p w14:paraId="5DA451C0">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p>
              </w:tc>
              <w:tc>
                <w:tcPr>
                  <w:tcW w:w="1701" w:type="dxa"/>
                  <w:noWrap/>
                </w:tcPr>
                <w:p w14:paraId="14541DF0">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eastAsia" w:ascii="Times New Roman" w:hAnsi="Times New Roman"/>
                      <w:color w:val="auto"/>
                      <w:szCs w:val="21"/>
                    </w:rPr>
                    <w:t xml:space="preserve">W1-2 </w:t>
                  </w:r>
                  <w:r>
                    <w:rPr>
                      <w:rFonts w:hint="eastAsia" w:ascii="Times New Roman" w:hAnsi="Times New Roman"/>
                      <w:color w:val="auto"/>
                      <w:szCs w:val="21"/>
                      <w:lang w:val="en-US" w:eastAsia="zh-CN"/>
                    </w:rPr>
                    <w:t>0.015</w:t>
                  </w:r>
                </w:p>
                <w:p w14:paraId="677CFF0C">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r>
                    <w:rPr>
                      <w:rFonts w:hint="eastAsia" w:ascii="Times New Roman" w:hAnsi="Times New Roman"/>
                      <w:color w:val="auto"/>
                      <w:szCs w:val="21"/>
                    </w:rPr>
                    <w:t xml:space="preserve">W1-3 </w:t>
                  </w:r>
                  <w:r>
                    <w:rPr>
                      <w:rFonts w:hint="eastAsia" w:ascii="Times New Roman" w:hAnsi="Times New Roman"/>
                      <w:color w:val="auto"/>
                      <w:szCs w:val="21"/>
                      <w:lang w:val="en-US" w:eastAsia="zh-CN"/>
                    </w:rPr>
                    <w:t>0.004</w:t>
                  </w:r>
                </w:p>
                <w:p w14:paraId="0A686A74">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rPr>
                  </w:pPr>
                  <w:r>
                    <w:rPr>
                      <w:rFonts w:hint="eastAsia" w:ascii="Times New Roman" w:hAnsi="Times New Roman"/>
                      <w:color w:val="auto"/>
                      <w:szCs w:val="21"/>
                    </w:rPr>
                    <w:t>W2-1 0.0</w:t>
                  </w:r>
                  <w:r>
                    <w:rPr>
                      <w:rFonts w:hint="eastAsia" w:ascii="Times New Roman" w:hAnsi="Times New Roman"/>
                      <w:color w:val="auto"/>
                      <w:szCs w:val="21"/>
                      <w:lang w:val="en-US"/>
                    </w:rPr>
                    <w:t>061</w:t>
                  </w:r>
                </w:p>
                <w:p w14:paraId="6DDB587B">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rPr>
                  </w:pPr>
                  <w:r>
                    <w:rPr>
                      <w:rFonts w:hint="eastAsia" w:ascii="Times New Roman" w:hAnsi="Times New Roman"/>
                      <w:color w:val="auto"/>
                      <w:szCs w:val="21"/>
                    </w:rPr>
                    <w:t>W2-2 0.00</w:t>
                  </w:r>
                  <w:r>
                    <w:rPr>
                      <w:rFonts w:hint="eastAsia" w:ascii="Times New Roman" w:hAnsi="Times New Roman"/>
                      <w:color w:val="auto"/>
                      <w:szCs w:val="21"/>
                      <w:lang w:val="en-US"/>
                    </w:rPr>
                    <w:t>1</w:t>
                  </w:r>
                </w:p>
                <w:p w14:paraId="3F225753">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rPr>
                  </w:pPr>
                  <w:r>
                    <w:rPr>
                      <w:rFonts w:hint="eastAsia" w:ascii="Times New Roman" w:hAnsi="Times New Roman"/>
                      <w:color w:val="auto"/>
                      <w:szCs w:val="21"/>
                    </w:rPr>
                    <w:t>W2-3 0.00</w:t>
                  </w:r>
                  <w:r>
                    <w:rPr>
                      <w:rFonts w:hint="eastAsia" w:ascii="Times New Roman" w:hAnsi="Times New Roman"/>
                      <w:color w:val="auto"/>
                      <w:szCs w:val="21"/>
                      <w:lang w:val="en-US"/>
                    </w:rPr>
                    <w:t>01</w:t>
                  </w:r>
                </w:p>
                <w:p w14:paraId="59B6EA15">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rPr>
                  </w:pPr>
                  <w:r>
                    <w:rPr>
                      <w:rFonts w:hint="eastAsia" w:ascii="Times New Roman" w:hAnsi="Times New Roman"/>
                      <w:color w:val="auto"/>
                      <w:szCs w:val="21"/>
                    </w:rPr>
                    <w:t>W2-4 0.00</w:t>
                  </w:r>
                  <w:r>
                    <w:rPr>
                      <w:rFonts w:hint="eastAsia" w:ascii="Times New Roman" w:hAnsi="Times New Roman"/>
                      <w:color w:val="auto"/>
                      <w:szCs w:val="21"/>
                      <w:lang w:val="en-US"/>
                    </w:rPr>
                    <w:t>01</w:t>
                  </w:r>
                </w:p>
                <w:p w14:paraId="3AE7CAE2">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eastAsia" w:ascii="Times New Roman" w:hAnsi="Times New Roman"/>
                      <w:color w:val="auto"/>
                      <w:szCs w:val="21"/>
                    </w:rPr>
                    <w:t>W2-5 0.00</w:t>
                  </w:r>
                  <w:r>
                    <w:rPr>
                      <w:rFonts w:hint="eastAsia" w:ascii="Times New Roman" w:hAnsi="Times New Roman"/>
                      <w:color w:val="auto"/>
                      <w:szCs w:val="21"/>
                      <w:lang w:val="en-US"/>
                    </w:rPr>
                    <w:t>01</w:t>
                  </w:r>
                </w:p>
              </w:tc>
              <w:tc>
                <w:tcPr>
                  <w:tcW w:w="1644" w:type="dxa"/>
                </w:tcPr>
                <w:p w14:paraId="02FD4ADB">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r>
                    <w:rPr>
                      <w:rFonts w:hint="eastAsia" w:ascii="Times New Roman" w:hAnsi="Times New Roman"/>
                      <w:color w:val="auto"/>
                      <w:szCs w:val="21"/>
                    </w:rPr>
                    <w:t>S1-1 0.</w:t>
                  </w:r>
                  <w:r>
                    <w:rPr>
                      <w:rFonts w:hint="eastAsia" w:ascii="Times New Roman" w:hAnsi="Times New Roman"/>
                      <w:color w:val="auto"/>
                      <w:szCs w:val="21"/>
                      <w:lang w:val="en-US" w:eastAsia="zh-CN"/>
                    </w:rPr>
                    <w:t>035</w:t>
                  </w:r>
                </w:p>
                <w:p w14:paraId="5116C0D9">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eastAsia" w:ascii="Times New Roman" w:hAnsi="Times New Roman"/>
                      <w:color w:val="auto"/>
                      <w:szCs w:val="21"/>
                    </w:rPr>
                    <w:t>S2-1 0.0</w:t>
                  </w:r>
                  <w:r>
                    <w:rPr>
                      <w:rFonts w:hint="eastAsia" w:ascii="Times New Roman" w:hAnsi="Times New Roman"/>
                      <w:color w:val="auto"/>
                      <w:szCs w:val="21"/>
                      <w:lang w:val="en-US"/>
                    </w:rPr>
                    <w:t>278</w:t>
                  </w:r>
                </w:p>
              </w:tc>
            </w:tr>
            <w:tr w14:paraId="335B0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vMerge w:val="restart"/>
                  <w:vAlign w:val="center"/>
                </w:tcPr>
                <w:p w14:paraId="68A37D3F">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default" w:ascii="Times New Roman" w:hAnsi="Times New Roman"/>
                      <w:color w:val="auto"/>
                      <w:szCs w:val="21"/>
                    </w:rPr>
                    <w:t>合计</w:t>
                  </w:r>
                  <w:r>
                    <w:rPr>
                      <w:rFonts w:hint="eastAsia" w:ascii="Times New Roman" w:hAnsi="Times New Roman"/>
                      <w:color w:val="auto"/>
                      <w:szCs w:val="21"/>
                      <w:lang w:val="en-US" w:eastAsia="zh-CN"/>
                    </w:rPr>
                    <w:t>0.1017</w:t>
                  </w:r>
                </w:p>
              </w:tc>
              <w:tc>
                <w:tcPr>
                  <w:tcW w:w="1276" w:type="dxa"/>
                  <w:vAlign w:val="center"/>
                </w:tcPr>
                <w:p w14:paraId="633D6172">
                  <w:pPr>
                    <w:pStyle w:val="165"/>
                    <w:keepNext w:val="0"/>
                    <w:keepLines w:val="0"/>
                    <w:suppressLineNumbers w:val="0"/>
                    <w:snapToGrid w:val="0"/>
                    <w:spacing w:before="0" w:beforeAutospacing="0" w:after="0" w:afterAutospacing="0"/>
                    <w:ind w:left="0" w:right="0"/>
                    <w:jc w:val="center"/>
                    <w:rPr>
                      <w:rFonts w:hint="eastAsia" w:ascii="Times New Roman" w:hAnsi="Times New Roman" w:eastAsia="仿宋_GB2312"/>
                      <w:color w:val="auto"/>
                      <w:szCs w:val="21"/>
                      <w:lang w:eastAsia="zh-CN"/>
                    </w:rPr>
                  </w:pPr>
                  <w:r>
                    <w:rPr>
                      <w:rFonts w:hint="eastAsia" w:ascii="Times New Roman" w:hAnsi="Times New Roman"/>
                      <w:color w:val="auto"/>
                      <w:szCs w:val="21"/>
                      <w:lang w:val="en-US" w:eastAsia="zh-CN"/>
                    </w:rPr>
                    <w:t>/</w:t>
                  </w:r>
                </w:p>
              </w:tc>
              <w:tc>
                <w:tcPr>
                  <w:tcW w:w="1276" w:type="dxa"/>
                  <w:vAlign w:val="center"/>
                </w:tcPr>
                <w:p w14:paraId="1B6774C8">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eastAsia" w:ascii="Times New Roman" w:hAnsi="Times New Roman"/>
                      <w:color w:val="auto"/>
                      <w:szCs w:val="21"/>
                      <w:lang w:val="en-US" w:eastAsia="zh-CN"/>
                    </w:rPr>
                    <w:t>0.0125</w:t>
                  </w:r>
                </w:p>
              </w:tc>
              <w:tc>
                <w:tcPr>
                  <w:tcW w:w="1701" w:type="dxa"/>
                  <w:noWrap/>
                  <w:vAlign w:val="center"/>
                </w:tcPr>
                <w:p w14:paraId="2A879C74">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eastAsia" w:ascii="Times New Roman" w:hAnsi="Times New Roman"/>
                      <w:color w:val="auto"/>
                      <w:szCs w:val="21"/>
                      <w:lang w:val="en-US" w:eastAsia="zh-CN"/>
                    </w:rPr>
                    <w:t>0.0264</w:t>
                  </w:r>
                </w:p>
              </w:tc>
              <w:tc>
                <w:tcPr>
                  <w:tcW w:w="1644" w:type="dxa"/>
                  <w:vAlign w:val="center"/>
                </w:tcPr>
                <w:p w14:paraId="3329B89C">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eastAsia" w:ascii="Times New Roman" w:hAnsi="Times New Roman"/>
                      <w:color w:val="auto"/>
                      <w:szCs w:val="21"/>
                      <w:lang w:val="en-US" w:eastAsia="zh-CN"/>
                    </w:rPr>
                    <w:t>0.0628</w:t>
                  </w:r>
                </w:p>
              </w:tc>
            </w:tr>
            <w:tr w14:paraId="7B3C0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vMerge w:val="continue"/>
                  <w:vAlign w:val="center"/>
                </w:tcPr>
                <w:p w14:paraId="1617B15E">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p>
              </w:tc>
              <w:tc>
                <w:tcPr>
                  <w:tcW w:w="5897" w:type="dxa"/>
                  <w:gridSpan w:val="4"/>
                  <w:vAlign w:val="center"/>
                </w:tcPr>
                <w:p w14:paraId="4268FD9E">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default" w:ascii="Times New Roman" w:hAnsi="Times New Roman"/>
                      <w:color w:val="auto"/>
                      <w:szCs w:val="21"/>
                    </w:rPr>
                    <w:t>合计0.</w:t>
                  </w:r>
                  <w:r>
                    <w:rPr>
                      <w:rFonts w:hint="eastAsia" w:ascii="Times New Roman" w:hAnsi="Times New Roman"/>
                      <w:color w:val="auto"/>
                      <w:szCs w:val="21"/>
                      <w:lang w:val="en-US" w:eastAsia="zh-CN"/>
                    </w:rPr>
                    <w:t>1017</w:t>
                  </w:r>
                </w:p>
              </w:tc>
            </w:tr>
          </w:tbl>
          <w:p w14:paraId="4E382581">
            <w:pPr>
              <w:keepNext w:val="0"/>
              <w:keepLines w:val="0"/>
              <w:suppressLineNumbers w:val="0"/>
              <w:adjustRightInd w:val="0"/>
              <w:snapToGrid w:val="0"/>
              <w:spacing w:before="0" w:beforeAutospacing="0" w:after="0" w:afterAutospacing="0"/>
              <w:ind w:left="0" w:right="0"/>
              <w:jc w:val="center"/>
              <w:rPr>
                <w:rFonts w:hint="default" w:eastAsia="仿宋_GB2312"/>
                <w:b/>
                <w:color w:val="auto"/>
                <w:sz w:val="22"/>
                <w:szCs w:val="22"/>
              </w:rPr>
            </w:pPr>
          </w:p>
          <w:p w14:paraId="6F252021">
            <w:pPr>
              <w:keepNext w:val="0"/>
              <w:keepLines w:val="0"/>
              <w:suppressLineNumbers w:val="0"/>
              <w:adjustRightInd w:val="0"/>
              <w:snapToGrid w:val="0"/>
              <w:spacing w:before="0" w:beforeAutospacing="0" w:after="0" w:afterAutospacing="0"/>
              <w:ind w:left="0" w:right="0"/>
              <w:jc w:val="center"/>
              <w:rPr>
                <w:rFonts w:hint="default" w:eastAsia="仿宋_GB2312"/>
                <w:b/>
                <w:color w:val="auto"/>
                <w:sz w:val="22"/>
                <w:szCs w:val="22"/>
              </w:rPr>
            </w:pPr>
            <w:r>
              <w:rPr>
                <w:rFonts w:hint="default" w:eastAsia="仿宋_GB2312"/>
                <w:b/>
                <w:color w:val="auto"/>
                <w:sz w:val="22"/>
                <w:szCs w:val="22"/>
              </w:rPr>
              <w:object>
                <v:shape id="_x0000_i1032" o:spt="75" type="#_x0000_t75" style="height:108.65pt;width:310.7pt;" o:ole="t" filled="f" o:preferrelative="t" stroked="f" coordsize="21600,21600">
                  <v:path/>
                  <v:fill on="f" focussize="0,0"/>
                  <v:stroke on="f"/>
                  <v:imagedata r:id="rId32" o:title=""/>
                  <o:lock v:ext="edit" aspectratio="f"/>
                  <w10:wrap type="none"/>
                  <w10:anchorlock/>
                </v:shape>
                <o:OLEObject Type="Embed" ProgID="Visio.Drawing.15" ShapeID="_x0000_i1032" DrawAspect="Content" ObjectID="_1468075732" r:id="rId31">
                  <o:LockedField>false</o:LockedField>
                </o:OLEObject>
              </w:object>
            </w:r>
          </w:p>
          <w:p w14:paraId="5F3A980D">
            <w:pPr>
              <w:keepNext w:val="0"/>
              <w:keepLines w:val="0"/>
              <w:suppressLineNumbers w:val="0"/>
              <w:adjustRightInd w:val="0"/>
              <w:snapToGrid w:val="0"/>
              <w:spacing w:before="0" w:beforeAutospacing="0" w:after="0" w:afterAutospacing="0"/>
              <w:ind w:left="0" w:right="0"/>
              <w:jc w:val="center"/>
              <w:rPr>
                <w:rFonts w:hint="default" w:eastAsia="仿宋_GB2312"/>
                <w:b/>
                <w:color w:val="auto"/>
                <w:sz w:val="22"/>
                <w:szCs w:val="22"/>
                <w:highlight w:val="none"/>
              </w:rPr>
            </w:pPr>
            <w:r>
              <w:rPr>
                <w:rFonts w:hint="default" w:eastAsia="仿宋_GB2312"/>
                <w:b/>
                <w:color w:val="auto"/>
                <w:sz w:val="22"/>
                <w:szCs w:val="22"/>
                <w:highlight w:val="none"/>
              </w:rPr>
              <w:t>图2-</w:t>
            </w:r>
            <w:r>
              <w:rPr>
                <w:rFonts w:hint="eastAsia" w:eastAsia="仿宋_GB2312"/>
                <w:b/>
                <w:color w:val="auto"/>
                <w:sz w:val="22"/>
                <w:szCs w:val="22"/>
                <w:highlight w:val="none"/>
                <w:lang w:val="en-US" w:eastAsia="zh-CN"/>
              </w:rPr>
              <w:t>8</w:t>
            </w:r>
            <w:r>
              <w:rPr>
                <w:rFonts w:hint="default" w:eastAsia="仿宋_GB2312"/>
                <w:b/>
                <w:color w:val="auto"/>
                <w:sz w:val="22"/>
                <w:szCs w:val="22"/>
                <w:highlight w:val="none"/>
              </w:rPr>
              <w:t xml:space="preserve">  </w:t>
            </w:r>
            <w:r>
              <w:rPr>
                <w:rFonts w:hint="eastAsia" w:eastAsia="仿宋_GB2312"/>
                <w:b/>
                <w:color w:val="auto"/>
                <w:sz w:val="22"/>
                <w:szCs w:val="22"/>
                <w:highlight w:val="none"/>
                <w:lang w:val="en-US" w:eastAsia="zh-CN"/>
              </w:rPr>
              <w:t>N</w:t>
            </w:r>
            <w:r>
              <w:rPr>
                <w:rFonts w:hint="default" w:eastAsia="仿宋_GB2312"/>
                <w:b/>
                <w:color w:val="auto"/>
                <w:sz w:val="22"/>
                <w:szCs w:val="22"/>
                <w:highlight w:val="none"/>
              </w:rPr>
              <w:t>平衡图（t/a）</w:t>
            </w:r>
          </w:p>
          <w:p w14:paraId="4495F6E0">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lang w:val="en-US" w:eastAsia="zh-CN"/>
              </w:rPr>
            </w:pPr>
            <w:r>
              <w:rPr>
                <w:rFonts w:hint="eastAsia" w:eastAsia="仿宋_GB2312"/>
                <w:bCs/>
                <w:color w:val="auto"/>
                <w:sz w:val="24"/>
                <w:lang w:val="en-US" w:eastAsia="zh-CN"/>
              </w:rPr>
              <w:t>2、P平衡</w:t>
            </w:r>
          </w:p>
          <w:p w14:paraId="5326C152">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bCs/>
                <w:color w:val="auto"/>
                <w:sz w:val="24"/>
              </w:rPr>
            </w:pPr>
            <w:r>
              <w:rPr>
                <w:rFonts w:hint="default" w:eastAsia="仿宋_GB2312"/>
                <w:bCs/>
                <w:color w:val="auto"/>
                <w:sz w:val="24"/>
              </w:rPr>
              <w:t>本项目</w:t>
            </w:r>
            <w:r>
              <w:rPr>
                <w:rFonts w:hint="eastAsia" w:eastAsia="仿宋_GB2312"/>
                <w:bCs/>
                <w:color w:val="auto"/>
                <w:sz w:val="24"/>
                <w:lang w:val="en-US" w:eastAsia="zh-CN"/>
              </w:rPr>
              <w:t>P</w:t>
            </w:r>
            <w:r>
              <w:rPr>
                <w:rFonts w:hint="default" w:eastAsia="仿宋_GB2312"/>
                <w:bCs/>
                <w:color w:val="auto"/>
                <w:sz w:val="24"/>
              </w:rPr>
              <w:t>平衡见下表和下图。</w:t>
            </w:r>
          </w:p>
          <w:p w14:paraId="67EC8864">
            <w:pPr>
              <w:pStyle w:val="4005"/>
              <w:keepNext w:val="0"/>
              <w:keepLines w:val="0"/>
              <w:suppressLineNumbers w:val="0"/>
              <w:spacing w:before="0" w:beforeAutospacing="0" w:after="0" w:afterAutospacing="0"/>
              <w:ind w:left="0" w:right="0" w:firstLine="0"/>
              <w:jc w:val="center"/>
              <w:rPr>
                <w:rFonts w:hint="eastAsia" w:ascii="Times New Roman" w:hAnsi="Times New Roman" w:eastAsia="仿宋_GB2312" w:cs="Times New Roman"/>
                <w:b/>
                <w:color w:val="auto"/>
                <w:kern w:val="2"/>
                <w:sz w:val="22"/>
                <w:szCs w:val="22"/>
                <w:highlight w:val="none"/>
                <w:lang w:val="en-US" w:eastAsia="zh-CN" w:bidi="ar-SA"/>
              </w:rPr>
            </w:pPr>
            <w:r>
              <w:rPr>
                <w:rFonts w:hint="eastAsia" w:ascii="Times New Roman" w:hAnsi="Times New Roman" w:eastAsia="仿宋_GB2312" w:cs="Times New Roman"/>
                <w:b/>
                <w:color w:val="auto"/>
                <w:kern w:val="2"/>
                <w:sz w:val="22"/>
                <w:szCs w:val="22"/>
                <w:highlight w:val="none"/>
                <w:lang w:val="en-US" w:eastAsia="zh-CN" w:bidi="ar-SA"/>
              </w:rPr>
              <w:t>表</w:t>
            </w:r>
            <w:r>
              <w:rPr>
                <w:rFonts w:hint="eastAsia" w:eastAsia="仿宋_GB2312" w:cs="Times New Roman"/>
                <w:b/>
                <w:color w:val="auto"/>
                <w:kern w:val="2"/>
                <w:sz w:val="22"/>
                <w:szCs w:val="22"/>
                <w:highlight w:val="none"/>
                <w:lang w:val="en-US" w:eastAsia="zh-CN" w:bidi="ar-SA"/>
              </w:rPr>
              <w:t>2-51</w:t>
            </w:r>
            <w:r>
              <w:rPr>
                <w:rFonts w:hint="eastAsia" w:ascii="Times New Roman" w:hAnsi="Times New Roman" w:eastAsia="仿宋_GB2312" w:cs="Times New Roman"/>
                <w:b/>
                <w:color w:val="auto"/>
                <w:kern w:val="2"/>
                <w:sz w:val="22"/>
                <w:szCs w:val="22"/>
                <w:highlight w:val="none"/>
                <w:lang w:val="en-US" w:eastAsia="zh-CN" w:bidi="ar-SA"/>
              </w:rPr>
              <w:t xml:space="preserve">  </w:t>
            </w:r>
            <w:r>
              <w:rPr>
                <w:rFonts w:hint="eastAsia" w:eastAsia="仿宋_GB2312" w:cs="Times New Roman"/>
                <w:b/>
                <w:color w:val="auto"/>
                <w:kern w:val="2"/>
                <w:sz w:val="22"/>
                <w:szCs w:val="22"/>
                <w:highlight w:val="none"/>
                <w:lang w:val="en-US" w:eastAsia="zh-CN" w:bidi="ar-SA"/>
              </w:rPr>
              <w:t>P</w:t>
            </w:r>
            <w:r>
              <w:rPr>
                <w:rFonts w:hint="eastAsia" w:ascii="Times New Roman" w:hAnsi="Times New Roman" w:eastAsia="仿宋_GB2312" w:cs="Times New Roman"/>
                <w:b/>
                <w:color w:val="auto"/>
                <w:kern w:val="2"/>
                <w:sz w:val="22"/>
                <w:szCs w:val="22"/>
                <w:highlight w:val="none"/>
                <w:lang w:val="en-US" w:eastAsia="zh-CN" w:bidi="ar-SA"/>
              </w:rPr>
              <w:t>平衡表（t/a）</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439"/>
              <w:gridCol w:w="1294"/>
              <w:gridCol w:w="1294"/>
              <w:gridCol w:w="1726"/>
              <w:gridCol w:w="1667"/>
            </w:tblGrid>
            <w:tr w14:paraId="6D345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vMerge w:val="restart"/>
                  <w:vAlign w:val="center"/>
                </w:tcPr>
                <w:p w14:paraId="4276A5EE">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入方</w:t>
                  </w:r>
                </w:p>
              </w:tc>
              <w:tc>
                <w:tcPr>
                  <w:tcW w:w="5897" w:type="dxa"/>
                  <w:gridSpan w:val="4"/>
                  <w:vAlign w:val="center"/>
                </w:tcPr>
                <w:p w14:paraId="10D33C9F">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出方</w:t>
                  </w:r>
                </w:p>
              </w:tc>
            </w:tr>
            <w:tr w14:paraId="239AD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vMerge w:val="continue"/>
                  <w:noWrap/>
                  <w:vAlign w:val="center"/>
                </w:tcPr>
                <w:p w14:paraId="31E7511B">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p>
              </w:tc>
              <w:tc>
                <w:tcPr>
                  <w:tcW w:w="1276" w:type="dxa"/>
                  <w:noWrap/>
                  <w:vAlign w:val="center"/>
                </w:tcPr>
                <w:p w14:paraId="36CA40F3">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产品</w:t>
                  </w:r>
                </w:p>
              </w:tc>
              <w:tc>
                <w:tcPr>
                  <w:tcW w:w="1276" w:type="dxa"/>
                  <w:noWrap/>
                  <w:vAlign w:val="center"/>
                </w:tcPr>
                <w:p w14:paraId="6BC88849">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废气</w:t>
                  </w:r>
                </w:p>
              </w:tc>
              <w:tc>
                <w:tcPr>
                  <w:tcW w:w="1701" w:type="dxa"/>
                  <w:noWrap/>
                  <w:vAlign w:val="center"/>
                </w:tcPr>
                <w:p w14:paraId="627D619B">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废水</w:t>
                  </w:r>
                </w:p>
              </w:tc>
              <w:tc>
                <w:tcPr>
                  <w:tcW w:w="1644" w:type="dxa"/>
                  <w:noWrap/>
                  <w:vAlign w:val="center"/>
                </w:tcPr>
                <w:p w14:paraId="6B1FF0A7">
                  <w:pPr>
                    <w:pStyle w:val="165"/>
                    <w:keepNext w:val="0"/>
                    <w:keepLines w:val="0"/>
                    <w:suppressLineNumbers w:val="0"/>
                    <w:snapToGrid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固废</w:t>
                  </w:r>
                </w:p>
              </w:tc>
            </w:tr>
            <w:tr w14:paraId="34512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tcPr>
                <w:p w14:paraId="3198E9CB">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eastAsia" w:ascii="Times New Roman" w:hAnsi="Times New Roman"/>
                      <w:color w:val="auto"/>
                      <w:szCs w:val="21"/>
                      <w:lang w:eastAsia="zh-CN"/>
                    </w:rPr>
                    <w:t>酵母粉含磷</w:t>
                  </w:r>
                  <w:r>
                    <w:rPr>
                      <w:rFonts w:hint="eastAsia" w:ascii="Times New Roman" w:hAnsi="Times New Roman"/>
                      <w:color w:val="auto"/>
                      <w:szCs w:val="21"/>
                      <w:lang w:val="en-US" w:eastAsia="zh-CN"/>
                    </w:rPr>
                    <w:t>0.022</w:t>
                  </w:r>
                </w:p>
                <w:p w14:paraId="3323D3DA">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r>
                    <w:rPr>
                      <w:rFonts w:hint="eastAsia" w:ascii="Times New Roman" w:hAnsi="Times New Roman"/>
                      <w:color w:val="auto"/>
                      <w:szCs w:val="21"/>
                      <w:lang w:eastAsia="zh-CN"/>
                    </w:rPr>
                    <w:t>磷酸氢二钾</w:t>
                  </w:r>
                  <w:r>
                    <w:rPr>
                      <w:rFonts w:hint="eastAsia" w:ascii="Times New Roman" w:hAnsi="Times New Roman"/>
                      <w:color w:val="auto"/>
                      <w:szCs w:val="21"/>
                    </w:rPr>
                    <w:t>含</w:t>
                  </w:r>
                  <w:r>
                    <w:rPr>
                      <w:rFonts w:hint="eastAsia" w:ascii="Times New Roman" w:hAnsi="Times New Roman"/>
                      <w:color w:val="auto"/>
                      <w:szCs w:val="21"/>
                      <w:lang w:eastAsia="zh-CN"/>
                    </w:rPr>
                    <w:t>磷</w:t>
                  </w:r>
                  <w:r>
                    <w:rPr>
                      <w:rFonts w:hint="eastAsia" w:ascii="Times New Roman" w:hAnsi="Times New Roman"/>
                      <w:color w:val="auto"/>
                      <w:szCs w:val="21"/>
                      <w:lang w:val="en-US" w:eastAsia="zh-CN"/>
                    </w:rPr>
                    <w:t>0.075</w:t>
                  </w:r>
                </w:p>
                <w:p w14:paraId="58BDF603">
                  <w:pPr>
                    <w:pStyle w:val="165"/>
                    <w:keepNext w:val="0"/>
                    <w:keepLines w:val="0"/>
                    <w:suppressLineNumbers w:val="0"/>
                    <w:snapToGrid w:val="0"/>
                    <w:spacing w:before="0" w:beforeAutospacing="0" w:after="0" w:afterAutospacing="0"/>
                    <w:ind w:left="0" w:right="0"/>
                    <w:jc w:val="center"/>
                    <w:rPr>
                      <w:rFonts w:hint="eastAsia" w:ascii="Times New Roman" w:hAnsi="Times New Roman" w:eastAsia="仿宋_GB2312"/>
                      <w:color w:val="auto"/>
                      <w:szCs w:val="21"/>
                      <w:lang w:val="en-US" w:eastAsia="zh-CN"/>
                    </w:rPr>
                  </w:pPr>
                  <w:r>
                    <w:rPr>
                      <w:rFonts w:hint="eastAsia" w:ascii="Times New Roman" w:hAnsi="Times New Roman"/>
                      <w:color w:val="auto"/>
                      <w:szCs w:val="21"/>
                      <w:lang w:val="en-US" w:eastAsia="zh-CN"/>
                    </w:rPr>
                    <w:t xml:space="preserve"> </w:t>
                  </w:r>
                  <w:r>
                    <w:rPr>
                      <w:rFonts w:hint="eastAsia" w:ascii="Times New Roman" w:hAnsi="Times New Roman"/>
                      <w:color w:val="auto"/>
                      <w:szCs w:val="21"/>
                    </w:rPr>
                    <w:t>磷酸二氢钾含磷</w:t>
                  </w:r>
                  <w:r>
                    <w:rPr>
                      <w:rFonts w:hint="default" w:ascii="Times New Roman" w:hAnsi="Times New Roman"/>
                      <w:color w:val="auto"/>
                      <w:szCs w:val="21"/>
                    </w:rPr>
                    <w:t>0.04</w:t>
                  </w:r>
                  <w:r>
                    <w:rPr>
                      <w:rFonts w:hint="eastAsia" w:ascii="Times New Roman" w:hAnsi="Times New Roman"/>
                      <w:color w:val="auto"/>
                      <w:szCs w:val="21"/>
                      <w:lang w:val="en-US" w:eastAsia="zh-CN"/>
                    </w:rPr>
                    <w:t>3</w:t>
                  </w:r>
                </w:p>
              </w:tc>
              <w:tc>
                <w:tcPr>
                  <w:tcW w:w="1276" w:type="dxa"/>
                </w:tcPr>
                <w:p w14:paraId="76675EE9">
                  <w:pPr>
                    <w:pStyle w:val="165"/>
                    <w:keepNext w:val="0"/>
                    <w:keepLines w:val="0"/>
                    <w:suppressLineNumbers w:val="0"/>
                    <w:snapToGrid w:val="0"/>
                    <w:spacing w:before="0" w:beforeAutospacing="0" w:after="0" w:afterAutospacing="0"/>
                    <w:ind w:left="0" w:right="0"/>
                    <w:jc w:val="center"/>
                    <w:rPr>
                      <w:rFonts w:hint="eastAsia" w:ascii="Times New Roman" w:hAnsi="Times New Roman" w:eastAsia="仿宋_GB2312"/>
                      <w:color w:val="auto"/>
                      <w:szCs w:val="21"/>
                      <w:lang w:eastAsia="zh-CN"/>
                    </w:rPr>
                  </w:pPr>
                  <w:r>
                    <w:rPr>
                      <w:rFonts w:hint="eastAsia" w:ascii="Times New Roman" w:hAnsi="Times New Roman"/>
                      <w:color w:val="auto"/>
                      <w:szCs w:val="21"/>
                      <w:lang w:val="en-US" w:eastAsia="zh-CN"/>
                    </w:rPr>
                    <w:t>/</w:t>
                  </w:r>
                </w:p>
              </w:tc>
              <w:tc>
                <w:tcPr>
                  <w:tcW w:w="1276" w:type="dxa"/>
                </w:tcPr>
                <w:p w14:paraId="13A08415">
                  <w:pPr>
                    <w:pStyle w:val="165"/>
                    <w:keepNext w:val="0"/>
                    <w:keepLines w:val="0"/>
                    <w:suppressLineNumbers w:val="0"/>
                    <w:snapToGrid w:val="0"/>
                    <w:spacing w:before="0" w:beforeAutospacing="0" w:after="0" w:afterAutospacing="0"/>
                    <w:ind w:left="0" w:right="0"/>
                    <w:jc w:val="center"/>
                    <w:rPr>
                      <w:rFonts w:hint="eastAsia" w:ascii="Times New Roman" w:hAnsi="Times New Roman" w:eastAsia="仿宋_GB2312"/>
                      <w:color w:val="auto"/>
                      <w:szCs w:val="21"/>
                      <w:lang w:val="en-US" w:eastAsia="zh-CN"/>
                    </w:rPr>
                  </w:pPr>
                  <w:r>
                    <w:rPr>
                      <w:rFonts w:hint="eastAsia" w:ascii="Times New Roman" w:hAnsi="Times New Roman"/>
                      <w:color w:val="auto"/>
                      <w:szCs w:val="21"/>
                      <w:lang w:val="en-US" w:eastAsia="zh-CN"/>
                    </w:rPr>
                    <w:t>/</w:t>
                  </w:r>
                </w:p>
              </w:tc>
              <w:tc>
                <w:tcPr>
                  <w:tcW w:w="1701" w:type="dxa"/>
                  <w:noWrap/>
                </w:tcPr>
                <w:p w14:paraId="2917B526">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default" w:ascii="Times New Roman" w:hAnsi="Times New Roman"/>
                      <w:color w:val="auto"/>
                      <w:szCs w:val="21"/>
                    </w:rPr>
                    <w:t>W1-2</w:t>
                  </w:r>
                  <w:r>
                    <w:rPr>
                      <w:rFonts w:hint="eastAsia" w:ascii="Times New Roman" w:hAnsi="Times New Roman"/>
                      <w:color w:val="auto"/>
                      <w:szCs w:val="21"/>
                    </w:rPr>
                    <w:t xml:space="preserve"> </w:t>
                  </w:r>
                  <w:r>
                    <w:rPr>
                      <w:rFonts w:hint="eastAsia" w:ascii="Times New Roman" w:hAnsi="Times New Roman"/>
                      <w:color w:val="auto"/>
                      <w:szCs w:val="21"/>
                      <w:lang w:val="en-US" w:eastAsia="zh-CN"/>
                    </w:rPr>
                    <w:t>0.003</w:t>
                  </w:r>
                </w:p>
                <w:p w14:paraId="0F04355B">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r>
                    <w:rPr>
                      <w:rFonts w:hint="default" w:ascii="Times New Roman" w:hAnsi="Times New Roman"/>
                      <w:color w:val="auto"/>
                      <w:szCs w:val="21"/>
                    </w:rPr>
                    <w:t>W1-3</w:t>
                  </w:r>
                  <w:r>
                    <w:rPr>
                      <w:rFonts w:hint="eastAsia" w:ascii="Times New Roman" w:hAnsi="Times New Roman"/>
                      <w:color w:val="auto"/>
                      <w:szCs w:val="21"/>
                      <w:lang w:val="en-US" w:eastAsia="zh-CN"/>
                    </w:rPr>
                    <w:t xml:space="preserve"> 0.001</w:t>
                  </w:r>
                </w:p>
                <w:p w14:paraId="7702AC71">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default" w:ascii="Times New Roman" w:hAnsi="Times New Roman"/>
                      <w:color w:val="auto"/>
                      <w:szCs w:val="21"/>
                    </w:rPr>
                    <w:t>W2-1</w:t>
                  </w:r>
                  <w:r>
                    <w:rPr>
                      <w:rFonts w:hint="eastAsia" w:ascii="Times New Roman" w:hAnsi="Times New Roman"/>
                      <w:color w:val="auto"/>
                      <w:szCs w:val="21"/>
                    </w:rPr>
                    <w:t xml:space="preserve"> </w:t>
                  </w:r>
                  <w:r>
                    <w:rPr>
                      <w:rFonts w:hint="default" w:ascii="Times New Roman" w:hAnsi="Times New Roman"/>
                      <w:color w:val="auto"/>
                      <w:szCs w:val="21"/>
                    </w:rPr>
                    <w:t>0.007</w:t>
                  </w:r>
                </w:p>
                <w:p w14:paraId="03D62BF7">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lang w:val="en-US"/>
                    </w:rPr>
                  </w:pPr>
                  <w:r>
                    <w:rPr>
                      <w:rFonts w:hint="default" w:ascii="Times New Roman" w:hAnsi="Times New Roman"/>
                      <w:color w:val="auto"/>
                      <w:szCs w:val="21"/>
                    </w:rPr>
                    <w:t>W2-2</w:t>
                  </w:r>
                  <w:r>
                    <w:rPr>
                      <w:rFonts w:hint="eastAsia" w:ascii="Times New Roman" w:hAnsi="Times New Roman"/>
                      <w:color w:val="auto"/>
                      <w:szCs w:val="21"/>
                    </w:rPr>
                    <w:t xml:space="preserve"> </w:t>
                  </w:r>
                  <w:r>
                    <w:rPr>
                      <w:rFonts w:hint="default" w:ascii="Times New Roman" w:hAnsi="Times New Roman"/>
                      <w:color w:val="auto"/>
                      <w:szCs w:val="21"/>
                    </w:rPr>
                    <w:t>0.</w:t>
                  </w:r>
                  <w:r>
                    <w:rPr>
                      <w:rFonts w:hint="eastAsia" w:ascii="Times New Roman" w:hAnsi="Times New Roman"/>
                      <w:color w:val="auto"/>
                      <w:szCs w:val="21"/>
                      <w:lang w:val="en-US"/>
                    </w:rPr>
                    <w:t>086</w:t>
                  </w:r>
                </w:p>
                <w:p w14:paraId="1BE05E68">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default" w:ascii="Times New Roman" w:hAnsi="Times New Roman"/>
                      <w:color w:val="auto"/>
                      <w:szCs w:val="21"/>
                    </w:rPr>
                    <w:t>W2-</w:t>
                  </w:r>
                  <w:r>
                    <w:rPr>
                      <w:rFonts w:hint="eastAsia" w:ascii="Times New Roman" w:hAnsi="Times New Roman"/>
                      <w:color w:val="auto"/>
                      <w:szCs w:val="21"/>
                    </w:rPr>
                    <w:t>4</w:t>
                  </w:r>
                  <w:r>
                    <w:rPr>
                      <w:rFonts w:hint="default" w:ascii="Times New Roman" w:hAnsi="Times New Roman"/>
                      <w:color w:val="auto"/>
                      <w:szCs w:val="21"/>
                    </w:rPr>
                    <w:t xml:space="preserve"> 0.0</w:t>
                  </w:r>
                  <w:r>
                    <w:rPr>
                      <w:rFonts w:hint="eastAsia" w:ascii="Times New Roman" w:hAnsi="Times New Roman"/>
                      <w:color w:val="auto"/>
                      <w:szCs w:val="21"/>
                      <w:lang w:val="en-US"/>
                    </w:rPr>
                    <w:t>21</w:t>
                  </w:r>
                </w:p>
              </w:tc>
              <w:tc>
                <w:tcPr>
                  <w:tcW w:w="1644" w:type="dxa"/>
                </w:tcPr>
                <w:p w14:paraId="16937277">
                  <w:pPr>
                    <w:pStyle w:val="165"/>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r>
                    <w:rPr>
                      <w:rFonts w:hint="default" w:ascii="Times New Roman" w:hAnsi="Times New Roman"/>
                      <w:color w:val="auto"/>
                      <w:szCs w:val="21"/>
                    </w:rPr>
                    <w:t xml:space="preserve">S1-1 </w:t>
                  </w:r>
                  <w:r>
                    <w:rPr>
                      <w:rFonts w:hint="eastAsia" w:ascii="Times New Roman" w:hAnsi="Times New Roman"/>
                      <w:color w:val="auto"/>
                      <w:szCs w:val="21"/>
                      <w:lang w:val="en-US" w:eastAsia="zh-CN"/>
                    </w:rPr>
                    <w:t>0.012</w:t>
                  </w:r>
                </w:p>
                <w:p w14:paraId="3EFF49B8">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default" w:ascii="Times New Roman" w:hAnsi="Times New Roman"/>
                      <w:color w:val="auto"/>
                      <w:szCs w:val="21"/>
                    </w:rPr>
                    <w:t>S</w:t>
                  </w:r>
                  <w:r>
                    <w:rPr>
                      <w:rFonts w:hint="eastAsia" w:ascii="Times New Roman" w:hAnsi="Times New Roman"/>
                      <w:color w:val="auto"/>
                      <w:szCs w:val="21"/>
                      <w:lang w:val="en-US" w:eastAsia="zh-CN"/>
                    </w:rPr>
                    <w:t>2</w:t>
                  </w:r>
                  <w:r>
                    <w:rPr>
                      <w:rFonts w:hint="default" w:ascii="Times New Roman" w:hAnsi="Times New Roman"/>
                      <w:color w:val="auto"/>
                      <w:szCs w:val="21"/>
                    </w:rPr>
                    <w:t xml:space="preserve">-1 </w:t>
                  </w:r>
                  <w:r>
                    <w:rPr>
                      <w:rFonts w:hint="eastAsia" w:ascii="Times New Roman" w:hAnsi="Times New Roman"/>
                      <w:color w:val="auto"/>
                      <w:szCs w:val="21"/>
                    </w:rPr>
                    <w:t>0</w:t>
                  </w:r>
                  <w:r>
                    <w:rPr>
                      <w:rFonts w:hint="default" w:ascii="Times New Roman" w:hAnsi="Times New Roman"/>
                      <w:color w:val="auto"/>
                      <w:szCs w:val="21"/>
                    </w:rPr>
                    <w:t>.0</w:t>
                  </w:r>
                  <w:r>
                    <w:rPr>
                      <w:rFonts w:hint="eastAsia" w:ascii="Times New Roman" w:hAnsi="Times New Roman"/>
                      <w:color w:val="auto"/>
                      <w:szCs w:val="21"/>
                      <w:lang w:val="en-US"/>
                    </w:rPr>
                    <w:t>1</w:t>
                  </w:r>
                </w:p>
              </w:tc>
            </w:tr>
            <w:tr w14:paraId="5D862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vMerge w:val="restart"/>
                  <w:vAlign w:val="center"/>
                </w:tcPr>
                <w:p w14:paraId="161E45EB">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default" w:ascii="Times New Roman" w:hAnsi="Times New Roman"/>
                      <w:color w:val="auto"/>
                      <w:szCs w:val="21"/>
                    </w:rPr>
                    <w:t>合计</w:t>
                  </w:r>
                  <w:r>
                    <w:rPr>
                      <w:rFonts w:hint="eastAsia" w:ascii="Times New Roman" w:hAnsi="Times New Roman"/>
                      <w:color w:val="auto"/>
                      <w:szCs w:val="21"/>
                      <w:lang w:val="en-US" w:eastAsia="zh-CN"/>
                    </w:rPr>
                    <w:t>0.14</w:t>
                  </w:r>
                </w:p>
              </w:tc>
              <w:tc>
                <w:tcPr>
                  <w:tcW w:w="1276" w:type="dxa"/>
                  <w:vAlign w:val="center"/>
                </w:tcPr>
                <w:p w14:paraId="73F555A6">
                  <w:pPr>
                    <w:pStyle w:val="165"/>
                    <w:keepNext w:val="0"/>
                    <w:keepLines w:val="0"/>
                    <w:suppressLineNumbers w:val="0"/>
                    <w:snapToGrid w:val="0"/>
                    <w:spacing w:before="0" w:beforeAutospacing="0" w:after="0" w:afterAutospacing="0"/>
                    <w:ind w:left="0" w:right="0"/>
                    <w:jc w:val="center"/>
                    <w:rPr>
                      <w:rFonts w:hint="eastAsia" w:ascii="Times New Roman" w:hAnsi="Times New Roman" w:eastAsia="仿宋_GB2312"/>
                      <w:color w:val="auto"/>
                      <w:szCs w:val="21"/>
                      <w:lang w:eastAsia="zh-CN"/>
                    </w:rPr>
                  </w:pPr>
                  <w:r>
                    <w:rPr>
                      <w:rFonts w:hint="eastAsia" w:ascii="Times New Roman" w:hAnsi="Times New Roman"/>
                      <w:color w:val="auto"/>
                      <w:szCs w:val="21"/>
                      <w:lang w:val="en-US" w:eastAsia="zh-CN"/>
                    </w:rPr>
                    <w:t>/</w:t>
                  </w:r>
                </w:p>
              </w:tc>
              <w:tc>
                <w:tcPr>
                  <w:tcW w:w="1276" w:type="dxa"/>
                  <w:vAlign w:val="center"/>
                </w:tcPr>
                <w:p w14:paraId="7B589327">
                  <w:pPr>
                    <w:pStyle w:val="165"/>
                    <w:keepNext w:val="0"/>
                    <w:keepLines w:val="0"/>
                    <w:suppressLineNumbers w:val="0"/>
                    <w:snapToGrid w:val="0"/>
                    <w:spacing w:before="0" w:beforeAutospacing="0" w:after="0" w:afterAutospacing="0"/>
                    <w:ind w:left="0" w:right="0"/>
                    <w:jc w:val="center"/>
                    <w:rPr>
                      <w:rFonts w:hint="eastAsia" w:ascii="Times New Roman" w:hAnsi="Times New Roman" w:eastAsia="仿宋_GB2312"/>
                      <w:color w:val="auto"/>
                      <w:szCs w:val="21"/>
                      <w:lang w:val="en-US" w:eastAsia="zh-CN"/>
                    </w:rPr>
                  </w:pPr>
                  <w:r>
                    <w:rPr>
                      <w:rFonts w:hint="eastAsia" w:ascii="Times New Roman" w:hAnsi="Times New Roman"/>
                      <w:color w:val="auto"/>
                      <w:szCs w:val="21"/>
                      <w:lang w:val="en-US" w:eastAsia="zh-CN"/>
                    </w:rPr>
                    <w:t>/</w:t>
                  </w:r>
                </w:p>
              </w:tc>
              <w:tc>
                <w:tcPr>
                  <w:tcW w:w="1701" w:type="dxa"/>
                  <w:noWrap/>
                  <w:vAlign w:val="center"/>
                </w:tcPr>
                <w:p w14:paraId="1B609A32">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eastAsia" w:ascii="Times New Roman" w:hAnsi="Times New Roman"/>
                      <w:color w:val="auto"/>
                      <w:szCs w:val="21"/>
                      <w:lang w:val="en-US" w:eastAsia="zh-CN"/>
                    </w:rPr>
                    <w:t>0.118</w:t>
                  </w:r>
                </w:p>
              </w:tc>
              <w:tc>
                <w:tcPr>
                  <w:tcW w:w="1644" w:type="dxa"/>
                  <w:vAlign w:val="center"/>
                </w:tcPr>
                <w:p w14:paraId="519E0F53">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eastAsia" w:ascii="Times New Roman" w:hAnsi="Times New Roman"/>
                      <w:color w:val="auto"/>
                      <w:szCs w:val="21"/>
                      <w:lang w:val="en-US" w:eastAsia="zh-CN"/>
                    </w:rPr>
                    <w:t>0.022</w:t>
                  </w:r>
                </w:p>
              </w:tc>
            </w:tr>
            <w:tr w14:paraId="732C5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05" w:type="dxa"/>
                  <w:vMerge w:val="continue"/>
                  <w:vAlign w:val="center"/>
                </w:tcPr>
                <w:p w14:paraId="4BD20A5F">
                  <w:pPr>
                    <w:pStyle w:val="165"/>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p>
              </w:tc>
              <w:tc>
                <w:tcPr>
                  <w:tcW w:w="5897" w:type="dxa"/>
                  <w:gridSpan w:val="4"/>
                  <w:vAlign w:val="center"/>
                </w:tcPr>
                <w:p w14:paraId="7797876C">
                  <w:pPr>
                    <w:pStyle w:val="165"/>
                    <w:keepNext w:val="0"/>
                    <w:keepLines w:val="0"/>
                    <w:suppressLineNumbers w:val="0"/>
                    <w:snapToGrid w:val="0"/>
                    <w:spacing w:before="0" w:beforeAutospacing="0" w:after="0" w:afterAutospacing="0"/>
                    <w:ind w:left="0" w:right="0"/>
                    <w:jc w:val="center"/>
                    <w:rPr>
                      <w:rFonts w:hint="default" w:ascii="Times New Roman" w:hAnsi="Times New Roman" w:eastAsia="仿宋_GB2312"/>
                      <w:color w:val="auto"/>
                      <w:szCs w:val="21"/>
                      <w:lang w:val="en-US" w:eastAsia="zh-CN"/>
                    </w:rPr>
                  </w:pPr>
                  <w:r>
                    <w:rPr>
                      <w:rFonts w:hint="default" w:ascii="Times New Roman" w:hAnsi="Times New Roman"/>
                      <w:color w:val="auto"/>
                      <w:szCs w:val="21"/>
                    </w:rPr>
                    <w:t>合计0.</w:t>
                  </w:r>
                  <w:r>
                    <w:rPr>
                      <w:rFonts w:hint="eastAsia" w:ascii="Times New Roman" w:hAnsi="Times New Roman"/>
                      <w:color w:val="auto"/>
                      <w:szCs w:val="21"/>
                      <w:lang w:val="en-US" w:eastAsia="zh-CN"/>
                    </w:rPr>
                    <w:t>14</w:t>
                  </w:r>
                </w:p>
              </w:tc>
            </w:tr>
          </w:tbl>
          <w:p w14:paraId="505CBF8B">
            <w:pPr>
              <w:keepNext w:val="0"/>
              <w:keepLines w:val="0"/>
              <w:suppressLineNumbers w:val="0"/>
              <w:adjustRightInd w:val="0"/>
              <w:snapToGrid w:val="0"/>
              <w:spacing w:before="0" w:beforeAutospacing="0" w:after="0" w:afterAutospacing="0"/>
              <w:ind w:left="0" w:right="0"/>
              <w:jc w:val="center"/>
              <w:rPr>
                <w:rFonts w:hint="default" w:eastAsia="仿宋_GB2312"/>
                <w:b/>
                <w:color w:val="auto"/>
                <w:sz w:val="22"/>
                <w:szCs w:val="22"/>
              </w:rPr>
            </w:pPr>
            <w:r>
              <w:rPr>
                <w:rFonts w:hint="default" w:eastAsia="仿宋_GB2312"/>
                <w:b/>
                <w:color w:val="auto"/>
                <w:sz w:val="22"/>
                <w:szCs w:val="22"/>
              </w:rPr>
              <w:object>
                <v:shape id="_x0000_i1033" o:spt="75" type="#_x0000_t75" style="height:73.9pt;width:310.7pt;" o:ole="t" filled="f" o:preferrelative="t" stroked="f" coordsize="21600,21600">
                  <v:path/>
                  <v:fill on="f" focussize="0,0"/>
                  <v:stroke on="f"/>
                  <v:imagedata r:id="rId34" o:title=""/>
                  <o:lock v:ext="edit" aspectratio="f"/>
                  <w10:wrap type="none"/>
                  <w10:anchorlock/>
                </v:shape>
                <o:OLEObject Type="Embed" ProgID="Visio.Drawing.15" ShapeID="_x0000_i1033" DrawAspect="Content" ObjectID="_1468075733" r:id="rId33">
                  <o:LockedField>false</o:LockedField>
                </o:OLEObject>
              </w:object>
            </w:r>
          </w:p>
          <w:p w14:paraId="06043589">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highlight w:val="none"/>
              </w:rPr>
            </w:pPr>
            <w:r>
              <w:rPr>
                <w:rFonts w:hint="default" w:eastAsia="仿宋_GB2312"/>
                <w:b/>
                <w:color w:val="auto"/>
                <w:sz w:val="22"/>
                <w:szCs w:val="22"/>
                <w:highlight w:val="none"/>
              </w:rPr>
              <w:t>图2-</w:t>
            </w:r>
            <w:r>
              <w:rPr>
                <w:rFonts w:hint="eastAsia" w:eastAsia="仿宋_GB2312"/>
                <w:b/>
                <w:color w:val="auto"/>
                <w:sz w:val="22"/>
                <w:szCs w:val="22"/>
                <w:highlight w:val="none"/>
                <w:lang w:val="en-US" w:eastAsia="zh-CN"/>
              </w:rPr>
              <w:t>9</w:t>
            </w:r>
            <w:r>
              <w:rPr>
                <w:rFonts w:hint="default" w:eastAsia="仿宋_GB2312"/>
                <w:b/>
                <w:color w:val="auto"/>
                <w:sz w:val="22"/>
                <w:szCs w:val="22"/>
                <w:highlight w:val="none"/>
              </w:rPr>
              <w:t xml:space="preserve">  </w:t>
            </w:r>
            <w:r>
              <w:rPr>
                <w:rFonts w:hint="eastAsia" w:eastAsia="仿宋_GB2312"/>
                <w:b/>
                <w:color w:val="auto"/>
                <w:sz w:val="22"/>
                <w:szCs w:val="22"/>
                <w:highlight w:val="none"/>
                <w:lang w:val="en-US" w:eastAsia="zh-CN"/>
              </w:rPr>
              <w:t>P</w:t>
            </w:r>
            <w:r>
              <w:rPr>
                <w:rFonts w:hint="default" w:eastAsia="仿宋_GB2312"/>
                <w:b/>
                <w:color w:val="auto"/>
                <w:sz w:val="22"/>
                <w:szCs w:val="22"/>
                <w:highlight w:val="none"/>
              </w:rPr>
              <w:t>平衡图（t/a）</w:t>
            </w:r>
          </w:p>
          <w:p w14:paraId="13BD731F">
            <w:pPr>
              <w:keepNext w:val="0"/>
              <w:keepLines w:val="0"/>
              <w:suppressLineNumbers w:val="0"/>
              <w:adjustRightInd w:val="0"/>
              <w:snapToGrid w:val="0"/>
              <w:spacing w:before="0" w:beforeAutospacing="0" w:after="0" w:afterAutospacing="0" w:line="500" w:lineRule="exact"/>
              <w:ind w:left="0" w:right="0"/>
              <w:rPr>
                <w:rFonts w:hint="default" w:eastAsia="仿宋_GB2312"/>
                <w:b/>
                <w:bCs/>
                <w:color w:val="auto"/>
                <w:sz w:val="24"/>
                <w:highlight w:val="none"/>
              </w:rPr>
            </w:pPr>
            <w:r>
              <w:rPr>
                <w:rFonts w:hint="default" w:eastAsia="仿宋_GB2312"/>
                <w:b/>
                <w:bCs/>
                <w:color w:val="auto"/>
                <w:sz w:val="24"/>
                <w:highlight w:val="none"/>
              </w:rPr>
              <w:t>八、水平衡</w:t>
            </w:r>
          </w:p>
          <w:p w14:paraId="3BE27629">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本项目水平衡图见下图。</w:t>
            </w:r>
          </w:p>
          <w:p w14:paraId="45D1FE26">
            <w:pPr>
              <w:keepNext w:val="0"/>
              <w:keepLines w:val="0"/>
              <w:suppressLineNumbers w:val="0"/>
              <w:snapToGrid w:val="0"/>
              <w:spacing w:before="0" w:beforeAutospacing="0" w:after="0" w:afterAutospacing="0"/>
              <w:ind w:left="0" w:right="0"/>
              <w:rPr>
                <w:rFonts w:hint="default" w:eastAsia="仿宋_GB2312"/>
                <w:color w:val="auto"/>
                <w:sz w:val="24"/>
              </w:rPr>
            </w:pPr>
            <w:r>
              <w:rPr>
                <w:rFonts w:hint="default"/>
                <w:color w:val="auto"/>
              </w:rPr>
              <w:object>
                <v:shape id="_x0000_i1034" o:spt="75" type="#_x0000_t75" style="height:362.6pt;width:387.25pt;" o:ole="t" filled="f" o:preferrelative="t" stroked="f" coordsize="21600,21600">
                  <v:path/>
                  <v:fill on="f" focussize="0,0"/>
                  <v:stroke on="f"/>
                  <v:imagedata r:id="rId36" o:title=""/>
                  <o:lock v:ext="edit" aspectratio="t"/>
                  <w10:wrap type="none"/>
                  <w10:anchorlock/>
                </v:shape>
                <o:OLEObject Type="Embed" ProgID="Visio.Drawing.15" ShapeID="_x0000_i1034" DrawAspect="Content" ObjectID="_1468075734" r:id="rId35">
                  <o:LockedField>false</o:LockedField>
                </o:OLEObject>
              </w:object>
            </w:r>
          </w:p>
          <w:p w14:paraId="11AD46FA">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图2-</w:t>
            </w:r>
            <w:r>
              <w:rPr>
                <w:rFonts w:hint="eastAsia" w:eastAsia="仿宋_GB2312"/>
                <w:b/>
                <w:color w:val="auto"/>
                <w:sz w:val="22"/>
                <w:szCs w:val="22"/>
                <w:lang w:val="en-US" w:eastAsia="zh-CN"/>
              </w:rPr>
              <w:t>10</w:t>
            </w:r>
            <w:r>
              <w:rPr>
                <w:rFonts w:hint="default" w:eastAsia="仿宋_GB2312"/>
                <w:b/>
                <w:color w:val="auto"/>
                <w:sz w:val="22"/>
                <w:szCs w:val="22"/>
              </w:rPr>
              <w:t xml:space="preserve">  本项目水平衡图（m</w:t>
            </w:r>
            <w:r>
              <w:rPr>
                <w:rFonts w:hint="default" w:eastAsia="仿宋_GB2312"/>
                <w:b/>
                <w:color w:val="auto"/>
                <w:sz w:val="22"/>
                <w:szCs w:val="22"/>
                <w:vertAlign w:val="superscript"/>
              </w:rPr>
              <w:t>3</w:t>
            </w:r>
            <w:r>
              <w:rPr>
                <w:rFonts w:hint="default" w:eastAsia="仿宋_GB2312"/>
                <w:b/>
                <w:color w:val="auto"/>
                <w:sz w:val="22"/>
                <w:szCs w:val="22"/>
              </w:rPr>
              <w:t>/a）</w:t>
            </w:r>
          </w:p>
          <w:p w14:paraId="1F18C755">
            <w:pPr>
              <w:keepNext w:val="0"/>
              <w:keepLines w:val="0"/>
              <w:suppressLineNumbers w:val="0"/>
              <w:adjustRightInd w:val="0"/>
              <w:snapToGrid w:val="0"/>
              <w:spacing w:before="0" w:beforeAutospacing="0" w:after="0" w:afterAutospacing="0" w:line="500" w:lineRule="exact"/>
              <w:ind w:left="0" w:right="0"/>
              <w:rPr>
                <w:rFonts w:hint="default" w:eastAsia="仿宋_GB2312"/>
                <w:b/>
                <w:bCs/>
                <w:color w:val="auto"/>
                <w:sz w:val="24"/>
              </w:rPr>
            </w:pPr>
            <w:r>
              <w:rPr>
                <w:rFonts w:hint="eastAsia" w:eastAsia="仿宋_GB2312"/>
                <w:b/>
                <w:bCs/>
                <w:color w:val="auto"/>
                <w:sz w:val="24"/>
                <w:lang w:eastAsia="zh-CN"/>
              </w:rPr>
              <w:t>九</w:t>
            </w:r>
            <w:r>
              <w:rPr>
                <w:rFonts w:hint="default" w:eastAsia="仿宋_GB2312"/>
                <w:b/>
                <w:bCs/>
                <w:color w:val="auto"/>
                <w:sz w:val="24"/>
              </w:rPr>
              <w:t>、</w:t>
            </w:r>
            <w:r>
              <w:rPr>
                <w:rFonts w:hint="eastAsia" w:eastAsia="仿宋_GB2312"/>
                <w:b/>
                <w:bCs/>
                <w:color w:val="auto"/>
                <w:sz w:val="24"/>
                <w:lang w:eastAsia="zh-CN"/>
              </w:rPr>
              <w:t>蒸汽</w:t>
            </w:r>
            <w:r>
              <w:rPr>
                <w:rFonts w:hint="default" w:eastAsia="仿宋_GB2312"/>
                <w:b/>
                <w:bCs/>
                <w:color w:val="auto"/>
                <w:sz w:val="24"/>
              </w:rPr>
              <w:t>平衡</w:t>
            </w:r>
          </w:p>
          <w:p w14:paraId="5CDBA886">
            <w:pPr>
              <w:pStyle w:val="3"/>
              <w:keepNext w:val="0"/>
              <w:keepLines w:val="0"/>
              <w:suppressLineNumbers w:val="0"/>
              <w:spacing w:before="0" w:beforeAutospacing="0" w:after="0" w:afterAutospacing="0"/>
              <w:ind w:right="0"/>
              <w:rPr>
                <w:rFonts w:hint="default" w:eastAsia="仿宋_GB2312"/>
                <w:color w:val="auto"/>
                <w:sz w:val="24"/>
              </w:rPr>
            </w:pPr>
            <w:r>
              <w:rPr>
                <w:rFonts w:hint="default"/>
                <w:color w:val="auto"/>
              </w:rPr>
              <w:object>
                <v:shape id="_x0000_i1035" o:spt="75" type="#_x0000_t75" style="height:82.35pt;width:324pt;" o:ole="t" filled="f" o:preferrelative="t" stroked="f" coordsize="21600,21600">
                  <v:path/>
                  <v:fill on="f" focussize="0,0"/>
                  <v:stroke on="f" joinstyle="miter"/>
                  <v:imagedata r:id="rId38" o:title=""/>
                  <o:lock v:ext="edit" aspectratio="t"/>
                  <w10:wrap type="none"/>
                  <w10:anchorlock/>
                </v:shape>
                <o:OLEObject Type="Embed" ProgID="Visio.Drawing.15" ShapeID="_x0000_i1035" DrawAspect="Content" ObjectID="_1468075735" r:id="rId37">
                  <o:LockedField>false</o:LockedField>
                </o:OLEObject>
              </w:object>
            </w:r>
          </w:p>
          <w:p w14:paraId="17F0AC3E">
            <w:pPr>
              <w:keepNext w:val="0"/>
              <w:keepLines w:val="0"/>
              <w:suppressLineNumbers w:val="0"/>
              <w:adjustRightInd w:val="0"/>
              <w:snapToGrid w:val="0"/>
              <w:spacing w:before="0" w:beforeAutospacing="0" w:after="0" w:afterAutospacing="0" w:line="500" w:lineRule="exact"/>
              <w:ind w:left="0" w:right="0"/>
              <w:jc w:val="center"/>
              <w:rPr>
                <w:rFonts w:hint="eastAsia" w:eastAsia="仿宋_GB2312"/>
                <w:b/>
                <w:color w:val="auto"/>
                <w:sz w:val="22"/>
                <w:szCs w:val="22"/>
                <w:lang w:eastAsia="zh-CN"/>
              </w:rPr>
            </w:pPr>
            <w:r>
              <w:rPr>
                <w:rFonts w:hint="default" w:eastAsia="仿宋_GB2312"/>
                <w:b/>
                <w:color w:val="auto"/>
                <w:sz w:val="22"/>
                <w:szCs w:val="22"/>
              </w:rPr>
              <w:t>图</w:t>
            </w:r>
            <w:r>
              <w:rPr>
                <w:rFonts w:hint="eastAsia" w:eastAsia="仿宋_GB2312"/>
                <w:b/>
                <w:color w:val="auto"/>
                <w:sz w:val="22"/>
                <w:szCs w:val="22"/>
                <w:lang w:val="en-US" w:eastAsia="zh-CN"/>
              </w:rPr>
              <w:t>2-11</w:t>
            </w:r>
            <w:r>
              <w:rPr>
                <w:rFonts w:hint="default" w:eastAsia="仿宋_GB2312"/>
                <w:b/>
                <w:color w:val="auto"/>
                <w:sz w:val="22"/>
                <w:szCs w:val="22"/>
              </w:rPr>
              <w:t xml:space="preserve"> 全厂蒸汽平衡</w:t>
            </w:r>
            <w:r>
              <w:rPr>
                <w:rFonts w:hint="eastAsia" w:eastAsia="仿宋_GB2312"/>
                <w:b/>
                <w:color w:val="auto"/>
                <w:sz w:val="22"/>
                <w:szCs w:val="22"/>
                <w:lang w:eastAsia="zh-CN"/>
              </w:rPr>
              <w:t>（</w:t>
            </w:r>
            <w:r>
              <w:rPr>
                <w:rFonts w:hint="eastAsia" w:eastAsia="仿宋_GB2312"/>
                <w:b/>
                <w:color w:val="auto"/>
                <w:sz w:val="22"/>
                <w:szCs w:val="22"/>
                <w:lang w:val="en-US" w:eastAsia="zh-CN"/>
              </w:rPr>
              <w:t>t/a</w:t>
            </w:r>
            <w:r>
              <w:rPr>
                <w:rFonts w:hint="eastAsia" w:eastAsia="仿宋_GB2312"/>
                <w:b/>
                <w:color w:val="auto"/>
                <w:sz w:val="22"/>
                <w:szCs w:val="22"/>
                <w:lang w:eastAsia="zh-CN"/>
              </w:rPr>
              <w:t>）</w:t>
            </w:r>
          </w:p>
          <w:p w14:paraId="65107F05">
            <w:pPr>
              <w:pStyle w:val="3"/>
              <w:keepNext w:val="0"/>
              <w:keepLines w:val="0"/>
              <w:suppressLineNumbers w:val="0"/>
              <w:spacing w:before="0" w:beforeAutospacing="0" w:after="0" w:afterAutospacing="0"/>
              <w:ind w:right="0"/>
              <w:rPr>
                <w:rFonts w:hint="default" w:eastAsia="仿宋_GB2312"/>
                <w:color w:val="0000FF"/>
                <w:sz w:val="24"/>
              </w:rPr>
            </w:pPr>
          </w:p>
          <w:p w14:paraId="3A6F0193">
            <w:pPr>
              <w:pStyle w:val="3"/>
              <w:keepNext w:val="0"/>
              <w:keepLines w:val="0"/>
              <w:suppressLineNumbers w:val="0"/>
              <w:spacing w:before="0" w:beforeAutospacing="0" w:after="0" w:afterAutospacing="0"/>
              <w:ind w:right="0"/>
              <w:rPr>
                <w:rFonts w:hint="default" w:eastAsia="仿宋_GB2312"/>
                <w:color w:val="0000FF"/>
                <w:sz w:val="24"/>
              </w:rPr>
            </w:pPr>
          </w:p>
          <w:p w14:paraId="45B9D44D">
            <w:pPr>
              <w:pStyle w:val="3"/>
              <w:keepNext w:val="0"/>
              <w:keepLines w:val="0"/>
              <w:suppressLineNumbers w:val="0"/>
              <w:spacing w:before="0" w:beforeAutospacing="0" w:after="0" w:afterAutospacing="0"/>
              <w:ind w:right="0"/>
              <w:rPr>
                <w:rFonts w:hint="default" w:eastAsia="仿宋_GB2312"/>
                <w:color w:val="auto"/>
                <w:sz w:val="24"/>
              </w:rPr>
            </w:pPr>
          </w:p>
          <w:p w14:paraId="094910F5">
            <w:pPr>
              <w:pStyle w:val="3"/>
              <w:keepNext w:val="0"/>
              <w:keepLines w:val="0"/>
              <w:suppressLineNumbers w:val="0"/>
              <w:spacing w:before="0" w:beforeAutospacing="0" w:after="0" w:afterAutospacing="0"/>
              <w:ind w:right="0"/>
              <w:rPr>
                <w:rFonts w:hint="default" w:eastAsia="仿宋_GB2312"/>
                <w:color w:val="auto"/>
                <w:sz w:val="24"/>
              </w:rPr>
            </w:pPr>
          </w:p>
          <w:p w14:paraId="0EA3ACCF">
            <w:pPr>
              <w:pStyle w:val="3"/>
              <w:keepNext w:val="0"/>
              <w:keepLines w:val="0"/>
              <w:suppressLineNumbers w:val="0"/>
              <w:spacing w:before="0" w:beforeAutospacing="0" w:after="0" w:afterAutospacing="0"/>
              <w:ind w:right="0"/>
              <w:rPr>
                <w:rFonts w:hint="default" w:eastAsia="仿宋_GB2312"/>
                <w:color w:val="auto"/>
                <w:sz w:val="24"/>
              </w:rPr>
            </w:pPr>
          </w:p>
          <w:p w14:paraId="1AB49A5A">
            <w:pPr>
              <w:pStyle w:val="3"/>
              <w:keepNext w:val="0"/>
              <w:keepLines w:val="0"/>
              <w:suppressLineNumbers w:val="0"/>
              <w:spacing w:before="0" w:beforeAutospacing="0" w:after="0" w:afterAutospacing="0"/>
              <w:ind w:right="0"/>
              <w:rPr>
                <w:rFonts w:hint="default" w:eastAsia="仿宋_GB2312"/>
                <w:color w:val="auto"/>
                <w:sz w:val="24"/>
              </w:rPr>
            </w:pPr>
          </w:p>
          <w:p w14:paraId="66156F92">
            <w:pPr>
              <w:pStyle w:val="3"/>
              <w:keepNext w:val="0"/>
              <w:keepLines w:val="0"/>
              <w:suppressLineNumbers w:val="0"/>
              <w:spacing w:before="0" w:beforeAutospacing="0" w:after="0" w:afterAutospacing="0"/>
              <w:ind w:right="0"/>
              <w:rPr>
                <w:rFonts w:hint="default" w:eastAsia="仿宋_GB2312"/>
                <w:color w:val="auto"/>
                <w:sz w:val="24"/>
              </w:rPr>
            </w:pPr>
          </w:p>
          <w:p w14:paraId="06D90FC5">
            <w:pPr>
              <w:keepNext w:val="0"/>
              <w:keepLines w:val="0"/>
              <w:suppressLineNumbers w:val="0"/>
              <w:snapToGrid w:val="0"/>
              <w:spacing w:before="0" w:beforeAutospacing="0" w:after="0" w:afterAutospacing="0" w:line="500" w:lineRule="exact"/>
              <w:ind w:left="0" w:right="0"/>
              <w:rPr>
                <w:rFonts w:hint="default" w:eastAsia="仿宋_GB2312"/>
                <w:color w:val="auto"/>
                <w:sz w:val="24"/>
              </w:rPr>
            </w:pPr>
          </w:p>
        </w:tc>
      </w:tr>
    </w:tbl>
    <w:p w14:paraId="550D839F">
      <w:pPr>
        <w:widowControl/>
        <w:jc w:val="left"/>
        <w:rPr>
          <w:color w:val="auto"/>
        </w:rPr>
      </w:pPr>
      <w:r>
        <w:rPr>
          <w:color w:val="auto"/>
        </w:rPr>
        <w:br w:type="page"/>
      </w:r>
    </w:p>
    <w:tbl>
      <w:tblPr>
        <w:tblStyle w:val="87"/>
        <w:tblW w:w="52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140"/>
      </w:tblGrid>
      <w:tr w14:paraId="57B8D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6" w:type="dxa"/>
            <w:vAlign w:val="center"/>
          </w:tcPr>
          <w:p w14:paraId="048F6119">
            <w:pPr>
              <w:pStyle w:val="8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olor w:val="auto"/>
                <w:szCs w:val="24"/>
              </w:rPr>
            </w:pPr>
            <w:r>
              <w:rPr>
                <w:rFonts w:hint="default" w:ascii="Times New Roman" w:hAnsi="Times New Roman" w:eastAsia="仿宋_GB2312"/>
                <w:bCs/>
                <w:color w:val="auto"/>
                <w:kern w:val="2"/>
                <w:szCs w:val="24"/>
              </w:rPr>
              <w:t>与项目有关的原有环境污染问题</w:t>
            </w:r>
          </w:p>
        </w:tc>
        <w:tc>
          <w:tcPr>
            <w:tcW w:w="9140" w:type="dxa"/>
            <w:vAlign w:val="center"/>
          </w:tcPr>
          <w:p w14:paraId="4947078D">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1D35AD"/>
                <w:sz w:val="24"/>
              </w:rPr>
              <w:t>本项目位于金坛区金城科技产业园内，企业租赁的金坛区金城镇西城路118号厂房处于空置状态</w:t>
            </w:r>
            <w:r>
              <w:rPr>
                <w:rFonts w:hint="eastAsia" w:eastAsia="仿宋_GB2312"/>
                <w:color w:val="1D35AD"/>
                <w:sz w:val="24"/>
                <w:lang w:eastAsia="zh-CN"/>
              </w:rPr>
              <w:t>，历史上未进行生产</w:t>
            </w:r>
            <w:r>
              <w:rPr>
                <w:rFonts w:hint="eastAsia" w:eastAsia="仿宋_GB2312"/>
                <w:color w:val="1D35AD"/>
                <w:sz w:val="24"/>
                <w:lang w:val="en-US" w:eastAsia="zh-CN"/>
              </w:rPr>
              <w:t>，</w:t>
            </w:r>
            <w:r>
              <w:rPr>
                <w:rFonts w:hint="default" w:eastAsia="仿宋_GB2312"/>
                <w:color w:val="1D35AD"/>
                <w:sz w:val="24"/>
              </w:rPr>
              <w:t>属于新建项目，不存在遗留环境问题。</w:t>
            </w:r>
          </w:p>
          <w:p w14:paraId="04D0F15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E46B52D">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9455318">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4578BFE">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D9AA261">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7E14BA1">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4BC760A8">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42E87BDD">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0A359F0D">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E1231DE">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2A177809">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C45ECB9">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662F99F">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6A44E85">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43B072DF">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15CF8FF9">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DB96586">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CAA95C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485BA80">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2B11C2C3">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48F22C0B">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7E02CF2">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2FD86AB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A01A30F">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06B31791">
            <w:pPr>
              <w:keepNext w:val="0"/>
              <w:keepLines w:val="0"/>
              <w:suppressLineNumbers w:val="0"/>
              <w:snapToGrid w:val="0"/>
              <w:spacing w:before="0" w:beforeAutospacing="0" w:after="0" w:afterAutospacing="0" w:line="500" w:lineRule="exact"/>
              <w:ind w:left="0" w:right="0"/>
              <w:rPr>
                <w:rFonts w:hint="default" w:eastAsia="仿宋_GB2312"/>
                <w:color w:val="auto"/>
                <w:sz w:val="24"/>
              </w:rPr>
            </w:pPr>
          </w:p>
        </w:tc>
      </w:tr>
    </w:tbl>
    <w:p w14:paraId="4EBDA907">
      <w:pPr>
        <w:spacing w:line="40" w:lineRule="exact"/>
        <w:rPr>
          <w:rFonts w:eastAsia="仿宋_GB2312"/>
          <w:snapToGrid w:val="0"/>
          <w:color w:val="auto"/>
        </w:rPr>
      </w:pPr>
    </w:p>
    <w:p w14:paraId="7EECAB0E">
      <w:pPr>
        <w:widowControl/>
        <w:jc w:val="left"/>
        <w:rPr>
          <w:rFonts w:eastAsia="仿宋_GB2312"/>
          <w:b/>
          <w:snapToGrid w:val="0"/>
          <w:color w:val="auto"/>
          <w:kern w:val="0"/>
          <w:sz w:val="30"/>
          <w:szCs w:val="30"/>
        </w:rPr>
      </w:pPr>
      <w:r>
        <w:rPr>
          <w:rFonts w:eastAsia="仿宋_GB2312"/>
          <w:b/>
          <w:snapToGrid w:val="0"/>
          <w:color w:val="auto"/>
          <w:sz w:val="30"/>
          <w:szCs w:val="30"/>
        </w:rPr>
        <w:br w:type="page"/>
      </w:r>
    </w:p>
    <w:p w14:paraId="3BDAD613">
      <w:pPr>
        <w:pStyle w:val="81"/>
        <w:jc w:val="center"/>
        <w:outlineLvl w:val="0"/>
        <w:rPr>
          <w:rFonts w:ascii="Times New Roman" w:hAnsi="Times New Roman" w:eastAsia="仿宋_GB2312"/>
          <w:b/>
          <w:snapToGrid w:val="0"/>
          <w:color w:val="auto"/>
          <w:sz w:val="30"/>
          <w:szCs w:val="30"/>
        </w:rPr>
      </w:pPr>
      <w:r>
        <w:rPr>
          <w:rFonts w:ascii="Times New Roman" w:hAnsi="Times New Roman" w:eastAsia="仿宋_GB2312"/>
          <w:b/>
          <w:snapToGrid w:val="0"/>
          <w:color w:val="auto"/>
          <w:sz w:val="30"/>
          <w:szCs w:val="30"/>
        </w:rPr>
        <w:t>三、区域环境质量现状、环境保护目标及评价标准</w:t>
      </w:r>
    </w:p>
    <w:tbl>
      <w:tblPr>
        <w:tblStyle w:val="87"/>
        <w:tblW w:w="53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862"/>
      </w:tblGrid>
      <w:tr w14:paraId="1998B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3" w:hRule="atLeast"/>
          <w:jc w:val="center"/>
        </w:trPr>
        <w:tc>
          <w:tcPr>
            <w:tcW w:w="456" w:type="dxa"/>
            <w:vAlign w:val="center"/>
          </w:tcPr>
          <w:p w14:paraId="1A89EA4D">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区域</w:t>
            </w:r>
          </w:p>
          <w:p w14:paraId="1D010DC8">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环境</w:t>
            </w:r>
          </w:p>
          <w:p w14:paraId="6A6E12D5">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质量</w:t>
            </w:r>
          </w:p>
          <w:p w14:paraId="094D71A4">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现状</w:t>
            </w:r>
          </w:p>
        </w:tc>
        <w:tc>
          <w:tcPr>
            <w:tcW w:w="9204" w:type="dxa"/>
            <w:vAlign w:val="center"/>
          </w:tcPr>
          <w:p w14:paraId="536F4031">
            <w:pPr>
              <w:pStyle w:val="30"/>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一、环境质量标准</w:t>
            </w:r>
          </w:p>
          <w:p w14:paraId="5B8FB8A6">
            <w:pPr>
              <w:keepNext w:val="0"/>
              <w:keepLines w:val="0"/>
              <w:suppressLineNumbers w:val="0"/>
              <w:spacing w:before="0" w:beforeAutospacing="0" w:after="0" w:afterAutospacing="0" w:line="500" w:lineRule="exact"/>
              <w:ind w:left="0" w:right="0" w:firstLine="480" w:firstLineChars="200"/>
              <w:jc w:val="left"/>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1、环境空气</w:t>
            </w:r>
          </w:p>
          <w:p w14:paraId="7A734B7E">
            <w:pPr>
              <w:keepNext w:val="0"/>
              <w:keepLines w:val="0"/>
              <w:suppressLineNumbers w:val="0"/>
              <w:spacing w:before="0" w:beforeAutospacing="0" w:after="0" w:afterAutospacing="0" w:line="500" w:lineRule="exact"/>
              <w:ind w:left="0" w:right="0" w:firstLine="480" w:firstLineChars="200"/>
              <w:jc w:val="left"/>
              <w:rPr>
                <w:rFonts w:hint="default" w:ascii="Times New Roman" w:hAnsi="Times New Roman" w:eastAsia="仿宋_GB2312" w:cs="Times New Roman"/>
                <w:color w:val="auto"/>
                <w:sz w:val="24"/>
              </w:rPr>
            </w:pPr>
            <w:bookmarkStart w:id="32" w:name="_Hlk107564252"/>
            <w:r>
              <w:rPr>
                <w:rFonts w:hint="default" w:ascii="Times New Roman" w:hAnsi="Times New Roman" w:eastAsia="仿宋_GB2312" w:cs="Times New Roman"/>
                <w:color w:val="auto"/>
                <w:sz w:val="24"/>
              </w:rPr>
              <w:t>本项目环境空气质量标准见下表</w:t>
            </w:r>
            <w:bookmarkEnd w:id="32"/>
            <w:r>
              <w:rPr>
                <w:rFonts w:hint="default" w:ascii="Times New Roman" w:hAnsi="Times New Roman" w:eastAsia="仿宋_GB2312" w:cs="Times New Roman"/>
                <w:color w:val="auto"/>
                <w:sz w:val="24"/>
              </w:rPr>
              <w:t>。</w:t>
            </w:r>
            <w:bookmarkStart w:id="33" w:name="_Hlk495606068"/>
            <w:bookmarkStart w:id="34" w:name="_Hlk140068274"/>
          </w:p>
          <w:p w14:paraId="6E9B3BC0">
            <w:pPr>
              <w:keepNext w:val="0"/>
              <w:keepLines w:val="0"/>
              <w:suppressLineNumbers w:val="0"/>
              <w:spacing w:before="0" w:beforeAutospacing="0" w:after="0" w:afterAutospacing="0" w:line="460" w:lineRule="exact"/>
              <w:ind w:left="0" w:right="0"/>
              <w:jc w:val="center"/>
              <w:rPr>
                <w:rFonts w:hint="default" w:ascii="Times New Roman" w:hAnsi="Times New Roman" w:eastAsia="仿宋_GB2312" w:cs="Times New Roman"/>
                <w:b/>
                <w:color w:val="auto"/>
                <w:sz w:val="22"/>
                <w:szCs w:val="22"/>
                <w:vertAlign w:val="superscript"/>
              </w:rPr>
            </w:pPr>
            <w:r>
              <w:rPr>
                <w:rFonts w:hint="default" w:ascii="Times New Roman" w:hAnsi="Times New Roman" w:eastAsia="仿宋_GB2312" w:cs="Times New Roman"/>
                <w:b/>
                <w:color w:val="auto"/>
                <w:sz w:val="22"/>
                <w:szCs w:val="22"/>
              </w:rPr>
              <w:t>表3-1  环境空气质量标准</w:t>
            </w:r>
            <w:bookmarkEnd w:id="33"/>
            <w:r>
              <w:rPr>
                <w:rFonts w:hint="default" w:ascii="Times New Roman" w:hAnsi="Times New Roman" w:eastAsia="仿宋_GB2312" w:cs="Times New Roman"/>
                <w:b/>
                <w:color w:val="auto"/>
                <w:sz w:val="22"/>
                <w:szCs w:val="22"/>
              </w:rPr>
              <w:t xml:space="preserve">   单位：mg/m</w:t>
            </w:r>
            <w:r>
              <w:rPr>
                <w:rFonts w:hint="default" w:ascii="Times New Roman" w:hAnsi="Times New Roman" w:eastAsia="仿宋_GB2312" w:cs="Times New Roman"/>
                <w:b/>
                <w:color w:val="auto"/>
                <w:sz w:val="22"/>
                <w:szCs w:val="22"/>
                <w:vertAlign w:val="superscript"/>
              </w:rPr>
              <w:t>3</w:t>
            </w:r>
          </w:p>
          <w:tbl>
            <w:tblPr>
              <w:tblStyle w:val="87"/>
              <w:tblW w:w="84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07"/>
              <w:gridCol w:w="2973"/>
              <w:gridCol w:w="1353"/>
              <w:gridCol w:w="1353"/>
              <w:gridCol w:w="1353"/>
            </w:tblGrid>
            <w:tr w14:paraId="16CADE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vMerge w:val="restart"/>
                  <w:tcBorders>
                    <w:tl2br w:val="nil"/>
                    <w:tr2bl w:val="nil"/>
                  </w:tcBorders>
                  <w:vAlign w:val="center"/>
                </w:tcPr>
                <w:p w14:paraId="65FC2E97">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污染物</w:t>
                  </w:r>
                </w:p>
              </w:tc>
              <w:tc>
                <w:tcPr>
                  <w:tcW w:w="7032" w:type="dxa"/>
                  <w:gridSpan w:val="4"/>
                  <w:tcBorders>
                    <w:tl2br w:val="nil"/>
                    <w:tr2bl w:val="nil"/>
                  </w:tcBorders>
                  <w:vAlign w:val="center"/>
                </w:tcPr>
                <w:p w14:paraId="7C77DA74">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环境质量标准（mg/m</w:t>
                  </w:r>
                  <w:r>
                    <w:rPr>
                      <w:rFonts w:hint="default" w:ascii="Times New Roman" w:hAnsi="Times New Roman" w:eastAsia="仿宋_GB2312" w:cs="Times New Roman"/>
                      <w:b/>
                      <w:bCs/>
                      <w:color w:val="auto"/>
                      <w:szCs w:val="21"/>
                      <w:vertAlign w:val="superscript"/>
                    </w:rPr>
                    <w:t>3</w:t>
                  </w:r>
                  <w:r>
                    <w:rPr>
                      <w:rFonts w:hint="default" w:ascii="Times New Roman" w:hAnsi="Times New Roman" w:eastAsia="仿宋_GB2312" w:cs="Times New Roman"/>
                      <w:b/>
                      <w:bCs/>
                      <w:color w:val="auto"/>
                      <w:szCs w:val="21"/>
                    </w:rPr>
                    <w:t>）</w:t>
                  </w:r>
                </w:p>
              </w:tc>
            </w:tr>
            <w:tr w14:paraId="3BA912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vMerge w:val="continue"/>
                  <w:tcBorders>
                    <w:tl2br w:val="nil"/>
                    <w:tr2bl w:val="nil"/>
                  </w:tcBorders>
                  <w:vAlign w:val="center"/>
                </w:tcPr>
                <w:p w14:paraId="2A6CC0B0">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
                      <w:bCs/>
                      <w:color w:val="auto"/>
                      <w:szCs w:val="21"/>
                    </w:rPr>
                  </w:pPr>
                </w:p>
              </w:tc>
              <w:tc>
                <w:tcPr>
                  <w:tcW w:w="2973" w:type="dxa"/>
                  <w:tcBorders>
                    <w:tl2br w:val="nil"/>
                    <w:tr2bl w:val="nil"/>
                  </w:tcBorders>
                  <w:vAlign w:val="center"/>
                </w:tcPr>
                <w:p w14:paraId="0B06A8E2">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标准来源</w:t>
                  </w:r>
                </w:p>
              </w:tc>
              <w:tc>
                <w:tcPr>
                  <w:tcW w:w="1353" w:type="dxa"/>
                  <w:tcBorders>
                    <w:tl2br w:val="nil"/>
                    <w:tr2bl w:val="nil"/>
                  </w:tcBorders>
                  <w:vAlign w:val="center"/>
                </w:tcPr>
                <w:p w14:paraId="1F38A060">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1h平均</w:t>
                  </w:r>
                </w:p>
              </w:tc>
              <w:tc>
                <w:tcPr>
                  <w:tcW w:w="1353" w:type="dxa"/>
                  <w:tcBorders>
                    <w:tl2br w:val="nil"/>
                    <w:tr2bl w:val="nil"/>
                  </w:tcBorders>
                  <w:vAlign w:val="center"/>
                </w:tcPr>
                <w:p w14:paraId="1F1AAE41">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日平均</w:t>
                  </w:r>
                </w:p>
              </w:tc>
              <w:tc>
                <w:tcPr>
                  <w:tcW w:w="1353" w:type="dxa"/>
                  <w:tcBorders>
                    <w:tl2br w:val="nil"/>
                    <w:tr2bl w:val="nil"/>
                  </w:tcBorders>
                  <w:vAlign w:val="center"/>
                </w:tcPr>
                <w:p w14:paraId="56434BEB">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年平均</w:t>
                  </w:r>
                </w:p>
              </w:tc>
            </w:tr>
            <w:tr w14:paraId="196B8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71EECD6F">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SO</w:t>
                  </w:r>
                  <w:r>
                    <w:rPr>
                      <w:rFonts w:hint="default" w:ascii="Times New Roman" w:hAnsi="Times New Roman" w:eastAsia="仿宋_GB2312" w:cs="Times New Roman"/>
                      <w:bCs/>
                      <w:color w:val="auto"/>
                      <w:szCs w:val="21"/>
                      <w:vertAlign w:val="subscript"/>
                    </w:rPr>
                    <w:t>2</w:t>
                  </w:r>
                </w:p>
              </w:tc>
              <w:tc>
                <w:tcPr>
                  <w:tcW w:w="2973" w:type="dxa"/>
                  <w:vMerge w:val="restart"/>
                  <w:tcBorders>
                    <w:tl2br w:val="nil"/>
                    <w:tr2bl w:val="nil"/>
                  </w:tcBorders>
                  <w:vAlign w:val="center"/>
                </w:tcPr>
                <w:p w14:paraId="22132512">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《环境空气质量标准》（GB3095-2012）</w:t>
                  </w:r>
                  <w:r>
                    <w:rPr>
                      <w:rFonts w:hint="default" w:ascii="Times New Roman" w:hAnsi="Times New Roman" w:eastAsia="仿宋_GB2312" w:cs="Times New Roman"/>
                      <w:color w:val="auto"/>
                      <w:szCs w:val="21"/>
                    </w:rPr>
                    <w:t>二级标准</w:t>
                  </w:r>
                </w:p>
              </w:tc>
              <w:tc>
                <w:tcPr>
                  <w:tcW w:w="1353" w:type="dxa"/>
                  <w:tcBorders>
                    <w:tl2br w:val="nil"/>
                    <w:tr2bl w:val="nil"/>
                  </w:tcBorders>
                  <w:vAlign w:val="center"/>
                </w:tcPr>
                <w:p w14:paraId="0FF8B56B">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0.5</w:t>
                  </w:r>
                </w:p>
              </w:tc>
              <w:tc>
                <w:tcPr>
                  <w:tcW w:w="1353" w:type="dxa"/>
                  <w:tcBorders>
                    <w:tl2br w:val="nil"/>
                    <w:tr2bl w:val="nil"/>
                  </w:tcBorders>
                  <w:vAlign w:val="center"/>
                </w:tcPr>
                <w:p w14:paraId="4B7B0EB4">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0.15</w:t>
                  </w:r>
                </w:p>
              </w:tc>
              <w:tc>
                <w:tcPr>
                  <w:tcW w:w="1353" w:type="dxa"/>
                  <w:tcBorders>
                    <w:tl2br w:val="nil"/>
                    <w:tr2bl w:val="nil"/>
                  </w:tcBorders>
                  <w:vAlign w:val="center"/>
                </w:tcPr>
                <w:p w14:paraId="35BA77D0">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0.06</w:t>
                  </w:r>
                </w:p>
              </w:tc>
            </w:tr>
            <w:tr w14:paraId="5C790C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6C676830">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NO</w:t>
                  </w:r>
                  <w:r>
                    <w:rPr>
                      <w:rFonts w:hint="default" w:ascii="Times New Roman" w:hAnsi="Times New Roman" w:eastAsia="仿宋_GB2312" w:cs="Times New Roman"/>
                      <w:bCs/>
                      <w:color w:val="auto"/>
                      <w:szCs w:val="21"/>
                      <w:vertAlign w:val="subscript"/>
                    </w:rPr>
                    <w:t>2</w:t>
                  </w:r>
                </w:p>
              </w:tc>
              <w:tc>
                <w:tcPr>
                  <w:tcW w:w="2973" w:type="dxa"/>
                  <w:vMerge w:val="continue"/>
                  <w:tcBorders>
                    <w:tl2br w:val="nil"/>
                    <w:tr2bl w:val="nil"/>
                  </w:tcBorders>
                  <w:vAlign w:val="center"/>
                </w:tcPr>
                <w:p w14:paraId="13969D99">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p>
              </w:tc>
              <w:tc>
                <w:tcPr>
                  <w:tcW w:w="1353" w:type="dxa"/>
                  <w:tcBorders>
                    <w:tl2br w:val="nil"/>
                    <w:tr2bl w:val="nil"/>
                  </w:tcBorders>
                  <w:vAlign w:val="center"/>
                </w:tcPr>
                <w:p w14:paraId="12196F4C">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0.2</w:t>
                  </w:r>
                </w:p>
              </w:tc>
              <w:tc>
                <w:tcPr>
                  <w:tcW w:w="1353" w:type="dxa"/>
                  <w:tcBorders>
                    <w:tl2br w:val="nil"/>
                    <w:tr2bl w:val="nil"/>
                  </w:tcBorders>
                  <w:vAlign w:val="center"/>
                </w:tcPr>
                <w:p w14:paraId="1699CDAE">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0.08</w:t>
                  </w:r>
                </w:p>
              </w:tc>
              <w:tc>
                <w:tcPr>
                  <w:tcW w:w="1353" w:type="dxa"/>
                  <w:tcBorders>
                    <w:tl2br w:val="nil"/>
                    <w:tr2bl w:val="nil"/>
                  </w:tcBorders>
                  <w:vAlign w:val="center"/>
                </w:tcPr>
                <w:p w14:paraId="75537BF2">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0.04</w:t>
                  </w:r>
                </w:p>
              </w:tc>
            </w:tr>
            <w:tr w14:paraId="379E4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79484849">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lang w:val="en-US"/>
                    </w:rPr>
                  </w:pPr>
                  <w:r>
                    <w:rPr>
                      <w:rFonts w:hint="default" w:ascii="Times New Roman" w:hAnsi="Times New Roman" w:eastAsia="仿宋_GB2312" w:cs="Times New Roman"/>
                      <w:bCs/>
                      <w:color w:val="auto"/>
                      <w:szCs w:val="21"/>
                    </w:rPr>
                    <w:t>NO</w:t>
                  </w:r>
                  <w:r>
                    <w:rPr>
                      <w:rFonts w:hint="default" w:ascii="Times New Roman" w:hAnsi="Times New Roman" w:eastAsia="仿宋_GB2312" w:cs="Times New Roman"/>
                      <w:bCs/>
                      <w:color w:val="auto"/>
                      <w:szCs w:val="21"/>
                      <w:vertAlign w:val="subscript"/>
                      <w:lang w:val="en-US"/>
                    </w:rPr>
                    <w:t>X</w:t>
                  </w:r>
                </w:p>
              </w:tc>
              <w:tc>
                <w:tcPr>
                  <w:tcW w:w="2973" w:type="dxa"/>
                  <w:vMerge w:val="continue"/>
                  <w:tcBorders>
                    <w:tl2br w:val="nil"/>
                    <w:tr2bl w:val="nil"/>
                  </w:tcBorders>
                  <w:vAlign w:val="center"/>
                </w:tcPr>
                <w:p w14:paraId="6A35D3EC">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p>
              </w:tc>
              <w:tc>
                <w:tcPr>
                  <w:tcW w:w="1353" w:type="dxa"/>
                  <w:tcBorders>
                    <w:tl2br w:val="nil"/>
                    <w:tr2bl w:val="nil"/>
                  </w:tcBorders>
                  <w:vAlign w:val="center"/>
                </w:tcPr>
                <w:p w14:paraId="467A1E91">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lang w:val="en-US"/>
                    </w:rPr>
                  </w:pPr>
                  <w:r>
                    <w:rPr>
                      <w:rFonts w:hint="default" w:ascii="Times New Roman" w:hAnsi="Times New Roman" w:eastAsia="仿宋_GB2312" w:cs="Times New Roman"/>
                      <w:bCs/>
                      <w:color w:val="auto"/>
                      <w:szCs w:val="21"/>
                      <w:lang w:val="en-US"/>
                    </w:rPr>
                    <w:t>0.25</w:t>
                  </w:r>
                </w:p>
              </w:tc>
              <w:tc>
                <w:tcPr>
                  <w:tcW w:w="1353" w:type="dxa"/>
                  <w:tcBorders>
                    <w:tl2br w:val="nil"/>
                    <w:tr2bl w:val="nil"/>
                  </w:tcBorders>
                  <w:vAlign w:val="center"/>
                </w:tcPr>
                <w:p w14:paraId="5F729E7C">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lang w:val="en-US"/>
                    </w:rPr>
                  </w:pPr>
                  <w:r>
                    <w:rPr>
                      <w:rFonts w:hint="default" w:ascii="Times New Roman" w:hAnsi="Times New Roman" w:eastAsia="仿宋_GB2312" w:cs="Times New Roman"/>
                      <w:bCs/>
                      <w:color w:val="auto"/>
                      <w:szCs w:val="21"/>
                      <w:lang w:val="en-US"/>
                    </w:rPr>
                    <w:t>0.1</w:t>
                  </w:r>
                </w:p>
              </w:tc>
              <w:tc>
                <w:tcPr>
                  <w:tcW w:w="1353" w:type="dxa"/>
                  <w:tcBorders>
                    <w:tl2br w:val="nil"/>
                    <w:tr2bl w:val="nil"/>
                  </w:tcBorders>
                  <w:vAlign w:val="center"/>
                </w:tcPr>
                <w:p w14:paraId="783A848F">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lang w:val="en-US"/>
                    </w:rPr>
                  </w:pPr>
                  <w:r>
                    <w:rPr>
                      <w:rFonts w:hint="default" w:ascii="Times New Roman" w:hAnsi="Times New Roman" w:eastAsia="仿宋_GB2312" w:cs="Times New Roman"/>
                      <w:bCs/>
                      <w:color w:val="auto"/>
                      <w:szCs w:val="21"/>
                      <w:lang w:val="en-US"/>
                    </w:rPr>
                    <w:t>0.05</w:t>
                  </w:r>
                </w:p>
              </w:tc>
            </w:tr>
            <w:tr w14:paraId="04981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6AF4F5F0">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CO</w:t>
                  </w:r>
                </w:p>
              </w:tc>
              <w:tc>
                <w:tcPr>
                  <w:tcW w:w="2973" w:type="dxa"/>
                  <w:vMerge w:val="continue"/>
                  <w:tcBorders>
                    <w:tl2br w:val="nil"/>
                    <w:tr2bl w:val="nil"/>
                  </w:tcBorders>
                  <w:vAlign w:val="center"/>
                </w:tcPr>
                <w:p w14:paraId="4DC36263">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p>
              </w:tc>
              <w:tc>
                <w:tcPr>
                  <w:tcW w:w="1353" w:type="dxa"/>
                  <w:tcBorders>
                    <w:tl2br w:val="nil"/>
                    <w:tr2bl w:val="nil"/>
                  </w:tcBorders>
                  <w:vAlign w:val="center"/>
                </w:tcPr>
                <w:p w14:paraId="470D8916">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10</w:t>
                  </w:r>
                </w:p>
              </w:tc>
              <w:tc>
                <w:tcPr>
                  <w:tcW w:w="1353" w:type="dxa"/>
                  <w:tcBorders>
                    <w:tl2br w:val="nil"/>
                    <w:tr2bl w:val="nil"/>
                  </w:tcBorders>
                  <w:vAlign w:val="center"/>
                </w:tcPr>
                <w:p w14:paraId="295C10BA">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4</w:t>
                  </w:r>
                </w:p>
              </w:tc>
              <w:tc>
                <w:tcPr>
                  <w:tcW w:w="1353" w:type="dxa"/>
                  <w:tcBorders>
                    <w:tl2br w:val="nil"/>
                    <w:tr2bl w:val="nil"/>
                  </w:tcBorders>
                  <w:vAlign w:val="center"/>
                </w:tcPr>
                <w:p w14:paraId="135934E7">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w:t>
                  </w:r>
                </w:p>
              </w:tc>
            </w:tr>
            <w:tr w14:paraId="2A91B2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3F9D474D">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O</w:t>
                  </w:r>
                  <w:r>
                    <w:rPr>
                      <w:rFonts w:hint="default" w:ascii="Times New Roman" w:hAnsi="Times New Roman" w:eastAsia="仿宋_GB2312" w:cs="Times New Roman"/>
                      <w:bCs/>
                      <w:color w:val="auto"/>
                      <w:szCs w:val="21"/>
                      <w:vertAlign w:val="subscript"/>
                    </w:rPr>
                    <w:t>3</w:t>
                  </w:r>
                </w:p>
              </w:tc>
              <w:tc>
                <w:tcPr>
                  <w:tcW w:w="2973" w:type="dxa"/>
                  <w:vMerge w:val="continue"/>
                  <w:tcBorders>
                    <w:tl2br w:val="nil"/>
                    <w:tr2bl w:val="nil"/>
                  </w:tcBorders>
                  <w:vAlign w:val="center"/>
                </w:tcPr>
                <w:p w14:paraId="371297B0">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p>
              </w:tc>
              <w:tc>
                <w:tcPr>
                  <w:tcW w:w="1353" w:type="dxa"/>
                  <w:tcBorders>
                    <w:tl2br w:val="nil"/>
                    <w:tr2bl w:val="nil"/>
                  </w:tcBorders>
                  <w:vAlign w:val="center"/>
                </w:tcPr>
                <w:p w14:paraId="23552782">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0.2</w:t>
                  </w:r>
                </w:p>
              </w:tc>
              <w:tc>
                <w:tcPr>
                  <w:tcW w:w="1353" w:type="dxa"/>
                  <w:tcBorders>
                    <w:tl2br w:val="nil"/>
                    <w:tr2bl w:val="nil"/>
                  </w:tcBorders>
                  <w:vAlign w:val="center"/>
                </w:tcPr>
                <w:p w14:paraId="70ED7069">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0.16</w:t>
                  </w:r>
                </w:p>
                <w:p w14:paraId="4440BF58">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（8h平均</w:t>
                  </w:r>
                  <w:r>
                    <w:rPr>
                      <w:rFonts w:hint="default" w:ascii="Times New Roman" w:hAnsi="Times New Roman" w:eastAsia="仿宋_GB2312" w:cs="Times New Roman"/>
                      <w:color w:val="auto"/>
                      <w:szCs w:val="21"/>
                    </w:rPr>
                    <w:t>）</w:t>
                  </w:r>
                </w:p>
              </w:tc>
              <w:tc>
                <w:tcPr>
                  <w:tcW w:w="1353" w:type="dxa"/>
                  <w:tcBorders>
                    <w:tl2br w:val="nil"/>
                    <w:tr2bl w:val="nil"/>
                  </w:tcBorders>
                  <w:vAlign w:val="center"/>
                </w:tcPr>
                <w:p w14:paraId="5F0A461B">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w:t>
                  </w:r>
                </w:p>
              </w:tc>
            </w:tr>
            <w:tr w14:paraId="2D9706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5641B617">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PM</w:t>
                  </w:r>
                  <w:r>
                    <w:rPr>
                      <w:rFonts w:hint="default" w:ascii="Times New Roman" w:hAnsi="Times New Roman" w:eastAsia="仿宋_GB2312" w:cs="Times New Roman"/>
                      <w:bCs/>
                      <w:color w:val="auto"/>
                      <w:szCs w:val="21"/>
                      <w:vertAlign w:val="subscript"/>
                    </w:rPr>
                    <w:t>10</w:t>
                  </w:r>
                </w:p>
              </w:tc>
              <w:tc>
                <w:tcPr>
                  <w:tcW w:w="2973" w:type="dxa"/>
                  <w:vMerge w:val="continue"/>
                  <w:tcBorders>
                    <w:tl2br w:val="nil"/>
                    <w:tr2bl w:val="nil"/>
                  </w:tcBorders>
                  <w:vAlign w:val="center"/>
                </w:tcPr>
                <w:p w14:paraId="257ADC88">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p>
              </w:tc>
              <w:tc>
                <w:tcPr>
                  <w:tcW w:w="1353" w:type="dxa"/>
                  <w:tcBorders>
                    <w:tl2br w:val="nil"/>
                    <w:tr2bl w:val="nil"/>
                  </w:tcBorders>
                  <w:vAlign w:val="center"/>
                </w:tcPr>
                <w:p w14:paraId="70E2BAA5">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w:t>
                  </w:r>
                </w:p>
              </w:tc>
              <w:tc>
                <w:tcPr>
                  <w:tcW w:w="1353" w:type="dxa"/>
                  <w:tcBorders>
                    <w:tl2br w:val="nil"/>
                    <w:tr2bl w:val="nil"/>
                  </w:tcBorders>
                  <w:vAlign w:val="center"/>
                </w:tcPr>
                <w:p w14:paraId="4EB1E6BE">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0.15</w:t>
                  </w:r>
                </w:p>
              </w:tc>
              <w:tc>
                <w:tcPr>
                  <w:tcW w:w="1353" w:type="dxa"/>
                  <w:tcBorders>
                    <w:tl2br w:val="nil"/>
                    <w:tr2bl w:val="nil"/>
                  </w:tcBorders>
                  <w:vAlign w:val="center"/>
                </w:tcPr>
                <w:p w14:paraId="4BF0AC63">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0.07</w:t>
                  </w:r>
                </w:p>
              </w:tc>
            </w:tr>
            <w:tr w14:paraId="27CDC5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046654C5">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PM</w:t>
                  </w:r>
                  <w:r>
                    <w:rPr>
                      <w:rFonts w:hint="default" w:ascii="Times New Roman" w:hAnsi="Times New Roman" w:eastAsia="仿宋_GB2312" w:cs="Times New Roman"/>
                      <w:bCs/>
                      <w:color w:val="auto"/>
                      <w:szCs w:val="21"/>
                      <w:vertAlign w:val="subscript"/>
                    </w:rPr>
                    <w:t>2.5</w:t>
                  </w:r>
                </w:p>
              </w:tc>
              <w:tc>
                <w:tcPr>
                  <w:tcW w:w="2973" w:type="dxa"/>
                  <w:vMerge w:val="continue"/>
                  <w:tcBorders>
                    <w:tl2br w:val="nil"/>
                    <w:tr2bl w:val="nil"/>
                  </w:tcBorders>
                  <w:vAlign w:val="center"/>
                </w:tcPr>
                <w:p w14:paraId="3B5EC33B">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p>
              </w:tc>
              <w:tc>
                <w:tcPr>
                  <w:tcW w:w="1353" w:type="dxa"/>
                  <w:tcBorders>
                    <w:tl2br w:val="nil"/>
                    <w:tr2bl w:val="nil"/>
                  </w:tcBorders>
                  <w:vAlign w:val="center"/>
                </w:tcPr>
                <w:p w14:paraId="6DBB55E6">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w:t>
                  </w:r>
                </w:p>
              </w:tc>
              <w:tc>
                <w:tcPr>
                  <w:tcW w:w="1353" w:type="dxa"/>
                  <w:tcBorders>
                    <w:tl2br w:val="nil"/>
                    <w:tr2bl w:val="nil"/>
                  </w:tcBorders>
                  <w:vAlign w:val="center"/>
                </w:tcPr>
                <w:p w14:paraId="5678486F">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0.075</w:t>
                  </w:r>
                </w:p>
              </w:tc>
              <w:tc>
                <w:tcPr>
                  <w:tcW w:w="1353" w:type="dxa"/>
                  <w:tcBorders>
                    <w:tl2br w:val="nil"/>
                    <w:tr2bl w:val="nil"/>
                  </w:tcBorders>
                  <w:vAlign w:val="center"/>
                </w:tcPr>
                <w:p w14:paraId="5A5BE29D">
                  <w:pPr>
                    <w:pStyle w:val="1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0.035</w:t>
                  </w:r>
                </w:p>
              </w:tc>
            </w:tr>
            <w:tr w14:paraId="0C83AD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6FA9031C">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氨</w:t>
                  </w:r>
                </w:p>
              </w:tc>
              <w:tc>
                <w:tcPr>
                  <w:tcW w:w="2973" w:type="dxa"/>
                  <w:vMerge w:val="restart"/>
                  <w:tcBorders>
                    <w:tl2br w:val="nil"/>
                    <w:tr2bl w:val="nil"/>
                  </w:tcBorders>
                  <w:vAlign w:val="center"/>
                </w:tcPr>
                <w:p w14:paraId="6D45BDA2">
                  <w:pPr>
                    <w:pStyle w:val="7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《环境影响评价技术导则 大气环境》（HJ2.2-2018）附录D</w:t>
                  </w:r>
                </w:p>
              </w:tc>
              <w:tc>
                <w:tcPr>
                  <w:tcW w:w="1353" w:type="dxa"/>
                  <w:tcBorders>
                    <w:tl2br w:val="nil"/>
                    <w:tr2bl w:val="nil"/>
                  </w:tcBorders>
                  <w:vAlign w:val="center"/>
                </w:tcPr>
                <w:p w14:paraId="679BAD5D">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0.2</w:t>
                  </w:r>
                </w:p>
              </w:tc>
              <w:tc>
                <w:tcPr>
                  <w:tcW w:w="1353" w:type="dxa"/>
                  <w:tcBorders>
                    <w:tl2br w:val="nil"/>
                    <w:tr2bl w:val="nil"/>
                  </w:tcBorders>
                  <w:vAlign w:val="center"/>
                </w:tcPr>
                <w:p w14:paraId="1C4A3556">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w:t>
                  </w:r>
                </w:p>
              </w:tc>
              <w:tc>
                <w:tcPr>
                  <w:tcW w:w="1353" w:type="dxa"/>
                  <w:tcBorders>
                    <w:tl2br w:val="nil"/>
                    <w:tr2bl w:val="nil"/>
                  </w:tcBorders>
                  <w:vAlign w:val="center"/>
                </w:tcPr>
                <w:p w14:paraId="3092E69C">
                  <w:pPr>
                    <w:pStyle w:val="7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r>
            <w:tr w14:paraId="21C209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4C31D825">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硫化氢</w:t>
                  </w:r>
                </w:p>
              </w:tc>
              <w:tc>
                <w:tcPr>
                  <w:tcW w:w="2973" w:type="dxa"/>
                  <w:vMerge w:val="continue"/>
                  <w:tcBorders>
                    <w:tl2br w:val="nil"/>
                    <w:tr2bl w:val="nil"/>
                  </w:tcBorders>
                  <w:vAlign w:val="center"/>
                </w:tcPr>
                <w:p w14:paraId="77FF489B">
                  <w:pPr>
                    <w:pStyle w:val="7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highlight w:val="yellow"/>
                    </w:rPr>
                  </w:pPr>
                </w:p>
              </w:tc>
              <w:tc>
                <w:tcPr>
                  <w:tcW w:w="1353" w:type="dxa"/>
                  <w:tcBorders>
                    <w:tl2br w:val="nil"/>
                    <w:tr2bl w:val="nil"/>
                  </w:tcBorders>
                  <w:vAlign w:val="center"/>
                </w:tcPr>
                <w:p w14:paraId="5F7B9BB0">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0.01</w:t>
                  </w:r>
                </w:p>
              </w:tc>
              <w:tc>
                <w:tcPr>
                  <w:tcW w:w="1353" w:type="dxa"/>
                  <w:tcBorders>
                    <w:tl2br w:val="nil"/>
                    <w:tr2bl w:val="nil"/>
                  </w:tcBorders>
                  <w:vAlign w:val="center"/>
                </w:tcPr>
                <w:p w14:paraId="1265E93B">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1353" w:type="dxa"/>
                  <w:tcBorders>
                    <w:tl2br w:val="nil"/>
                    <w:tr2bl w:val="nil"/>
                  </w:tcBorders>
                  <w:vAlign w:val="center"/>
                </w:tcPr>
                <w:p w14:paraId="196F7AEF">
                  <w:pPr>
                    <w:pStyle w:val="7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r>
            <w:tr w14:paraId="136A00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6F90F28E">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氯化氢</w:t>
                  </w:r>
                </w:p>
              </w:tc>
              <w:tc>
                <w:tcPr>
                  <w:tcW w:w="2973" w:type="dxa"/>
                  <w:vMerge w:val="continue"/>
                  <w:tcBorders>
                    <w:tl2br w:val="nil"/>
                    <w:tr2bl w:val="nil"/>
                  </w:tcBorders>
                  <w:vAlign w:val="center"/>
                </w:tcPr>
                <w:p w14:paraId="3962C053">
                  <w:pPr>
                    <w:pStyle w:val="7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highlight w:val="yellow"/>
                    </w:rPr>
                  </w:pPr>
                </w:p>
              </w:tc>
              <w:tc>
                <w:tcPr>
                  <w:tcW w:w="1353" w:type="dxa"/>
                  <w:tcBorders>
                    <w:tl2br w:val="nil"/>
                    <w:tr2bl w:val="nil"/>
                  </w:tcBorders>
                  <w:vAlign w:val="center"/>
                </w:tcPr>
                <w:p w14:paraId="457C4A8D">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0.05</w:t>
                  </w:r>
                </w:p>
              </w:tc>
              <w:tc>
                <w:tcPr>
                  <w:tcW w:w="1353" w:type="dxa"/>
                  <w:tcBorders>
                    <w:tl2br w:val="nil"/>
                    <w:tr2bl w:val="nil"/>
                  </w:tcBorders>
                  <w:vAlign w:val="center"/>
                </w:tcPr>
                <w:p w14:paraId="3D487B5C">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0.015</w:t>
                  </w:r>
                </w:p>
              </w:tc>
              <w:tc>
                <w:tcPr>
                  <w:tcW w:w="1353" w:type="dxa"/>
                  <w:tcBorders>
                    <w:tl2br w:val="nil"/>
                    <w:tr2bl w:val="nil"/>
                  </w:tcBorders>
                  <w:vAlign w:val="center"/>
                </w:tcPr>
                <w:p w14:paraId="35750A12">
                  <w:pPr>
                    <w:pStyle w:val="7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r>
            <w:tr w14:paraId="6AE567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vAlign w:val="center"/>
                </w:tcPr>
                <w:p w14:paraId="083C0F71">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非甲烷总烃</w:t>
                  </w:r>
                </w:p>
              </w:tc>
              <w:tc>
                <w:tcPr>
                  <w:tcW w:w="2973" w:type="dxa"/>
                  <w:tcBorders>
                    <w:tl2br w:val="nil"/>
                    <w:tr2bl w:val="nil"/>
                  </w:tcBorders>
                  <w:vAlign w:val="center"/>
                </w:tcPr>
                <w:p w14:paraId="31796CF2">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参照</w:t>
                  </w:r>
                  <w:r>
                    <w:rPr>
                      <w:rFonts w:hint="default" w:ascii="Times New Roman" w:hAnsi="Times New Roman" w:eastAsia="仿宋_GB2312" w:cs="Times New Roman"/>
                      <w:color w:val="auto"/>
                      <w:kern w:val="0"/>
                    </w:rPr>
                    <w:t>《大气污染物综合排放标准详解》选用标准</w:t>
                  </w:r>
                </w:p>
              </w:tc>
              <w:tc>
                <w:tcPr>
                  <w:tcW w:w="1353" w:type="dxa"/>
                  <w:tcBorders>
                    <w:tl2br w:val="nil"/>
                    <w:tr2bl w:val="nil"/>
                  </w:tcBorders>
                  <w:vAlign w:val="center"/>
                </w:tcPr>
                <w:p w14:paraId="5F3791F9">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2</w:t>
                  </w:r>
                </w:p>
              </w:tc>
              <w:tc>
                <w:tcPr>
                  <w:tcW w:w="1353" w:type="dxa"/>
                  <w:tcBorders>
                    <w:tl2br w:val="nil"/>
                    <w:tr2bl w:val="nil"/>
                  </w:tcBorders>
                  <w:vAlign w:val="center"/>
                </w:tcPr>
                <w:p w14:paraId="11C826DE">
                  <w:pPr>
                    <w:pStyle w:val="2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w:t>
                  </w:r>
                </w:p>
              </w:tc>
              <w:tc>
                <w:tcPr>
                  <w:tcW w:w="1353" w:type="dxa"/>
                  <w:tcBorders>
                    <w:tl2br w:val="nil"/>
                    <w:tr2bl w:val="nil"/>
                  </w:tcBorders>
                  <w:vAlign w:val="center"/>
                </w:tcPr>
                <w:p w14:paraId="17F9B8ED">
                  <w:pPr>
                    <w:pStyle w:val="7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r>
            <w:bookmarkEnd w:id="34"/>
          </w:tbl>
          <w:p w14:paraId="128E5EE2">
            <w:pPr>
              <w:keepNext w:val="0"/>
              <w:keepLines w:val="0"/>
              <w:suppressLineNumbers w:val="0"/>
              <w:spacing w:before="0" w:beforeAutospacing="0" w:after="0" w:afterAutospacing="0" w:line="500" w:lineRule="exact"/>
              <w:ind w:left="0" w:right="0" w:firstLine="480" w:firstLineChars="200"/>
              <w:jc w:val="left"/>
              <w:rPr>
                <w:rFonts w:hint="default" w:ascii="Times New Roman" w:hAnsi="Times New Roman" w:eastAsia="仿宋_GB2312" w:cs="Times New Roman"/>
                <w:bCs/>
                <w:color w:val="auto"/>
                <w:sz w:val="24"/>
              </w:rPr>
            </w:pPr>
            <w:r>
              <w:rPr>
                <w:rFonts w:hint="default" w:ascii="Times New Roman" w:hAnsi="Times New Roman" w:eastAsia="仿宋_GB2312" w:cs="Times New Roman"/>
                <w:bCs/>
                <w:color w:val="auto"/>
                <w:sz w:val="24"/>
              </w:rPr>
              <w:t>2、地表水</w:t>
            </w:r>
          </w:p>
          <w:p w14:paraId="5DA42F83">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根据《江苏省地表水（环境）功能区划（2021-2030）》（苏环办[2022]82号），尧塘河水质执行《地表水环境质量标准》（GB3838-2002）中III类标准。根据《金坛金城科技产业园发展规划环境影响报告书》，城西中心河参照《地表水环境质量标准》（GB3838-2002）中IV类水标准执行，具体标准值见</w:t>
            </w:r>
            <w:r>
              <w:rPr>
                <w:rFonts w:hint="default" w:ascii="Times New Roman" w:hAnsi="Times New Roman" w:eastAsia="仿宋_GB2312" w:cs="Times New Roman"/>
                <w:color w:val="auto"/>
                <w:sz w:val="24"/>
                <w:lang w:eastAsia="zh-CN"/>
              </w:rPr>
              <w:t>下</w:t>
            </w:r>
            <w:r>
              <w:rPr>
                <w:rFonts w:hint="default" w:ascii="Times New Roman" w:hAnsi="Times New Roman" w:eastAsia="仿宋_GB2312" w:cs="Times New Roman"/>
                <w:color w:val="auto"/>
                <w:sz w:val="24"/>
              </w:rPr>
              <w:t>表</w:t>
            </w:r>
            <w:r>
              <w:rPr>
                <w:rFonts w:hint="default" w:ascii="Times New Roman" w:hAnsi="Times New Roman" w:eastAsia="仿宋_GB2312" w:cs="Times New Roman"/>
                <w:color w:val="auto"/>
                <w:sz w:val="24"/>
                <w:lang w:eastAsia="zh-CN"/>
              </w:rPr>
              <w:t>。</w:t>
            </w:r>
          </w:p>
          <w:p w14:paraId="4377A95E">
            <w:pPr>
              <w:pStyle w:val="184"/>
              <w:keepNext w:val="0"/>
              <w:keepLines w:val="0"/>
              <w:suppressLineNumbers w:val="0"/>
              <w:spacing w:before="0" w:beforeAutospacing="0" w:afterAutospacing="0"/>
              <w:ind w:left="420" w:right="0"/>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sz w:val="22"/>
                <w:szCs w:val="22"/>
              </w:rPr>
              <w:t>表3-2  地表水环境质量评价标准表  单位：mg/L  pH无量纲</w:t>
            </w:r>
          </w:p>
          <w:tbl>
            <w:tblPr>
              <w:tblStyle w:val="8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04"/>
              <w:gridCol w:w="2131"/>
              <w:gridCol w:w="2310"/>
              <w:gridCol w:w="2978"/>
              <w:gridCol w:w="2289"/>
            </w:tblGrid>
            <w:tr w14:paraId="42BA9D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32414DA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序号</w:t>
                  </w:r>
                </w:p>
              </w:tc>
              <w:tc>
                <w:tcPr>
                  <w:tcW w:w="1004" w:type="pct"/>
                  <w:tcBorders>
                    <w:tl2br w:val="nil"/>
                    <w:tr2bl w:val="nil"/>
                  </w:tcBorders>
                  <w:vAlign w:val="center"/>
                </w:tcPr>
                <w:p w14:paraId="0103498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1088" w:type="pct"/>
                  <w:tcBorders>
                    <w:tl2br w:val="nil"/>
                    <w:tr2bl w:val="nil"/>
                  </w:tcBorders>
                  <w:vAlign w:val="center"/>
                </w:tcPr>
                <w:p w14:paraId="6FAC92F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III类标准</w:t>
                  </w:r>
                </w:p>
              </w:tc>
              <w:tc>
                <w:tcPr>
                  <w:tcW w:w="1403" w:type="pct"/>
                  <w:tcBorders>
                    <w:tl2br w:val="nil"/>
                    <w:tr2bl w:val="nil"/>
                  </w:tcBorders>
                  <w:vAlign w:val="center"/>
                </w:tcPr>
                <w:p w14:paraId="2935639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Ⅳ类标准</w:t>
                  </w:r>
                </w:p>
              </w:tc>
              <w:tc>
                <w:tcPr>
                  <w:tcW w:w="1078" w:type="pct"/>
                  <w:tcBorders>
                    <w:tl2br w:val="nil"/>
                    <w:tr2bl w:val="nil"/>
                  </w:tcBorders>
                  <w:vAlign w:val="center"/>
                </w:tcPr>
                <w:p w14:paraId="3F3AB33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标准来源</w:t>
                  </w:r>
                </w:p>
              </w:tc>
            </w:tr>
            <w:tr w14:paraId="131353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65D6DB51">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1</w:t>
                  </w:r>
                </w:p>
              </w:tc>
              <w:tc>
                <w:tcPr>
                  <w:tcW w:w="1004" w:type="pct"/>
                  <w:tcBorders>
                    <w:tl2br w:val="nil"/>
                    <w:tr2bl w:val="nil"/>
                  </w:tcBorders>
                  <w:vAlign w:val="center"/>
                </w:tcPr>
                <w:p w14:paraId="1A5C8C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水温</w:t>
                  </w:r>
                </w:p>
              </w:tc>
              <w:tc>
                <w:tcPr>
                  <w:tcW w:w="2491" w:type="pct"/>
                  <w:gridSpan w:val="2"/>
                  <w:tcBorders>
                    <w:tl2br w:val="nil"/>
                    <w:tr2bl w:val="nil"/>
                  </w:tcBorders>
                  <w:vAlign w:val="center"/>
                </w:tcPr>
                <w:p w14:paraId="5AD5CD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人为造成的环境水温变化应限制在：周平均最大温升≤1；周平均最大温降≤2</w:t>
                  </w:r>
                </w:p>
              </w:tc>
              <w:tc>
                <w:tcPr>
                  <w:tcW w:w="1078" w:type="pct"/>
                  <w:vMerge w:val="restart"/>
                  <w:tcBorders>
                    <w:tl2br w:val="nil"/>
                    <w:tr2bl w:val="nil"/>
                  </w:tcBorders>
                  <w:vAlign w:val="center"/>
                </w:tcPr>
                <w:p w14:paraId="19D500C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《地表水环境质量标准》（GB3838-2002）</w:t>
                  </w:r>
                </w:p>
              </w:tc>
            </w:tr>
            <w:tr w14:paraId="3C99A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4E88E09A">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2</w:t>
                  </w:r>
                </w:p>
              </w:tc>
              <w:tc>
                <w:tcPr>
                  <w:tcW w:w="1004" w:type="pct"/>
                  <w:tcBorders>
                    <w:tl2br w:val="nil"/>
                    <w:tr2bl w:val="nil"/>
                  </w:tcBorders>
                  <w:vAlign w:val="center"/>
                </w:tcPr>
                <w:p w14:paraId="7E4445F5">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pH</w:t>
                  </w:r>
                </w:p>
              </w:tc>
              <w:tc>
                <w:tcPr>
                  <w:tcW w:w="1088" w:type="pct"/>
                  <w:tcBorders>
                    <w:tl2br w:val="nil"/>
                    <w:tr2bl w:val="nil"/>
                  </w:tcBorders>
                  <w:vAlign w:val="center"/>
                </w:tcPr>
                <w:p w14:paraId="099ED58E">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6～9（无量纲）</w:t>
                  </w:r>
                </w:p>
              </w:tc>
              <w:tc>
                <w:tcPr>
                  <w:tcW w:w="1403" w:type="pct"/>
                  <w:tcBorders>
                    <w:tl2br w:val="nil"/>
                    <w:tr2bl w:val="nil"/>
                  </w:tcBorders>
                  <w:vAlign w:val="center"/>
                </w:tcPr>
                <w:p w14:paraId="5BEC6D14">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6～9（无量纲）</w:t>
                  </w:r>
                </w:p>
              </w:tc>
              <w:tc>
                <w:tcPr>
                  <w:tcW w:w="1078" w:type="pct"/>
                  <w:vMerge w:val="continue"/>
                  <w:tcBorders>
                    <w:tl2br w:val="nil"/>
                    <w:tr2bl w:val="nil"/>
                  </w:tcBorders>
                  <w:vAlign w:val="center"/>
                </w:tcPr>
                <w:p w14:paraId="6239E34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0B31B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6C62A253">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3</w:t>
                  </w:r>
                </w:p>
              </w:tc>
              <w:tc>
                <w:tcPr>
                  <w:tcW w:w="1004" w:type="pct"/>
                  <w:tcBorders>
                    <w:tl2br w:val="nil"/>
                    <w:tr2bl w:val="nil"/>
                  </w:tcBorders>
                  <w:vAlign w:val="center"/>
                </w:tcPr>
                <w:p w14:paraId="6B056354">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化学需氧量</w:t>
                  </w:r>
                </w:p>
              </w:tc>
              <w:tc>
                <w:tcPr>
                  <w:tcW w:w="1088" w:type="pct"/>
                  <w:tcBorders>
                    <w:tl2br w:val="nil"/>
                    <w:tr2bl w:val="nil"/>
                  </w:tcBorders>
                  <w:vAlign w:val="center"/>
                </w:tcPr>
                <w:p w14:paraId="7BCF167D">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w:t>
                  </w:r>
                  <w:r>
                    <w:rPr>
                      <w:rFonts w:hint="default" w:ascii="Times New Roman" w:hAnsi="Times New Roman" w:eastAsia="仿宋_GB2312" w:cs="Times New Roman"/>
                      <w:color w:val="auto"/>
                      <w:szCs w:val="21"/>
                      <w:lang w:val="en-US"/>
                    </w:rPr>
                    <w:t>20</w:t>
                  </w:r>
                </w:p>
              </w:tc>
              <w:tc>
                <w:tcPr>
                  <w:tcW w:w="1403" w:type="pct"/>
                  <w:tcBorders>
                    <w:tl2br w:val="nil"/>
                    <w:tr2bl w:val="nil"/>
                  </w:tcBorders>
                  <w:vAlign w:val="center"/>
                </w:tcPr>
                <w:p w14:paraId="3A5DDD21">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≤30</w:t>
                  </w:r>
                </w:p>
              </w:tc>
              <w:tc>
                <w:tcPr>
                  <w:tcW w:w="1078" w:type="pct"/>
                  <w:vMerge w:val="continue"/>
                  <w:tcBorders>
                    <w:tl2br w:val="nil"/>
                    <w:tr2bl w:val="nil"/>
                  </w:tcBorders>
                  <w:vAlign w:val="center"/>
                </w:tcPr>
                <w:p w14:paraId="39A3A70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BB18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4963AB99">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4</w:t>
                  </w:r>
                </w:p>
              </w:tc>
              <w:tc>
                <w:tcPr>
                  <w:tcW w:w="1004" w:type="pct"/>
                  <w:tcBorders>
                    <w:tl2br w:val="nil"/>
                    <w:tr2bl w:val="nil"/>
                  </w:tcBorders>
                  <w:vAlign w:val="center"/>
                </w:tcPr>
                <w:p w14:paraId="6FB56D04">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高锰酸盐指数</w:t>
                  </w:r>
                </w:p>
              </w:tc>
              <w:tc>
                <w:tcPr>
                  <w:tcW w:w="1088" w:type="pct"/>
                  <w:tcBorders>
                    <w:tl2br w:val="nil"/>
                    <w:tr2bl w:val="nil"/>
                  </w:tcBorders>
                  <w:vAlign w:val="center"/>
                </w:tcPr>
                <w:p w14:paraId="4320A632">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w:t>
                  </w:r>
                  <w:r>
                    <w:rPr>
                      <w:rFonts w:hint="default" w:ascii="Times New Roman" w:hAnsi="Times New Roman" w:eastAsia="仿宋_GB2312" w:cs="Times New Roman"/>
                      <w:color w:val="auto"/>
                      <w:szCs w:val="21"/>
                      <w:lang w:val="en-US"/>
                    </w:rPr>
                    <w:t>6</w:t>
                  </w:r>
                </w:p>
              </w:tc>
              <w:tc>
                <w:tcPr>
                  <w:tcW w:w="1403" w:type="pct"/>
                  <w:tcBorders>
                    <w:tl2br w:val="nil"/>
                    <w:tr2bl w:val="nil"/>
                  </w:tcBorders>
                  <w:vAlign w:val="center"/>
                </w:tcPr>
                <w:p w14:paraId="4CBC71B9">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w:t>
                  </w:r>
                  <w:r>
                    <w:rPr>
                      <w:rFonts w:hint="default" w:ascii="Times New Roman" w:hAnsi="Times New Roman" w:eastAsia="仿宋_GB2312" w:cs="Times New Roman"/>
                      <w:color w:val="auto"/>
                      <w:szCs w:val="21"/>
                      <w:lang w:val="en-US"/>
                    </w:rPr>
                    <w:t>10</w:t>
                  </w:r>
                </w:p>
              </w:tc>
              <w:tc>
                <w:tcPr>
                  <w:tcW w:w="1078" w:type="pct"/>
                  <w:vMerge w:val="continue"/>
                  <w:tcBorders>
                    <w:tl2br w:val="nil"/>
                    <w:tr2bl w:val="nil"/>
                  </w:tcBorders>
                  <w:vAlign w:val="center"/>
                </w:tcPr>
                <w:p w14:paraId="54E978C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50D349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3872BB20">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5</w:t>
                  </w:r>
                </w:p>
              </w:tc>
              <w:tc>
                <w:tcPr>
                  <w:tcW w:w="1004" w:type="pct"/>
                  <w:tcBorders>
                    <w:tl2br w:val="nil"/>
                    <w:tr2bl w:val="nil"/>
                  </w:tcBorders>
                  <w:vAlign w:val="center"/>
                </w:tcPr>
                <w:p w14:paraId="3EA981BE">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NH</w:t>
                  </w:r>
                  <w:r>
                    <w:rPr>
                      <w:rFonts w:hint="default" w:ascii="Times New Roman" w:hAnsi="Times New Roman" w:eastAsia="仿宋_GB2312" w:cs="Times New Roman"/>
                      <w:color w:val="auto"/>
                      <w:szCs w:val="21"/>
                      <w:vertAlign w:val="subscript"/>
                    </w:rPr>
                    <w:t>3</w:t>
                  </w:r>
                  <w:r>
                    <w:rPr>
                      <w:rFonts w:hint="default" w:ascii="Times New Roman" w:hAnsi="Times New Roman" w:eastAsia="仿宋_GB2312" w:cs="Times New Roman"/>
                      <w:color w:val="auto"/>
                      <w:szCs w:val="21"/>
                    </w:rPr>
                    <w:t>-N</w:t>
                  </w:r>
                </w:p>
              </w:tc>
              <w:tc>
                <w:tcPr>
                  <w:tcW w:w="1088" w:type="pct"/>
                  <w:tcBorders>
                    <w:tl2br w:val="nil"/>
                    <w:tr2bl w:val="nil"/>
                  </w:tcBorders>
                  <w:vAlign w:val="center"/>
                </w:tcPr>
                <w:p w14:paraId="6620CE1A">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w:t>
                  </w:r>
                  <w:r>
                    <w:rPr>
                      <w:rFonts w:hint="default" w:ascii="Times New Roman" w:hAnsi="Times New Roman" w:eastAsia="仿宋_GB2312" w:cs="Times New Roman"/>
                      <w:color w:val="auto"/>
                      <w:szCs w:val="21"/>
                      <w:lang w:val="en-US"/>
                    </w:rPr>
                    <w:t>1.0</w:t>
                  </w:r>
                </w:p>
              </w:tc>
              <w:tc>
                <w:tcPr>
                  <w:tcW w:w="1403" w:type="pct"/>
                  <w:tcBorders>
                    <w:tl2br w:val="nil"/>
                    <w:tr2bl w:val="nil"/>
                  </w:tcBorders>
                  <w:vAlign w:val="center"/>
                </w:tcPr>
                <w:p w14:paraId="2C46E8E8">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≤1.5</w:t>
                  </w:r>
                </w:p>
              </w:tc>
              <w:tc>
                <w:tcPr>
                  <w:tcW w:w="1078" w:type="pct"/>
                  <w:vMerge w:val="continue"/>
                  <w:tcBorders>
                    <w:tl2br w:val="nil"/>
                    <w:tr2bl w:val="nil"/>
                  </w:tcBorders>
                  <w:vAlign w:val="center"/>
                </w:tcPr>
                <w:p w14:paraId="2B81409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DABDF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1F65C559">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lang w:val="en-US"/>
                    </w:rPr>
                    <w:t>6</w:t>
                  </w:r>
                </w:p>
              </w:tc>
              <w:tc>
                <w:tcPr>
                  <w:tcW w:w="1004" w:type="pct"/>
                  <w:tcBorders>
                    <w:tl2br w:val="nil"/>
                    <w:tr2bl w:val="nil"/>
                  </w:tcBorders>
                  <w:vAlign w:val="center"/>
                </w:tcPr>
                <w:p w14:paraId="0AAD259B">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TP</w:t>
                  </w:r>
                </w:p>
              </w:tc>
              <w:tc>
                <w:tcPr>
                  <w:tcW w:w="1088" w:type="pct"/>
                  <w:tcBorders>
                    <w:tl2br w:val="nil"/>
                    <w:tr2bl w:val="nil"/>
                  </w:tcBorders>
                  <w:vAlign w:val="center"/>
                </w:tcPr>
                <w:p w14:paraId="07AC4347">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≤0.</w:t>
                  </w:r>
                  <w:r>
                    <w:rPr>
                      <w:rFonts w:hint="default" w:ascii="Times New Roman" w:hAnsi="Times New Roman" w:eastAsia="仿宋_GB2312" w:cs="Times New Roman"/>
                      <w:color w:val="auto"/>
                      <w:szCs w:val="21"/>
                      <w:lang w:val="en-US"/>
                    </w:rPr>
                    <w:t>2</w:t>
                  </w:r>
                </w:p>
              </w:tc>
              <w:tc>
                <w:tcPr>
                  <w:tcW w:w="1403" w:type="pct"/>
                  <w:tcBorders>
                    <w:tl2br w:val="nil"/>
                    <w:tr2bl w:val="nil"/>
                  </w:tcBorders>
                  <w:vAlign w:val="center"/>
                </w:tcPr>
                <w:p w14:paraId="43561760">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≤0.3</w:t>
                  </w:r>
                </w:p>
              </w:tc>
              <w:tc>
                <w:tcPr>
                  <w:tcW w:w="1078" w:type="pct"/>
                  <w:vMerge w:val="continue"/>
                  <w:tcBorders>
                    <w:tl2br w:val="nil"/>
                    <w:tr2bl w:val="nil"/>
                  </w:tcBorders>
                  <w:vAlign w:val="center"/>
                </w:tcPr>
                <w:p w14:paraId="1AE5C16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C3343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6" w:type="pct"/>
                  <w:tcBorders>
                    <w:tl2br w:val="nil"/>
                    <w:tr2bl w:val="nil"/>
                  </w:tcBorders>
                  <w:vAlign w:val="center"/>
                </w:tcPr>
                <w:p w14:paraId="0B207CB9">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7</w:t>
                  </w:r>
                </w:p>
              </w:tc>
              <w:tc>
                <w:tcPr>
                  <w:tcW w:w="1004" w:type="pct"/>
                  <w:tcBorders>
                    <w:tl2br w:val="nil"/>
                    <w:tr2bl w:val="nil"/>
                  </w:tcBorders>
                  <w:vAlign w:val="center"/>
                </w:tcPr>
                <w:p w14:paraId="795F2D9E">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石油类</w:t>
                  </w:r>
                </w:p>
              </w:tc>
              <w:tc>
                <w:tcPr>
                  <w:tcW w:w="1088" w:type="pct"/>
                  <w:tcBorders>
                    <w:tl2br w:val="nil"/>
                    <w:tr2bl w:val="nil"/>
                  </w:tcBorders>
                  <w:vAlign w:val="center"/>
                </w:tcPr>
                <w:p w14:paraId="7C39C5AB">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kern w:val="2"/>
                      <w:szCs w:val="21"/>
                      <w:lang w:val="en-US"/>
                    </w:rPr>
                  </w:pPr>
                  <w:r>
                    <w:rPr>
                      <w:rFonts w:hint="default" w:ascii="Times New Roman" w:hAnsi="Times New Roman" w:eastAsia="仿宋_GB2312" w:cs="Times New Roman"/>
                      <w:color w:val="auto"/>
                      <w:szCs w:val="21"/>
                    </w:rPr>
                    <w:t>≤</w:t>
                  </w:r>
                  <w:r>
                    <w:rPr>
                      <w:rFonts w:hint="default" w:ascii="Times New Roman" w:hAnsi="Times New Roman" w:eastAsia="仿宋_GB2312" w:cs="Times New Roman"/>
                      <w:color w:val="auto"/>
                      <w:szCs w:val="21"/>
                      <w:lang w:val="en-US"/>
                    </w:rPr>
                    <w:t>0.05</w:t>
                  </w:r>
                </w:p>
              </w:tc>
              <w:tc>
                <w:tcPr>
                  <w:tcW w:w="1403" w:type="pct"/>
                  <w:tcBorders>
                    <w:tl2br w:val="nil"/>
                    <w:tr2bl w:val="nil"/>
                  </w:tcBorders>
                  <w:vAlign w:val="center"/>
                </w:tcPr>
                <w:p w14:paraId="7F7294F7">
                  <w:pPr>
                    <w:pStyle w:val="165"/>
                    <w:keepNext w:val="0"/>
                    <w:keepLines w:val="0"/>
                    <w:suppressLineNumbers w:val="0"/>
                    <w:adjustRightInd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rPr>
                    <w:t>≤</w:t>
                  </w:r>
                  <w:r>
                    <w:rPr>
                      <w:rFonts w:hint="default" w:ascii="Times New Roman" w:hAnsi="Times New Roman" w:eastAsia="仿宋_GB2312" w:cs="Times New Roman"/>
                      <w:color w:val="auto"/>
                      <w:szCs w:val="21"/>
                      <w:lang w:val="en-US"/>
                    </w:rPr>
                    <w:t>0.5</w:t>
                  </w:r>
                </w:p>
              </w:tc>
              <w:tc>
                <w:tcPr>
                  <w:tcW w:w="1078" w:type="pct"/>
                  <w:vMerge w:val="continue"/>
                  <w:tcBorders>
                    <w:tl2br w:val="nil"/>
                    <w:tr2bl w:val="nil"/>
                  </w:tcBorders>
                  <w:vAlign w:val="center"/>
                </w:tcPr>
                <w:p w14:paraId="1304674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bl>
          <w:p w14:paraId="42134992">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3、环境噪声</w:t>
            </w:r>
            <w:bookmarkStart w:id="35" w:name="_Hlk66173947"/>
          </w:p>
          <w:p w14:paraId="6FED8DBE">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根据《常州市市区声环境功能区划（2017）》（常州市人民政府，常政发[2017]161号），本项目所在地南厂界声环境质量标准执行《声环境质量标准》（GB3096-2008）中4a类区域标准，东、西、北厂界声环境质量标准执行《声环境质量标准》（GB3096-2008）中3类区域标准，具体见下表。</w:t>
            </w:r>
          </w:p>
          <w:p w14:paraId="4766E95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color w:val="auto"/>
                <w:kern w:val="2"/>
                <w:sz w:val="22"/>
                <w:szCs w:val="22"/>
                <w:lang w:val="en-US" w:eastAsia="zh-CN" w:bidi="ar-SA"/>
              </w:rPr>
            </w:pPr>
            <w:r>
              <w:rPr>
                <w:rFonts w:hint="default" w:ascii="Times New Roman" w:hAnsi="Times New Roman" w:eastAsia="仿宋_GB2312" w:cs="Times New Roman"/>
                <w:b/>
                <w:color w:val="auto"/>
                <w:kern w:val="2"/>
                <w:sz w:val="22"/>
                <w:szCs w:val="22"/>
                <w:lang w:val="en-US" w:eastAsia="zh-CN" w:bidi="ar-SA"/>
              </w:rPr>
              <w:t>表</w:t>
            </w:r>
            <w:r>
              <w:rPr>
                <w:rFonts w:hint="eastAsia" w:ascii="Times New Roman" w:hAnsi="Times New Roman" w:eastAsia="仿宋_GB2312" w:cs="Times New Roman"/>
                <w:b/>
                <w:color w:val="auto"/>
                <w:kern w:val="2"/>
                <w:sz w:val="22"/>
                <w:szCs w:val="22"/>
                <w:lang w:val="en-US" w:eastAsia="zh-CN" w:bidi="ar-SA"/>
              </w:rPr>
              <w:t>3-3</w:t>
            </w:r>
            <w:r>
              <w:rPr>
                <w:rFonts w:hint="default" w:ascii="Times New Roman" w:hAnsi="Times New Roman" w:eastAsia="仿宋_GB2312" w:cs="Times New Roman"/>
                <w:b/>
                <w:color w:val="auto"/>
                <w:kern w:val="2"/>
                <w:sz w:val="22"/>
                <w:szCs w:val="22"/>
                <w:lang w:val="en-US" w:eastAsia="zh-CN" w:bidi="ar-SA"/>
              </w:rPr>
              <w:t xml:space="preserve">  环境噪声质量评价标准  单位：dB(A)</w:t>
            </w:r>
          </w:p>
          <w:tbl>
            <w:tblPr>
              <w:tblStyle w:val="16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321"/>
              <w:gridCol w:w="2579"/>
              <w:gridCol w:w="2137"/>
              <w:gridCol w:w="2579"/>
            </w:tblGrid>
            <w:tr w14:paraId="5038A2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64" w:type="pct"/>
                  <w:tcBorders>
                    <w:tl2br w:val="nil"/>
                    <w:tr2bl w:val="nil"/>
                  </w:tcBorders>
                  <w:vAlign w:val="center"/>
                </w:tcPr>
                <w:p w14:paraId="016EDFE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类别</w:t>
                  </w:r>
                </w:p>
              </w:tc>
              <w:tc>
                <w:tcPr>
                  <w:tcW w:w="1214" w:type="pct"/>
                  <w:tcBorders>
                    <w:tl2br w:val="nil"/>
                    <w:tr2bl w:val="nil"/>
                  </w:tcBorders>
                  <w:vAlign w:val="center"/>
                </w:tcPr>
                <w:p w14:paraId="7D1AFEA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标准</w:t>
                  </w:r>
                </w:p>
              </w:tc>
              <w:tc>
                <w:tcPr>
                  <w:tcW w:w="1006" w:type="pct"/>
                  <w:tcBorders>
                    <w:tl2br w:val="nil"/>
                    <w:tr2bl w:val="nil"/>
                  </w:tcBorders>
                  <w:vAlign w:val="center"/>
                </w:tcPr>
                <w:p w14:paraId="28A812C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昼间</w:t>
                  </w:r>
                </w:p>
              </w:tc>
              <w:tc>
                <w:tcPr>
                  <w:tcW w:w="1214" w:type="pct"/>
                  <w:tcBorders>
                    <w:tl2br w:val="nil"/>
                    <w:tr2bl w:val="nil"/>
                  </w:tcBorders>
                  <w:vAlign w:val="center"/>
                </w:tcPr>
                <w:p w14:paraId="585B5F7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夜间</w:t>
                  </w:r>
                </w:p>
              </w:tc>
            </w:tr>
            <w:tr w14:paraId="470EE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64" w:type="pct"/>
                  <w:tcBorders>
                    <w:tl2br w:val="nil"/>
                    <w:tr2bl w:val="nil"/>
                  </w:tcBorders>
                  <w:vAlign w:val="center"/>
                </w:tcPr>
                <w:p w14:paraId="58E3E4E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南厂界</w:t>
                  </w:r>
                </w:p>
              </w:tc>
              <w:tc>
                <w:tcPr>
                  <w:tcW w:w="1214" w:type="pct"/>
                  <w:tcBorders>
                    <w:tl2br w:val="nil"/>
                    <w:tr2bl w:val="nil"/>
                  </w:tcBorders>
                  <w:vAlign w:val="center"/>
                </w:tcPr>
                <w:p w14:paraId="14F95F4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4a类标准</w:t>
                  </w:r>
                </w:p>
              </w:tc>
              <w:tc>
                <w:tcPr>
                  <w:tcW w:w="1006" w:type="pct"/>
                  <w:tcBorders>
                    <w:tl2br w:val="nil"/>
                    <w:tr2bl w:val="nil"/>
                  </w:tcBorders>
                  <w:vAlign w:val="center"/>
                </w:tcPr>
                <w:p w14:paraId="7497D95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≤70</w:t>
                  </w:r>
                </w:p>
              </w:tc>
              <w:tc>
                <w:tcPr>
                  <w:tcW w:w="1214" w:type="pct"/>
                  <w:tcBorders>
                    <w:tl2br w:val="nil"/>
                    <w:tr2bl w:val="nil"/>
                  </w:tcBorders>
                  <w:vAlign w:val="center"/>
                </w:tcPr>
                <w:p w14:paraId="4553C92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≤55</w:t>
                  </w:r>
                </w:p>
              </w:tc>
            </w:tr>
            <w:tr w14:paraId="693B9E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64" w:type="pct"/>
                  <w:tcBorders>
                    <w:tl2br w:val="nil"/>
                    <w:tr2bl w:val="nil"/>
                  </w:tcBorders>
                  <w:vAlign w:val="center"/>
                </w:tcPr>
                <w:p w14:paraId="6A5EE32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东、西、北厂界</w:t>
                  </w:r>
                </w:p>
              </w:tc>
              <w:tc>
                <w:tcPr>
                  <w:tcW w:w="1214" w:type="pct"/>
                  <w:tcBorders>
                    <w:tl2br w:val="nil"/>
                    <w:tr2bl w:val="nil"/>
                  </w:tcBorders>
                  <w:vAlign w:val="center"/>
                </w:tcPr>
                <w:p w14:paraId="63247F9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3类标准</w:t>
                  </w:r>
                </w:p>
              </w:tc>
              <w:tc>
                <w:tcPr>
                  <w:tcW w:w="1006" w:type="pct"/>
                  <w:tcBorders>
                    <w:tl2br w:val="nil"/>
                    <w:tr2bl w:val="nil"/>
                  </w:tcBorders>
                  <w:vAlign w:val="center"/>
                </w:tcPr>
                <w:p w14:paraId="0CA72D4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≤65</w:t>
                  </w:r>
                </w:p>
              </w:tc>
              <w:tc>
                <w:tcPr>
                  <w:tcW w:w="1214" w:type="pct"/>
                  <w:tcBorders>
                    <w:tl2br w:val="nil"/>
                    <w:tr2bl w:val="nil"/>
                  </w:tcBorders>
                  <w:vAlign w:val="center"/>
                </w:tcPr>
                <w:p w14:paraId="29A51D0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≤55</w:t>
                  </w:r>
                </w:p>
              </w:tc>
            </w:tr>
            <w:bookmarkEnd w:id="35"/>
          </w:tbl>
          <w:p w14:paraId="779CE290">
            <w:pPr>
              <w:pStyle w:val="30"/>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4、地下水</w:t>
            </w:r>
          </w:p>
          <w:p w14:paraId="7D46990A">
            <w:pPr>
              <w:pStyle w:val="30"/>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本项目所在地地下水环境质量执行《地下水质量标准》（GB/T14848-2017）中标准，具体见下表。</w:t>
            </w:r>
          </w:p>
          <w:p w14:paraId="4713B802">
            <w:pPr>
              <w:keepNext w:val="0"/>
              <w:keepLines w:val="0"/>
              <w:suppressLineNumbers w:val="0"/>
              <w:tabs>
                <w:tab w:val="left" w:pos="7380"/>
              </w:tabs>
              <w:overflowPunct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表3-4  地下水质量评价标准  单位：mg/L，pH无量纲</w:t>
            </w:r>
          </w:p>
          <w:tbl>
            <w:tblPr>
              <w:tblStyle w:val="8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755"/>
              <w:gridCol w:w="1174"/>
              <w:gridCol w:w="1348"/>
              <w:gridCol w:w="1040"/>
              <w:gridCol w:w="1732"/>
              <w:gridCol w:w="1563"/>
            </w:tblGrid>
            <w:tr w14:paraId="61AE49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3361C3B8">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污染物名称</w:t>
                  </w:r>
                </w:p>
              </w:tc>
              <w:tc>
                <w:tcPr>
                  <w:tcW w:w="553" w:type="pct"/>
                  <w:tcBorders>
                    <w:tl2br w:val="nil"/>
                    <w:tr2bl w:val="nil"/>
                  </w:tcBorders>
                  <w:vAlign w:val="center"/>
                </w:tcPr>
                <w:p w14:paraId="02C87C2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Ⅰ类</w:t>
                  </w:r>
                </w:p>
              </w:tc>
              <w:tc>
                <w:tcPr>
                  <w:tcW w:w="635" w:type="pct"/>
                  <w:tcBorders>
                    <w:tl2br w:val="nil"/>
                    <w:tr2bl w:val="nil"/>
                  </w:tcBorders>
                  <w:vAlign w:val="center"/>
                </w:tcPr>
                <w:p w14:paraId="604C91A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Ⅱ类</w:t>
                  </w:r>
                </w:p>
              </w:tc>
              <w:tc>
                <w:tcPr>
                  <w:tcW w:w="489" w:type="pct"/>
                  <w:tcBorders>
                    <w:tl2br w:val="nil"/>
                    <w:tr2bl w:val="nil"/>
                  </w:tcBorders>
                  <w:vAlign w:val="center"/>
                </w:tcPr>
                <w:p w14:paraId="3A15B7C1">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Ⅲ类</w:t>
                  </w:r>
                </w:p>
              </w:tc>
              <w:tc>
                <w:tcPr>
                  <w:tcW w:w="816" w:type="pct"/>
                  <w:tcBorders>
                    <w:tl2br w:val="nil"/>
                    <w:tr2bl w:val="nil"/>
                  </w:tcBorders>
                  <w:vAlign w:val="center"/>
                </w:tcPr>
                <w:p w14:paraId="65A8C35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Ⅳ类</w:t>
                  </w:r>
                </w:p>
              </w:tc>
              <w:tc>
                <w:tcPr>
                  <w:tcW w:w="736" w:type="pct"/>
                  <w:tcBorders>
                    <w:tl2br w:val="nil"/>
                    <w:tr2bl w:val="nil"/>
                  </w:tcBorders>
                  <w:vAlign w:val="center"/>
                </w:tcPr>
                <w:p w14:paraId="70E7F48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Ⅴ类</w:t>
                  </w:r>
                </w:p>
              </w:tc>
            </w:tr>
            <w:tr w14:paraId="60597F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1293DFCC">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pH</w:t>
                  </w:r>
                </w:p>
              </w:tc>
              <w:tc>
                <w:tcPr>
                  <w:tcW w:w="1678" w:type="pct"/>
                  <w:gridSpan w:val="3"/>
                  <w:tcBorders>
                    <w:tl2br w:val="nil"/>
                    <w:tr2bl w:val="nil"/>
                  </w:tcBorders>
                  <w:vAlign w:val="center"/>
                </w:tcPr>
                <w:p w14:paraId="35BEFF75">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6.5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szCs w:val="21"/>
                    </w:rPr>
                    <w:t>pH</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szCs w:val="21"/>
                    </w:rPr>
                    <w:t>8.5</w:t>
                  </w:r>
                </w:p>
              </w:tc>
              <w:tc>
                <w:tcPr>
                  <w:tcW w:w="816" w:type="pct"/>
                  <w:tcBorders>
                    <w:tl2br w:val="nil"/>
                    <w:tr2bl w:val="nil"/>
                  </w:tcBorders>
                  <w:vAlign w:val="center"/>
                </w:tcPr>
                <w:p w14:paraId="18A96326">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5.5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szCs w:val="21"/>
                    </w:rPr>
                    <w:t>pH＜6.5，8.5＜pH</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szCs w:val="21"/>
                    </w:rPr>
                    <w:t>9.0</w:t>
                  </w:r>
                </w:p>
              </w:tc>
              <w:tc>
                <w:tcPr>
                  <w:tcW w:w="736" w:type="pct"/>
                  <w:tcBorders>
                    <w:tl2br w:val="nil"/>
                    <w:tr2bl w:val="nil"/>
                  </w:tcBorders>
                  <w:vAlign w:val="center"/>
                </w:tcPr>
                <w:p w14:paraId="4ED808D1">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pH＜5.5或pH＞9.0</w:t>
                  </w:r>
                </w:p>
              </w:tc>
            </w:tr>
            <w:tr w14:paraId="4DCAFF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6929240E">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氨氮（以N计）</w:t>
                  </w:r>
                </w:p>
              </w:tc>
              <w:tc>
                <w:tcPr>
                  <w:tcW w:w="553" w:type="pct"/>
                  <w:tcBorders>
                    <w:tl2br w:val="nil"/>
                    <w:tr2bl w:val="nil"/>
                  </w:tcBorders>
                  <w:vAlign w:val="center"/>
                </w:tcPr>
                <w:p w14:paraId="7B42856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≤0.02</w:t>
                  </w:r>
                </w:p>
              </w:tc>
              <w:tc>
                <w:tcPr>
                  <w:tcW w:w="635" w:type="pct"/>
                  <w:tcBorders>
                    <w:tl2br w:val="nil"/>
                    <w:tr2bl w:val="nil"/>
                  </w:tcBorders>
                  <w:vAlign w:val="center"/>
                </w:tcPr>
                <w:p w14:paraId="2248791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≤0.10</w:t>
                  </w:r>
                </w:p>
              </w:tc>
              <w:tc>
                <w:tcPr>
                  <w:tcW w:w="489" w:type="pct"/>
                  <w:tcBorders>
                    <w:tl2br w:val="nil"/>
                    <w:tr2bl w:val="nil"/>
                  </w:tcBorders>
                  <w:vAlign w:val="center"/>
                </w:tcPr>
                <w:p w14:paraId="1D3C7EF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≤0.50</w:t>
                  </w:r>
                </w:p>
              </w:tc>
              <w:tc>
                <w:tcPr>
                  <w:tcW w:w="816" w:type="pct"/>
                  <w:tcBorders>
                    <w:tl2br w:val="nil"/>
                    <w:tr2bl w:val="nil"/>
                  </w:tcBorders>
                  <w:vAlign w:val="center"/>
                </w:tcPr>
                <w:p w14:paraId="04C7139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≤1.50</w:t>
                  </w:r>
                </w:p>
              </w:tc>
              <w:tc>
                <w:tcPr>
                  <w:tcW w:w="736" w:type="pct"/>
                  <w:tcBorders>
                    <w:tl2br w:val="nil"/>
                    <w:tr2bl w:val="nil"/>
                  </w:tcBorders>
                  <w:vAlign w:val="center"/>
                </w:tcPr>
                <w:p w14:paraId="2520AF4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&gt;1.50</w:t>
                  </w:r>
                </w:p>
              </w:tc>
            </w:tr>
            <w:tr w14:paraId="06AB3A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4969EB0D">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耗氧量（COD</w:t>
                  </w:r>
                  <w:r>
                    <w:rPr>
                      <w:rFonts w:hint="default" w:ascii="Times New Roman" w:hAnsi="Times New Roman" w:eastAsia="仿宋_GB2312" w:cs="Times New Roman"/>
                      <w:color w:val="auto"/>
                      <w:szCs w:val="21"/>
                      <w:vertAlign w:val="subscript"/>
                    </w:rPr>
                    <w:t>Mn</w:t>
                  </w:r>
                  <w:r>
                    <w:rPr>
                      <w:rFonts w:hint="default" w:ascii="Times New Roman" w:hAnsi="Times New Roman" w:eastAsia="仿宋_GB2312" w:cs="Times New Roman"/>
                      <w:color w:val="auto"/>
                      <w:szCs w:val="21"/>
                    </w:rPr>
                    <w:t>法，以O</w:t>
                  </w:r>
                  <w:r>
                    <w:rPr>
                      <w:rFonts w:hint="default" w:ascii="Times New Roman" w:hAnsi="Times New Roman" w:eastAsia="仿宋_GB2312" w:cs="Times New Roman"/>
                      <w:color w:val="auto"/>
                      <w:szCs w:val="21"/>
                      <w:vertAlign w:val="subscript"/>
                    </w:rPr>
                    <w:t>2</w:t>
                  </w:r>
                  <w:r>
                    <w:rPr>
                      <w:rFonts w:hint="default" w:ascii="Times New Roman" w:hAnsi="Times New Roman" w:eastAsia="仿宋_GB2312" w:cs="Times New Roman"/>
                      <w:color w:val="auto"/>
                      <w:szCs w:val="21"/>
                    </w:rPr>
                    <w:t>计）</w:t>
                  </w:r>
                </w:p>
              </w:tc>
              <w:tc>
                <w:tcPr>
                  <w:tcW w:w="553" w:type="pct"/>
                  <w:tcBorders>
                    <w:tl2br w:val="nil"/>
                    <w:tr2bl w:val="nil"/>
                  </w:tcBorders>
                  <w:vAlign w:val="center"/>
                </w:tcPr>
                <w:p w14:paraId="3439221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w:t>
                  </w:r>
                </w:p>
              </w:tc>
              <w:tc>
                <w:tcPr>
                  <w:tcW w:w="635" w:type="pct"/>
                  <w:tcBorders>
                    <w:tl2br w:val="nil"/>
                    <w:tr2bl w:val="nil"/>
                  </w:tcBorders>
                  <w:vAlign w:val="center"/>
                </w:tcPr>
                <w:p w14:paraId="4C67BA9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≤2.0</w:t>
                  </w:r>
                </w:p>
              </w:tc>
              <w:tc>
                <w:tcPr>
                  <w:tcW w:w="489" w:type="pct"/>
                  <w:tcBorders>
                    <w:tl2br w:val="nil"/>
                    <w:tr2bl w:val="nil"/>
                  </w:tcBorders>
                  <w:vAlign w:val="center"/>
                </w:tcPr>
                <w:p w14:paraId="7134C57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≤3.0</w:t>
                  </w:r>
                </w:p>
              </w:tc>
              <w:tc>
                <w:tcPr>
                  <w:tcW w:w="816" w:type="pct"/>
                  <w:tcBorders>
                    <w:tl2br w:val="nil"/>
                    <w:tr2bl w:val="nil"/>
                  </w:tcBorders>
                  <w:vAlign w:val="center"/>
                </w:tcPr>
                <w:p w14:paraId="12DD8355">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≤10.0</w:t>
                  </w:r>
                </w:p>
              </w:tc>
              <w:tc>
                <w:tcPr>
                  <w:tcW w:w="736" w:type="pct"/>
                  <w:tcBorders>
                    <w:tl2br w:val="nil"/>
                    <w:tr2bl w:val="nil"/>
                  </w:tcBorders>
                  <w:vAlign w:val="center"/>
                </w:tcPr>
                <w:p w14:paraId="3008C05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&gt;10.0</w:t>
                  </w:r>
                </w:p>
              </w:tc>
            </w:tr>
            <w:tr w14:paraId="361124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2C397CBE">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硝酸盐（以N计）</w:t>
                  </w:r>
                </w:p>
              </w:tc>
              <w:tc>
                <w:tcPr>
                  <w:tcW w:w="553" w:type="pct"/>
                  <w:tcBorders>
                    <w:tl2br w:val="nil"/>
                    <w:tr2bl w:val="nil"/>
                  </w:tcBorders>
                  <w:vAlign w:val="center"/>
                </w:tcPr>
                <w:p w14:paraId="75AAB1D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≤2.0</w:t>
                  </w:r>
                </w:p>
              </w:tc>
              <w:tc>
                <w:tcPr>
                  <w:tcW w:w="635" w:type="pct"/>
                  <w:tcBorders>
                    <w:tl2br w:val="nil"/>
                    <w:tr2bl w:val="nil"/>
                  </w:tcBorders>
                  <w:vAlign w:val="center"/>
                </w:tcPr>
                <w:p w14:paraId="4AF73719">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≤5.0</w:t>
                  </w:r>
                </w:p>
              </w:tc>
              <w:tc>
                <w:tcPr>
                  <w:tcW w:w="489" w:type="pct"/>
                  <w:tcBorders>
                    <w:tl2br w:val="nil"/>
                    <w:tr2bl w:val="nil"/>
                  </w:tcBorders>
                  <w:vAlign w:val="center"/>
                </w:tcPr>
                <w:p w14:paraId="0259E16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≤20.0</w:t>
                  </w:r>
                </w:p>
              </w:tc>
              <w:tc>
                <w:tcPr>
                  <w:tcW w:w="816" w:type="pct"/>
                  <w:tcBorders>
                    <w:tl2br w:val="nil"/>
                    <w:tr2bl w:val="nil"/>
                  </w:tcBorders>
                  <w:vAlign w:val="center"/>
                </w:tcPr>
                <w:p w14:paraId="3AA601E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≤30.0</w:t>
                  </w:r>
                </w:p>
              </w:tc>
              <w:tc>
                <w:tcPr>
                  <w:tcW w:w="736" w:type="pct"/>
                  <w:tcBorders>
                    <w:tl2br w:val="nil"/>
                    <w:tr2bl w:val="nil"/>
                  </w:tcBorders>
                  <w:vAlign w:val="center"/>
                </w:tcPr>
                <w:p w14:paraId="76FDB47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&gt;30.0</w:t>
                  </w:r>
                </w:p>
              </w:tc>
            </w:tr>
            <w:tr w14:paraId="69417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6325DF8D">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总硬度（以CaCO</w:t>
                  </w:r>
                  <w:r>
                    <w:rPr>
                      <w:rFonts w:hint="default" w:ascii="Times New Roman" w:hAnsi="Times New Roman" w:eastAsia="仿宋_GB2312" w:cs="Times New Roman"/>
                      <w:color w:val="auto"/>
                      <w:szCs w:val="21"/>
                      <w:vertAlign w:val="subscript"/>
                    </w:rPr>
                    <w:t>3</w:t>
                  </w:r>
                  <w:r>
                    <w:rPr>
                      <w:rFonts w:hint="default" w:ascii="Times New Roman" w:hAnsi="Times New Roman" w:eastAsia="仿宋_GB2312" w:cs="Times New Roman"/>
                      <w:color w:val="auto"/>
                      <w:szCs w:val="21"/>
                    </w:rPr>
                    <w:t>计）</w:t>
                  </w:r>
                </w:p>
              </w:tc>
              <w:tc>
                <w:tcPr>
                  <w:tcW w:w="553" w:type="pct"/>
                  <w:tcBorders>
                    <w:tl2br w:val="nil"/>
                    <w:tr2bl w:val="nil"/>
                  </w:tcBorders>
                  <w:vAlign w:val="center"/>
                </w:tcPr>
                <w:p w14:paraId="5A7CAB3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val="en-GB"/>
                    </w:rPr>
                    <w:t>≤</w:t>
                  </w:r>
                  <w:r>
                    <w:rPr>
                      <w:rFonts w:hint="default" w:ascii="Times New Roman" w:hAnsi="Times New Roman" w:eastAsia="仿宋_GB2312" w:cs="Times New Roman"/>
                      <w:color w:val="auto"/>
                      <w:sz w:val="21"/>
                    </w:rPr>
                    <w:t>150</w:t>
                  </w:r>
                </w:p>
              </w:tc>
              <w:tc>
                <w:tcPr>
                  <w:tcW w:w="635" w:type="pct"/>
                  <w:tcBorders>
                    <w:tl2br w:val="nil"/>
                    <w:tr2bl w:val="nil"/>
                  </w:tcBorders>
                  <w:vAlign w:val="center"/>
                </w:tcPr>
                <w:p w14:paraId="6293A6C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≤300</w:t>
                  </w:r>
                </w:p>
              </w:tc>
              <w:tc>
                <w:tcPr>
                  <w:tcW w:w="489" w:type="pct"/>
                  <w:tcBorders>
                    <w:tl2br w:val="nil"/>
                    <w:tr2bl w:val="nil"/>
                  </w:tcBorders>
                  <w:vAlign w:val="center"/>
                </w:tcPr>
                <w:p w14:paraId="7CE9EEA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≤450</w:t>
                  </w:r>
                </w:p>
              </w:tc>
              <w:tc>
                <w:tcPr>
                  <w:tcW w:w="816" w:type="pct"/>
                  <w:tcBorders>
                    <w:tl2br w:val="nil"/>
                    <w:tr2bl w:val="nil"/>
                  </w:tcBorders>
                  <w:vAlign w:val="center"/>
                </w:tcPr>
                <w:p w14:paraId="2B941BC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≤650</w:t>
                  </w:r>
                </w:p>
              </w:tc>
              <w:tc>
                <w:tcPr>
                  <w:tcW w:w="736" w:type="pct"/>
                  <w:tcBorders>
                    <w:tl2br w:val="nil"/>
                    <w:tr2bl w:val="nil"/>
                  </w:tcBorders>
                  <w:vAlign w:val="center"/>
                </w:tcPr>
                <w:p w14:paraId="218701C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&gt;650</w:t>
                  </w:r>
                </w:p>
              </w:tc>
            </w:tr>
            <w:tr w14:paraId="17F8B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233A7753">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溶解性总固体</w:t>
                  </w:r>
                </w:p>
              </w:tc>
              <w:tc>
                <w:tcPr>
                  <w:tcW w:w="553" w:type="pct"/>
                  <w:tcBorders>
                    <w:tl2br w:val="nil"/>
                    <w:tr2bl w:val="nil"/>
                  </w:tcBorders>
                  <w:vAlign w:val="center"/>
                </w:tcPr>
                <w:p w14:paraId="52153DF9">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≤300</w:t>
                  </w:r>
                </w:p>
              </w:tc>
              <w:tc>
                <w:tcPr>
                  <w:tcW w:w="635" w:type="pct"/>
                  <w:tcBorders>
                    <w:tl2br w:val="nil"/>
                    <w:tr2bl w:val="nil"/>
                  </w:tcBorders>
                  <w:vAlign w:val="center"/>
                </w:tcPr>
                <w:p w14:paraId="71E8025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≤500</w:t>
                  </w:r>
                </w:p>
              </w:tc>
              <w:tc>
                <w:tcPr>
                  <w:tcW w:w="489" w:type="pct"/>
                  <w:tcBorders>
                    <w:tl2br w:val="nil"/>
                    <w:tr2bl w:val="nil"/>
                  </w:tcBorders>
                  <w:vAlign w:val="center"/>
                </w:tcPr>
                <w:p w14:paraId="4B9964D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≤1000</w:t>
                  </w:r>
                </w:p>
              </w:tc>
              <w:tc>
                <w:tcPr>
                  <w:tcW w:w="816" w:type="pct"/>
                  <w:tcBorders>
                    <w:tl2br w:val="nil"/>
                    <w:tr2bl w:val="nil"/>
                  </w:tcBorders>
                  <w:vAlign w:val="center"/>
                </w:tcPr>
                <w:p w14:paraId="06C96BD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≤2000</w:t>
                  </w:r>
                </w:p>
              </w:tc>
              <w:tc>
                <w:tcPr>
                  <w:tcW w:w="736" w:type="pct"/>
                  <w:tcBorders>
                    <w:tl2br w:val="nil"/>
                    <w:tr2bl w:val="nil"/>
                  </w:tcBorders>
                  <w:vAlign w:val="center"/>
                </w:tcPr>
                <w:p w14:paraId="2298AAF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&gt;2000</w:t>
                  </w:r>
                </w:p>
              </w:tc>
            </w:tr>
            <w:tr w14:paraId="358237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3756BC63">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铁</w:t>
                  </w:r>
                </w:p>
              </w:tc>
              <w:tc>
                <w:tcPr>
                  <w:tcW w:w="553" w:type="pct"/>
                  <w:tcBorders>
                    <w:tl2br w:val="nil"/>
                    <w:tr2bl w:val="nil"/>
                  </w:tcBorders>
                  <w:vAlign w:val="center"/>
                </w:tcPr>
                <w:p w14:paraId="200BD8E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≤0.1</w:t>
                  </w:r>
                </w:p>
              </w:tc>
              <w:tc>
                <w:tcPr>
                  <w:tcW w:w="635" w:type="pct"/>
                  <w:tcBorders>
                    <w:tl2br w:val="nil"/>
                    <w:tr2bl w:val="nil"/>
                  </w:tcBorders>
                  <w:vAlign w:val="center"/>
                </w:tcPr>
                <w:p w14:paraId="3711991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≤0.2</w:t>
                  </w:r>
                </w:p>
              </w:tc>
              <w:tc>
                <w:tcPr>
                  <w:tcW w:w="489" w:type="pct"/>
                  <w:tcBorders>
                    <w:tl2br w:val="nil"/>
                    <w:tr2bl w:val="nil"/>
                  </w:tcBorders>
                  <w:vAlign w:val="center"/>
                </w:tcPr>
                <w:p w14:paraId="0746412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≤0.3</w:t>
                  </w:r>
                </w:p>
              </w:tc>
              <w:tc>
                <w:tcPr>
                  <w:tcW w:w="816" w:type="pct"/>
                  <w:tcBorders>
                    <w:tl2br w:val="nil"/>
                    <w:tr2bl w:val="nil"/>
                  </w:tcBorders>
                  <w:vAlign w:val="center"/>
                </w:tcPr>
                <w:p w14:paraId="4496CE6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≤2.0</w:t>
                  </w:r>
                </w:p>
              </w:tc>
              <w:tc>
                <w:tcPr>
                  <w:tcW w:w="736" w:type="pct"/>
                  <w:tcBorders>
                    <w:tl2br w:val="nil"/>
                    <w:tr2bl w:val="nil"/>
                  </w:tcBorders>
                  <w:vAlign w:val="center"/>
                </w:tcPr>
                <w:p w14:paraId="770D44E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&gt;2.0</w:t>
                  </w:r>
                </w:p>
              </w:tc>
            </w:tr>
            <w:tr w14:paraId="136120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26D4FE94">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锰</w:t>
                  </w:r>
                </w:p>
              </w:tc>
              <w:tc>
                <w:tcPr>
                  <w:tcW w:w="553" w:type="pct"/>
                  <w:tcBorders>
                    <w:tl2br w:val="nil"/>
                    <w:tr2bl w:val="nil"/>
                  </w:tcBorders>
                  <w:vAlign w:val="center"/>
                </w:tcPr>
                <w:p w14:paraId="77ACA2F9">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≤0.05</w:t>
                  </w:r>
                </w:p>
              </w:tc>
              <w:tc>
                <w:tcPr>
                  <w:tcW w:w="635" w:type="pct"/>
                  <w:tcBorders>
                    <w:tl2br w:val="nil"/>
                    <w:tr2bl w:val="nil"/>
                  </w:tcBorders>
                  <w:vAlign w:val="center"/>
                </w:tcPr>
                <w:p w14:paraId="2B2C8C4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≤0.05</w:t>
                  </w:r>
                </w:p>
              </w:tc>
              <w:tc>
                <w:tcPr>
                  <w:tcW w:w="489" w:type="pct"/>
                  <w:tcBorders>
                    <w:tl2br w:val="nil"/>
                    <w:tr2bl w:val="nil"/>
                  </w:tcBorders>
                  <w:vAlign w:val="center"/>
                </w:tcPr>
                <w:p w14:paraId="2668C9B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≤0.10</w:t>
                  </w:r>
                </w:p>
              </w:tc>
              <w:tc>
                <w:tcPr>
                  <w:tcW w:w="816" w:type="pct"/>
                  <w:tcBorders>
                    <w:tl2br w:val="nil"/>
                    <w:tr2bl w:val="nil"/>
                  </w:tcBorders>
                  <w:vAlign w:val="center"/>
                </w:tcPr>
                <w:p w14:paraId="3AD23AC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≤1.50</w:t>
                  </w:r>
                </w:p>
              </w:tc>
              <w:tc>
                <w:tcPr>
                  <w:tcW w:w="736" w:type="pct"/>
                  <w:tcBorders>
                    <w:tl2br w:val="nil"/>
                    <w:tr2bl w:val="nil"/>
                  </w:tcBorders>
                  <w:vAlign w:val="center"/>
                </w:tcPr>
                <w:p w14:paraId="1B15FB6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&gt;1.50</w:t>
                  </w:r>
                </w:p>
              </w:tc>
            </w:tr>
            <w:tr w14:paraId="308EE7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5C807E55">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硫酸盐</w:t>
                  </w:r>
                </w:p>
              </w:tc>
              <w:tc>
                <w:tcPr>
                  <w:tcW w:w="553" w:type="pct"/>
                  <w:tcBorders>
                    <w:tl2br w:val="nil"/>
                    <w:tr2bl w:val="nil"/>
                  </w:tcBorders>
                  <w:vAlign w:val="center"/>
                </w:tcPr>
                <w:p w14:paraId="3BE6851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≤50</w:t>
                  </w:r>
                </w:p>
              </w:tc>
              <w:tc>
                <w:tcPr>
                  <w:tcW w:w="635" w:type="pct"/>
                  <w:tcBorders>
                    <w:tl2br w:val="nil"/>
                    <w:tr2bl w:val="nil"/>
                  </w:tcBorders>
                  <w:vAlign w:val="center"/>
                </w:tcPr>
                <w:p w14:paraId="4F75B8E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≤150</w:t>
                  </w:r>
                </w:p>
              </w:tc>
              <w:tc>
                <w:tcPr>
                  <w:tcW w:w="489" w:type="pct"/>
                  <w:tcBorders>
                    <w:tl2br w:val="nil"/>
                    <w:tr2bl w:val="nil"/>
                  </w:tcBorders>
                  <w:vAlign w:val="center"/>
                </w:tcPr>
                <w:p w14:paraId="016708B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≤250</w:t>
                  </w:r>
                </w:p>
              </w:tc>
              <w:tc>
                <w:tcPr>
                  <w:tcW w:w="816" w:type="pct"/>
                  <w:tcBorders>
                    <w:tl2br w:val="nil"/>
                    <w:tr2bl w:val="nil"/>
                  </w:tcBorders>
                  <w:vAlign w:val="center"/>
                </w:tcPr>
                <w:p w14:paraId="4727540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≤350</w:t>
                  </w:r>
                </w:p>
              </w:tc>
              <w:tc>
                <w:tcPr>
                  <w:tcW w:w="736" w:type="pct"/>
                  <w:tcBorders>
                    <w:tl2br w:val="nil"/>
                    <w:tr2bl w:val="nil"/>
                  </w:tcBorders>
                  <w:vAlign w:val="center"/>
                </w:tcPr>
                <w:p w14:paraId="074879C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&gt;350</w:t>
                  </w:r>
                </w:p>
              </w:tc>
            </w:tr>
            <w:tr w14:paraId="3ABB15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0731E067">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亚硝酸盐（以N计）</w:t>
                  </w:r>
                </w:p>
              </w:tc>
              <w:tc>
                <w:tcPr>
                  <w:tcW w:w="553" w:type="pct"/>
                  <w:tcBorders>
                    <w:tl2br w:val="nil"/>
                    <w:tr2bl w:val="nil"/>
                  </w:tcBorders>
                  <w:vAlign w:val="center"/>
                </w:tcPr>
                <w:p w14:paraId="21BBB98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w:t>
                  </w:r>
                  <w:r>
                    <w:rPr>
                      <w:rFonts w:hint="default" w:ascii="Times New Roman" w:hAnsi="Times New Roman" w:eastAsia="仿宋_GB2312" w:cs="Times New Roman"/>
                      <w:color w:val="auto"/>
                      <w:sz w:val="21"/>
                    </w:rPr>
                    <w:t>0</w:t>
                  </w:r>
                  <w:r>
                    <w:rPr>
                      <w:rFonts w:hint="default" w:ascii="Times New Roman" w:hAnsi="Times New Roman" w:eastAsia="仿宋_GB2312" w:cs="Times New Roman"/>
                      <w:color w:val="auto"/>
                      <w:sz w:val="21"/>
                      <w:lang w:val="en-GB"/>
                    </w:rPr>
                    <w:t>1</w:t>
                  </w:r>
                </w:p>
              </w:tc>
              <w:tc>
                <w:tcPr>
                  <w:tcW w:w="635" w:type="pct"/>
                  <w:tcBorders>
                    <w:tl2br w:val="nil"/>
                    <w:tr2bl w:val="nil"/>
                  </w:tcBorders>
                  <w:vAlign w:val="center"/>
                </w:tcPr>
                <w:p w14:paraId="6560931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≤0.1</w:t>
                  </w:r>
                </w:p>
              </w:tc>
              <w:tc>
                <w:tcPr>
                  <w:tcW w:w="489" w:type="pct"/>
                  <w:tcBorders>
                    <w:tl2br w:val="nil"/>
                    <w:tr2bl w:val="nil"/>
                  </w:tcBorders>
                  <w:vAlign w:val="center"/>
                </w:tcPr>
                <w:p w14:paraId="66D5E38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val="en-GB"/>
                    </w:rPr>
                    <w:t>≤</w:t>
                  </w:r>
                  <w:r>
                    <w:rPr>
                      <w:rFonts w:hint="default" w:ascii="Times New Roman" w:hAnsi="Times New Roman" w:eastAsia="仿宋_GB2312" w:cs="Times New Roman"/>
                      <w:color w:val="auto"/>
                      <w:sz w:val="21"/>
                    </w:rPr>
                    <w:t>1</w:t>
                  </w:r>
                </w:p>
              </w:tc>
              <w:tc>
                <w:tcPr>
                  <w:tcW w:w="816" w:type="pct"/>
                  <w:tcBorders>
                    <w:tl2br w:val="nil"/>
                    <w:tr2bl w:val="nil"/>
                  </w:tcBorders>
                  <w:vAlign w:val="center"/>
                </w:tcPr>
                <w:p w14:paraId="4C60CD6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val="en-GB"/>
                    </w:rPr>
                    <w:t>≤</w:t>
                  </w:r>
                  <w:r>
                    <w:rPr>
                      <w:rFonts w:hint="default" w:ascii="Times New Roman" w:hAnsi="Times New Roman" w:eastAsia="仿宋_GB2312" w:cs="Times New Roman"/>
                      <w:color w:val="auto"/>
                      <w:sz w:val="21"/>
                    </w:rPr>
                    <w:t>4.8</w:t>
                  </w:r>
                </w:p>
              </w:tc>
              <w:tc>
                <w:tcPr>
                  <w:tcW w:w="736" w:type="pct"/>
                  <w:tcBorders>
                    <w:tl2br w:val="nil"/>
                    <w:tr2bl w:val="nil"/>
                  </w:tcBorders>
                  <w:vAlign w:val="center"/>
                </w:tcPr>
                <w:p w14:paraId="78556FA8">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val="en-GB"/>
                    </w:rPr>
                    <w:t>&gt;</w:t>
                  </w:r>
                  <w:r>
                    <w:rPr>
                      <w:rFonts w:hint="default" w:ascii="Times New Roman" w:hAnsi="Times New Roman" w:eastAsia="仿宋_GB2312" w:cs="Times New Roman"/>
                      <w:color w:val="auto"/>
                      <w:sz w:val="21"/>
                    </w:rPr>
                    <w:t>4.8</w:t>
                  </w:r>
                </w:p>
              </w:tc>
            </w:tr>
            <w:tr w14:paraId="7CCCBD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67C85AAA">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氯化物</w:t>
                  </w:r>
                </w:p>
              </w:tc>
              <w:tc>
                <w:tcPr>
                  <w:tcW w:w="553" w:type="pct"/>
                  <w:tcBorders>
                    <w:tl2br w:val="nil"/>
                    <w:tr2bl w:val="nil"/>
                  </w:tcBorders>
                  <w:vAlign w:val="center"/>
                </w:tcPr>
                <w:p w14:paraId="4242D5B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≤50</w:t>
                  </w:r>
                </w:p>
              </w:tc>
              <w:tc>
                <w:tcPr>
                  <w:tcW w:w="635" w:type="pct"/>
                  <w:tcBorders>
                    <w:tl2br w:val="nil"/>
                    <w:tr2bl w:val="nil"/>
                  </w:tcBorders>
                  <w:vAlign w:val="center"/>
                </w:tcPr>
                <w:p w14:paraId="522EC70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≤150</w:t>
                  </w:r>
                </w:p>
              </w:tc>
              <w:tc>
                <w:tcPr>
                  <w:tcW w:w="489" w:type="pct"/>
                  <w:tcBorders>
                    <w:tl2br w:val="nil"/>
                    <w:tr2bl w:val="nil"/>
                  </w:tcBorders>
                  <w:vAlign w:val="center"/>
                </w:tcPr>
                <w:p w14:paraId="0567EBE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≤250</w:t>
                  </w:r>
                </w:p>
              </w:tc>
              <w:tc>
                <w:tcPr>
                  <w:tcW w:w="816" w:type="pct"/>
                  <w:tcBorders>
                    <w:tl2br w:val="nil"/>
                    <w:tr2bl w:val="nil"/>
                  </w:tcBorders>
                  <w:vAlign w:val="center"/>
                </w:tcPr>
                <w:p w14:paraId="5BBD345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≤350</w:t>
                  </w:r>
                </w:p>
              </w:tc>
              <w:tc>
                <w:tcPr>
                  <w:tcW w:w="736" w:type="pct"/>
                  <w:tcBorders>
                    <w:tl2br w:val="nil"/>
                    <w:tr2bl w:val="nil"/>
                  </w:tcBorders>
                  <w:vAlign w:val="center"/>
                </w:tcPr>
                <w:p w14:paraId="2750FFD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&gt;350</w:t>
                  </w:r>
                </w:p>
              </w:tc>
            </w:tr>
            <w:tr w14:paraId="0B1F8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0CD18BF1">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挥发性酚类（以苯酚计）</w:t>
                  </w:r>
                </w:p>
              </w:tc>
              <w:tc>
                <w:tcPr>
                  <w:tcW w:w="553" w:type="pct"/>
                  <w:tcBorders>
                    <w:tl2br w:val="nil"/>
                    <w:tr2bl w:val="nil"/>
                  </w:tcBorders>
                  <w:vAlign w:val="center"/>
                </w:tcPr>
                <w:p w14:paraId="6DF391B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≤0.001</w:t>
                  </w:r>
                </w:p>
              </w:tc>
              <w:tc>
                <w:tcPr>
                  <w:tcW w:w="635" w:type="pct"/>
                  <w:tcBorders>
                    <w:tl2br w:val="nil"/>
                    <w:tr2bl w:val="nil"/>
                  </w:tcBorders>
                  <w:vAlign w:val="center"/>
                </w:tcPr>
                <w:p w14:paraId="1520EF28">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≤0.001</w:t>
                  </w:r>
                </w:p>
              </w:tc>
              <w:tc>
                <w:tcPr>
                  <w:tcW w:w="489" w:type="pct"/>
                  <w:tcBorders>
                    <w:tl2br w:val="nil"/>
                    <w:tr2bl w:val="nil"/>
                  </w:tcBorders>
                  <w:vAlign w:val="center"/>
                </w:tcPr>
                <w:p w14:paraId="75B9720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≤0.002</w:t>
                  </w:r>
                </w:p>
              </w:tc>
              <w:tc>
                <w:tcPr>
                  <w:tcW w:w="816" w:type="pct"/>
                  <w:tcBorders>
                    <w:tl2br w:val="nil"/>
                    <w:tr2bl w:val="nil"/>
                  </w:tcBorders>
                  <w:vAlign w:val="center"/>
                </w:tcPr>
                <w:p w14:paraId="400CFB95">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≤0.01</w:t>
                  </w:r>
                </w:p>
              </w:tc>
              <w:tc>
                <w:tcPr>
                  <w:tcW w:w="736" w:type="pct"/>
                  <w:tcBorders>
                    <w:tl2br w:val="nil"/>
                    <w:tr2bl w:val="nil"/>
                  </w:tcBorders>
                  <w:vAlign w:val="center"/>
                </w:tcPr>
                <w:p w14:paraId="5481BD8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&gt;0.01</w:t>
                  </w:r>
                </w:p>
              </w:tc>
            </w:tr>
            <w:tr w14:paraId="4E10BD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005C57F4">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铅</w:t>
                  </w:r>
                </w:p>
              </w:tc>
              <w:tc>
                <w:tcPr>
                  <w:tcW w:w="553" w:type="pct"/>
                  <w:tcBorders>
                    <w:tl2br w:val="nil"/>
                    <w:tr2bl w:val="nil"/>
                  </w:tcBorders>
                  <w:vAlign w:val="center"/>
                </w:tcPr>
                <w:p w14:paraId="0E56AA35">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≤0.005</w:t>
                  </w:r>
                </w:p>
              </w:tc>
              <w:tc>
                <w:tcPr>
                  <w:tcW w:w="635" w:type="pct"/>
                  <w:tcBorders>
                    <w:tl2br w:val="nil"/>
                    <w:tr2bl w:val="nil"/>
                  </w:tcBorders>
                  <w:vAlign w:val="center"/>
                </w:tcPr>
                <w:p w14:paraId="11EAAA8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val="en-GB"/>
                    </w:rPr>
                    <w:t>≤0.0</w:t>
                  </w:r>
                  <w:r>
                    <w:rPr>
                      <w:rFonts w:hint="default" w:ascii="Times New Roman" w:hAnsi="Times New Roman" w:eastAsia="仿宋_GB2312" w:cs="Times New Roman"/>
                      <w:color w:val="auto"/>
                      <w:sz w:val="21"/>
                    </w:rPr>
                    <w:t>05</w:t>
                  </w:r>
                </w:p>
              </w:tc>
              <w:tc>
                <w:tcPr>
                  <w:tcW w:w="489" w:type="pct"/>
                  <w:tcBorders>
                    <w:tl2br w:val="nil"/>
                    <w:tr2bl w:val="nil"/>
                  </w:tcBorders>
                  <w:vAlign w:val="center"/>
                </w:tcPr>
                <w:p w14:paraId="67478DE5">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w:t>
                  </w:r>
                  <w:r>
                    <w:rPr>
                      <w:rFonts w:hint="default" w:ascii="Times New Roman" w:hAnsi="Times New Roman" w:eastAsia="仿宋_GB2312" w:cs="Times New Roman"/>
                      <w:color w:val="auto"/>
                      <w:sz w:val="21"/>
                    </w:rPr>
                    <w:t>1</w:t>
                  </w:r>
                </w:p>
              </w:tc>
              <w:tc>
                <w:tcPr>
                  <w:tcW w:w="816" w:type="pct"/>
                  <w:tcBorders>
                    <w:tl2br w:val="nil"/>
                    <w:tr2bl w:val="nil"/>
                  </w:tcBorders>
                  <w:vAlign w:val="center"/>
                </w:tcPr>
                <w:p w14:paraId="1B1E368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≤0.1</w:t>
                  </w:r>
                </w:p>
              </w:tc>
              <w:tc>
                <w:tcPr>
                  <w:tcW w:w="736" w:type="pct"/>
                  <w:tcBorders>
                    <w:tl2br w:val="nil"/>
                    <w:tr2bl w:val="nil"/>
                  </w:tcBorders>
                  <w:vAlign w:val="center"/>
                </w:tcPr>
                <w:p w14:paraId="5843971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&gt;0.1</w:t>
                  </w:r>
                </w:p>
              </w:tc>
            </w:tr>
            <w:tr w14:paraId="05AF84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328934CA">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汞</w:t>
                  </w:r>
                </w:p>
              </w:tc>
              <w:tc>
                <w:tcPr>
                  <w:tcW w:w="553" w:type="pct"/>
                  <w:tcBorders>
                    <w:tl2br w:val="nil"/>
                    <w:tr2bl w:val="nil"/>
                  </w:tcBorders>
                  <w:vAlign w:val="center"/>
                </w:tcPr>
                <w:p w14:paraId="3A85E7B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val="en-GB"/>
                    </w:rPr>
                    <w:t>≤0.000</w:t>
                  </w:r>
                  <w:r>
                    <w:rPr>
                      <w:rFonts w:hint="default" w:ascii="Times New Roman" w:hAnsi="Times New Roman" w:eastAsia="仿宋_GB2312" w:cs="Times New Roman"/>
                      <w:color w:val="auto"/>
                      <w:sz w:val="21"/>
                    </w:rPr>
                    <w:t>1</w:t>
                  </w:r>
                </w:p>
              </w:tc>
              <w:tc>
                <w:tcPr>
                  <w:tcW w:w="635" w:type="pct"/>
                  <w:tcBorders>
                    <w:tl2br w:val="nil"/>
                    <w:tr2bl w:val="nil"/>
                  </w:tcBorders>
                  <w:vAlign w:val="center"/>
                </w:tcPr>
                <w:p w14:paraId="1B6A115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≤0.000</w:t>
                  </w:r>
                  <w:r>
                    <w:rPr>
                      <w:rFonts w:hint="default" w:ascii="Times New Roman" w:hAnsi="Times New Roman" w:eastAsia="仿宋_GB2312" w:cs="Times New Roman"/>
                      <w:color w:val="auto"/>
                      <w:sz w:val="21"/>
                    </w:rPr>
                    <w:t>1</w:t>
                  </w:r>
                </w:p>
              </w:tc>
              <w:tc>
                <w:tcPr>
                  <w:tcW w:w="489" w:type="pct"/>
                  <w:tcBorders>
                    <w:tl2br w:val="nil"/>
                    <w:tr2bl w:val="nil"/>
                  </w:tcBorders>
                  <w:vAlign w:val="center"/>
                </w:tcPr>
                <w:p w14:paraId="0E84EBE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≤0.001</w:t>
                  </w:r>
                </w:p>
              </w:tc>
              <w:tc>
                <w:tcPr>
                  <w:tcW w:w="816" w:type="pct"/>
                  <w:tcBorders>
                    <w:tl2br w:val="nil"/>
                    <w:tr2bl w:val="nil"/>
                  </w:tcBorders>
                  <w:vAlign w:val="center"/>
                </w:tcPr>
                <w:p w14:paraId="6D64B26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w:t>
                  </w:r>
                  <w:r>
                    <w:rPr>
                      <w:rFonts w:hint="default" w:ascii="Times New Roman" w:hAnsi="Times New Roman" w:eastAsia="仿宋_GB2312" w:cs="Times New Roman"/>
                      <w:color w:val="auto"/>
                      <w:sz w:val="21"/>
                    </w:rPr>
                    <w:t>2</w:t>
                  </w:r>
                </w:p>
              </w:tc>
              <w:tc>
                <w:tcPr>
                  <w:tcW w:w="736" w:type="pct"/>
                  <w:tcBorders>
                    <w:tl2br w:val="nil"/>
                    <w:tr2bl w:val="nil"/>
                  </w:tcBorders>
                  <w:vAlign w:val="center"/>
                </w:tcPr>
                <w:p w14:paraId="4D6C05C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&gt;0.00</w:t>
                  </w:r>
                  <w:r>
                    <w:rPr>
                      <w:rFonts w:hint="default" w:ascii="Times New Roman" w:hAnsi="Times New Roman" w:eastAsia="仿宋_GB2312" w:cs="Times New Roman"/>
                      <w:color w:val="auto"/>
                      <w:sz w:val="21"/>
                    </w:rPr>
                    <w:t>2</w:t>
                  </w:r>
                </w:p>
              </w:tc>
            </w:tr>
            <w:tr w14:paraId="0D345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3F490C7D">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镉</w:t>
                  </w:r>
                </w:p>
              </w:tc>
              <w:tc>
                <w:tcPr>
                  <w:tcW w:w="553" w:type="pct"/>
                  <w:tcBorders>
                    <w:tl2br w:val="nil"/>
                    <w:tr2bl w:val="nil"/>
                  </w:tcBorders>
                  <w:vAlign w:val="center"/>
                </w:tcPr>
                <w:p w14:paraId="5C5092C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≤0.0001</w:t>
                  </w:r>
                </w:p>
              </w:tc>
              <w:tc>
                <w:tcPr>
                  <w:tcW w:w="635" w:type="pct"/>
                  <w:tcBorders>
                    <w:tl2br w:val="nil"/>
                    <w:tr2bl w:val="nil"/>
                  </w:tcBorders>
                  <w:vAlign w:val="center"/>
                </w:tcPr>
                <w:p w14:paraId="1DC01038">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≤0.001</w:t>
                  </w:r>
                </w:p>
              </w:tc>
              <w:tc>
                <w:tcPr>
                  <w:tcW w:w="489" w:type="pct"/>
                  <w:tcBorders>
                    <w:tl2br w:val="nil"/>
                    <w:tr2bl w:val="nil"/>
                  </w:tcBorders>
                  <w:vAlign w:val="center"/>
                </w:tcPr>
                <w:p w14:paraId="22A9202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val="en-GB"/>
                    </w:rPr>
                    <w:t>≤0.0</w:t>
                  </w:r>
                  <w:r>
                    <w:rPr>
                      <w:rFonts w:hint="default" w:ascii="Times New Roman" w:hAnsi="Times New Roman" w:eastAsia="仿宋_GB2312" w:cs="Times New Roman"/>
                      <w:color w:val="auto"/>
                      <w:sz w:val="21"/>
                    </w:rPr>
                    <w:t>05</w:t>
                  </w:r>
                </w:p>
              </w:tc>
              <w:tc>
                <w:tcPr>
                  <w:tcW w:w="816" w:type="pct"/>
                  <w:tcBorders>
                    <w:tl2br w:val="nil"/>
                    <w:tr2bl w:val="nil"/>
                  </w:tcBorders>
                  <w:vAlign w:val="center"/>
                </w:tcPr>
                <w:p w14:paraId="1582E75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≤0.01</w:t>
                  </w:r>
                </w:p>
              </w:tc>
              <w:tc>
                <w:tcPr>
                  <w:tcW w:w="736" w:type="pct"/>
                  <w:tcBorders>
                    <w:tl2br w:val="nil"/>
                    <w:tr2bl w:val="nil"/>
                  </w:tcBorders>
                  <w:vAlign w:val="center"/>
                </w:tcPr>
                <w:p w14:paraId="38C1DB7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&gt;0.01</w:t>
                  </w:r>
                </w:p>
              </w:tc>
            </w:tr>
            <w:tr w14:paraId="07876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4C36CE16">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铬（六价）</w:t>
                  </w:r>
                </w:p>
              </w:tc>
              <w:tc>
                <w:tcPr>
                  <w:tcW w:w="553" w:type="pct"/>
                  <w:tcBorders>
                    <w:tl2br w:val="nil"/>
                    <w:tr2bl w:val="nil"/>
                  </w:tcBorders>
                  <w:vAlign w:val="center"/>
                </w:tcPr>
                <w:p w14:paraId="3747E27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≤0.005</w:t>
                  </w:r>
                </w:p>
              </w:tc>
              <w:tc>
                <w:tcPr>
                  <w:tcW w:w="635" w:type="pct"/>
                  <w:tcBorders>
                    <w:tl2br w:val="nil"/>
                    <w:tr2bl w:val="nil"/>
                  </w:tcBorders>
                  <w:vAlign w:val="center"/>
                </w:tcPr>
                <w:p w14:paraId="4AE4686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≤0.01</w:t>
                  </w:r>
                </w:p>
              </w:tc>
              <w:tc>
                <w:tcPr>
                  <w:tcW w:w="489" w:type="pct"/>
                  <w:tcBorders>
                    <w:tl2br w:val="nil"/>
                    <w:tr2bl w:val="nil"/>
                  </w:tcBorders>
                  <w:vAlign w:val="center"/>
                </w:tcPr>
                <w:p w14:paraId="32D052B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≤0.05</w:t>
                  </w:r>
                </w:p>
              </w:tc>
              <w:tc>
                <w:tcPr>
                  <w:tcW w:w="816" w:type="pct"/>
                  <w:tcBorders>
                    <w:tl2br w:val="nil"/>
                    <w:tr2bl w:val="nil"/>
                  </w:tcBorders>
                  <w:vAlign w:val="center"/>
                </w:tcPr>
                <w:p w14:paraId="5CA2977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≤0.1</w:t>
                  </w:r>
                </w:p>
              </w:tc>
              <w:tc>
                <w:tcPr>
                  <w:tcW w:w="736" w:type="pct"/>
                  <w:tcBorders>
                    <w:tl2br w:val="nil"/>
                    <w:tr2bl w:val="nil"/>
                  </w:tcBorders>
                  <w:vAlign w:val="center"/>
                </w:tcPr>
                <w:p w14:paraId="215F783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&gt;0.1</w:t>
                  </w:r>
                </w:p>
              </w:tc>
            </w:tr>
            <w:tr w14:paraId="2E4752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5B7AF5EA">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砷</w:t>
                  </w:r>
                </w:p>
              </w:tc>
              <w:tc>
                <w:tcPr>
                  <w:tcW w:w="553" w:type="pct"/>
                  <w:tcBorders>
                    <w:tl2br w:val="nil"/>
                    <w:tr2bl w:val="nil"/>
                  </w:tcBorders>
                  <w:vAlign w:val="center"/>
                </w:tcPr>
                <w:p w14:paraId="46B3EE6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w:t>
                  </w:r>
                  <w:r>
                    <w:rPr>
                      <w:rFonts w:hint="default" w:ascii="Times New Roman" w:hAnsi="Times New Roman" w:eastAsia="仿宋_GB2312" w:cs="Times New Roman"/>
                      <w:color w:val="auto"/>
                      <w:sz w:val="21"/>
                    </w:rPr>
                    <w:t>1</w:t>
                  </w:r>
                </w:p>
              </w:tc>
              <w:tc>
                <w:tcPr>
                  <w:tcW w:w="635" w:type="pct"/>
                  <w:tcBorders>
                    <w:tl2br w:val="nil"/>
                    <w:tr2bl w:val="nil"/>
                  </w:tcBorders>
                  <w:vAlign w:val="center"/>
                </w:tcPr>
                <w:p w14:paraId="6C8906F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w:t>
                  </w:r>
                  <w:r>
                    <w:rPr>
                      <w:rFonts w:hint="default" w:ascii="Times New Roman" w:hAnsi="Times New Roman" w:eastAsia="仿宋_GB2312" w:cs="Times New Roman"/>
                      <w:color w:val="auto"/>
                      <w:sz w:val="21"/>
                    </w:rPr>
                    <w:t>0</w:t>
                  </w:r>
                  <w:r>
                    <w:rPr>
                      <w:rFonts w:hint="default" w:ascii="Times New Roman" w:hAnsi="Times New Roman" w:eastAsia="仿宋_GB2312" w:cs="Times New Roman"/>
                      <w:color w:val="auto"/>
                      <w:sz w:val="21"/>
                      <w:lang w:val="en-GB"/>
                    </w:rPr>
                    <w:t>1</w:t>
                  </w:r>
                </w:p>
              </w:tc>
              <w:tc>
                <w:tcPr>
                  <w:tcW w:w="489" w:type="pct"/>
                  <w:tcBorders>
                    <w:tl2br w:val="nil"/>
                    <w:tr2bl w:val="nil"/>
                  </w:tcBorders>
                  <w:vAlign w:val="center"/>
                </w:tcPr>
                <w:p w14:paraId="78DC2D6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w:t>
                  </w:r>
                  <w:r>
                    <w:rPr>
                      <w:rFonts w:hint="default" w:ascii="Times New Roman" w:hAnsi="Times New Roman" w:eastAsia="仿宋_GB2312" w:cs="Times New Roman"/>
                      <w:color w:val="auto"/>
                      <w:sz w:val="21"/>
                    </w:rPr>
                    <w:t>1</w:t>
                  </w:r>
                </w:p>
              </w:tc>
              <w:tc>
                <w:tcPr>
                  <w:tcW w:w="816" w:type="pct"/>
                  <w:tcBorders>
                    <w:tl2br w:val="nil"/>
                    <w:tr2bl w:val="nil"/>
                  </w:tcBorders>
                  <w:vAlign w:val="center"/>
                </w:tcPr>
                <w:p w14:paraId="4EA1E65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≤0.05</w:t>
                  </w:r>
                </w:p>
              </w:tc>
              <w:tc>
                <w:tcPr>
                  <w:tcW w:w="736" w:type="pct"/>
                  <w:tcBorders>
                    <w:tl2br w:val="nil"/>
                    <w:tr2bl w:val="nil"/>
                  </w:tcBorders>
                  <w:vAlign w:val="center"/>
                </w:tcPr>
                <w:p w14:paraId="4A031D2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&gt;0.05</w:t>
                  </w:r>
                </w:p>
              </w:tc>
            </w:tr>
            <w:tr w14:paraId="492D4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773D9B44">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氰化物</w:t>
                  </w:r>
                </w:p>
              </w:tc>
              <w:tc>
                <w:tcPr>
                  <w:tcW w:w="553" w:type="pct"/>
                  <w:tcBorders>
                    <w:tl2br w:val="nil"/>
                    <w:tr2bl w:val="nil"/>
                  </w:tcBorders>
                  <w:vAlign w:val="center"/>
                </w:tcPr>
                <w:p w14:paraId="3AF30A2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≤0.001</w:t>
                  </w:r>
                </w:p>
              </w:tc>
              <w:tc>
                <w:tcPr>
                  <w:tcW w:w="635" w:type="pct"/>
                  <w:tcBorders>
                    <w:tl2br w:val="nil"/>
                    <w:tr2bl w:val="nil"/>
                  </w:tcBorders>
                  <w:vAlign w:val="center"/>
                </w:tcPr>
                <w:p w14:paraId="4948119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≤0.01</w:t>
                  </w:r>
                </w:p>
              </w:tc>
              <w:tc>
                <w:tcPr>
                  <w:tcW w:w="489" w:type="pct"/>
                  <w:tcBorders>
                    <w:tl2br w:val="nil"/>
                    <w:tr2bl w:val="nil"/>
                  </w:tcBorders>
                  <w:vAlign w:val="center"/>
                </w:tcPr>
                <w:p w14:paraId="5E27BB9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≤0.05</w:t>
                  </w:r>
                </w:p>
              </w:tc>
              <w:tc>
                <w:tcPr>
                  <w:tcW w:w="816" w:type="pct"/>
                  <w:tcBorders>
                    <w:tl2br w:val="nil"/>
                    <w:tr2bl w:val="nil"/>
                  </w:tcBorders>
                  <w:vAlign w:val="center"/>
                </w:tcPr>
                <w:p w14:paraId="020D167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≤0.1</w:t>
                  </w:r>
                </w:p>
              </w:tc>
              <w:tc>
                <w:tcPr>
                  <w:tcW w:w="736" w:type="pct"/>
                  <w:tcBorders>
                    <w:tl2br w:val="nil"/>
                    <w:tr2bl w:val="nil"/>
                  </w:tcBorders>
                  <w:vAlign w:val="center"/>
                </w:tcPr>
                <w:p w14:paraId="49C7B58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&gt;0.1</w:t>
                  </w:r>
                </w:p>
              </w:tc>
            </w:tr>
            <w:tr w14:paraId="34B610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5B5121BF">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氟化物</w:t>
                  </w:r>
                </w:p>
              </w:tc>
              <w:tc>
                <w:tcPr>
                  <w:tcW w:w="553" w:type="pct"/>
                  <w:tcBorders>
                    <w:tl2br w:val="nil"/>
                    <w:tr2bl w:val="nil"/>
                  </w:tcBorders>
                  <w:vAlign w:val="center"/>
                </w:tcPr>
                <w:p w14:paraId="3BC36D5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w:t>
                  </w:r>
                </w:p>
              </w:tc>
              <w:tc>
                <w:tcPr>
                  <w:tcW w:w="635" w:type="pct"/>
                  <w:tcBorders>
                    <w:tl2br w:val="nil"/>
                    <w:tr2bl w:val="nil"/>
                  </w:tcBorders>
                  <w:vAlign w:val="center"/>
                </w:tcPr>
                <w:p w14:paraId="4429FD0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w:t>
                  </w:r>
                </w:p>
              </w:tc>
              <w:tc>
                <w:tcPr>
                  <w:tcW w:w="489" w:type="pct"/>
                  <w:tcBorders>
                    <w:tl2br w:val="nil"/>
                    <w:tr2bl w:val="nil"/>
                  </w:tcBorders>
                  <w:vAlign w:val="center"/>
                </w:tcPr>
                <w:p w14:paraId="017F261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w:t>
                  </w:r>
                </w:p>
              </w:tc>
              <w:tc>
                <w:tcPr>
                  <w:tcW w:w="816" w:type="pct"/>
                  <w:tcBorders>
                    <w:tl2br w:val="nil"/>
                    <w:tr2bl w:val="nil"/>
                  </w:tcBorders>
                  <w:vAlign w:val="center"/>
                </w:tcPr>
                <w:p w14:paraId="23B8DCA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≤2.0</w:t>
                  </w:r>
                </w:p>
              </w:tc>
              <w:tc>
                <w:tcPr>
                  <w:tcW w:w="736" w:type="pct"/>
                  <w:tcBorders>
                    <w:tl2br w:val="nil"/>
                    <w:tr2bl w:val="nil"/>
                  </w:tcBorders>
                  <w:vAlign w:val="center"/>
                </w:tcPr>
                <w:p w14:paraId="4FAA814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&gt;2.0</w:t>
                  </w:r>
                </w:p>
              </w:tc>
            </w:tr>
            <w:tr w14:paraId="5A371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03C0B5AB">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钠</w:t>
                  </w:r>
                </w:p>
              </w:tc>
              <w:tc>
                <w:tcPr>
                  <w:tcW w:w="553" w:type="pct"/>
                  <w:tcBorders>
                    <w:tl2br w:val="nil"/>
                    <w:tr2bl w:val="nil"/>
                  </w:tcBorders>
                  <w:vAlign w:val="center"/>
                </w:tcPr>
                <w:p w14:paraId="5F2A3CD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≤100</w:t>
                  </w:r>
                </w:p>
              </w:tc>
              <w:tc>
                <w:tcPr>
                  <w:tcW w:w="635" w:type="pct"/>
                  <w:tcBorders>
                    <w:tl2br w:val="nil"/>
                    <w:tr2bl w:val="nil"/>
                  </w:tcBorders>
                  <w:vAlign w:val="center"/>
                </w:tcPr>
                <w:p w14:paraId="219591F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≤150</w:t>
                  </w:r>
                </w:p>
              </w:tc>
              <w:tc>
                <w:tcPr>
                  <w:tcW w:w="489" w:type="pct"/>
                  <w:tcBorders>
                    <w:tl2br w:val="nil"/>
                    <w:tr2bl w:val="nil"/>
                  </w:tcBorders>
                  <w:vAlign w:val="center"/>
                </w:tcPr>
                <w:p w14:paraId="7770559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≤200</w:t>
                  </w:r>
                </w:p>
              </w:tc>
              <w:tc>
                <w:tcPr>
                  <w:tcW w:w="816" w:type="pct"/>
                  <w:tcBorders>
                    <w:tl2br w:val="nil"/>
                    <w:tr2bl w:val="nil"/>
                  </w:tcBorders>
                  <w:vAlign w:val="center"/>
                </w:tcPr>
                <w:p w14:paraId="054CE2B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≤400</w:t>
                  </w:r>
                </w:p>
              </w:tc>
              <w:tc>
                <w:tcPr>
                  <w:tcW w:w="736" w:type="pct"/>
                  <w:tcBorders>
                    <w:tl2br w:val="nil"/>
                    <w:tr2bl w:val="nil"/>
                  </w:tcBorders>
                  <w:vAlign w:val="center"/>
                </w:tcPr>
                <w:p w14:paraId="69D2B96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&gt;400</w:t>
                  </w:r>
                </w:p>
              </w:tc>
            </w:tr>
            <w:tr w14:paraId="246730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7B0648A9">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总大肠菌群（MPN/100mL或CFU/100mL）</w:t>
                  </w:r>
                </w:p>
              </w:tc>
              <w:tc>
                <w:tcPr>
                  <w:tcW w:w="553" w:type="pct"/>
                  <w:tcBorders>
                    <w:tl2br w:val="nil"/>
                    <w:tr2bl w:val="nil"/>
                  </w:tcBorders>
                  <w:vAlign w:val="center"/>
                </w:tcPr>
                <w:p w14:paraId="36F2C77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≤3.0</w:t>
                  </w:r>
                </w:p>
              </w:tc>
              <w:tc>
                <w:tcPr>
                  <w:tcW w:w="635" w:type="pct"/>
                  <w:tcBorders>
                    <w:tl2br w:val="nil"/>
                    <w:tr2bl w:val="nil"/>
                  </w:tcBorders>
                  <w:vAlign w:val="center"/>
                </w:tcPr>
                <w:p w14:paraId="4484D92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≤3.0</w:t>
                  </w:r>
                </w:p>
              </w:tc>
              <w:tc>
                <w:tcPr>
                  <w:tcW w:w="489" w:type="pct"/>
                  <w:tcBorders>
                    <w:tl2br w:val="nil"/>
                    <w:tr2bl w:val="nil"/>
                  </w:tcBorders>
                  <w:vAlign w:val="center"/>
                </w:tcPr>
                <w:p w14:paraId="1DA1D20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≤3.0</w:t>
                  </w:r>
                </w:p>
              </w:tc>
              <w:tc>
                <w:tcPr>
                  <w:tcW w:w="816" w:type="pct"/>
                  <w:tcBorders>
                    <w:tl2br w:val="nil"/>
                    <w:tr2bl w:val="nil"/>
                  </w:tcBorders>
                  <w:vAlign w:val="center"/>
                </w:tcPr>
                <w:p w14:paraId="00A02C2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≤100</w:t>
                  </w:r>
                </w:p>
              </w:tc>
              <w:tc>
                <w:tcPr>
                  <w:tcW w:w="736" w:type="pct"/>
                  <w:tcBorders>
                    <w:tl2br w:val="nil"/>
                    <w:tr2bl w:val="nil"/>
                  </w:tcBorders>
                  <w:vAlign w:val="center"/>
                </w:tcPr>
                <w:p w14:paraId="3D41CFDA">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&gt;100</w:t>
                  </w:r>
                </w:p>
              </w:tc>
            </w:tr>
            <w:tr w14:paraId="262F5C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69" w:type="pct"/>
                  <w:tcBorders>
                    <w:tl2br w:val="nil"/>
                    <w:tr2bl w:val="nil"/>
                  </w:tcBorders>
                  <w:vAlign w:val="center"/>
                </w:tcPr>
                <w:p w14:paraId="640A7B2B">
                  <w:pPr>
                    <w:pStyle w:val="165"/>
                    <w:keepNext w:val="0"/>
                    <w:keepLines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菌落总数（CFU/mL）</w:t>
                  </w:r>
                </w:p>
              </w:tc>
              <w:tc>
                <w:tcPr>
                  <w:tcW w:w="553" w:type="pct"/>
                  <w:tcBorders>
                    <w:tl2br w:val="nil"/>
                    <w:tr2bl w:val="nil"/>
                  </w:tcBorders>
                  <w:vAlign w:val="center"/>
                </w:tcPr>
                <w:p w14:paraId="190C7EC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≤100</w:t>
                  </w:r>
                </w:p>
              </w:tc>
              <w:tc>
                <w:tcPr>
                  <w:tcW w:w="635" w:type="pct"/>
                  <w:tcBorders>
                    <w:tl2br w:val="nil"/>
                    <w:tr2bl w:val="nil"/>
                  </w:tcBorders>
                  <w:vAlign w:val="center"/>
                </w:tcPr>
                <w:p w14:paraId="1C8C37E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≤100</w:t>
                  </w:r>
                </w:p>
              </w:tc>
              <w:tc>
                <w:tcPr>
                  <w:tcW w:w="489" w:type="pct"/>
                  <w:tcBorders>
                    <w:tl2br w:val="nil"/>
                    <w:tr2bl w:val="nil"/>
                  </w:tcBorders>
                  <w:vAlign w:val="center"/>
                </w:tcPr>
                <w:p w14:paraId="2C54B67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≤100</w:t>
                  </w:r>
                </w:p>
              </w:tc>
              <w:tc>
                <w:tcPr>
                  <w:tcW w:w="816" w:type="pct"/>
                  <w:tcBorders>
                    <w:tl2br w:val="nil"/>
                    <w:tr2bl w:val="nil"/>
                  </w:tcBorders>
                  <w:vAlign w:val="center"/>
                </w:tcPr>
                <w:p w14:paraId="47FEE31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≤1000</w:t>
                  </w:r>
                </w:p>
              </w:tc>
              <w:tc>
                <w:tcPr>
                  <w:tcW w:w="736" w:type="pct"/>
                  <w:tcBorders>
                    <w:tl2br w:val="nil"/>
                    <w:tr2bl w:val="nil"/>
                  </w:tcBorders>
                  <w:vAlign w:val="center"/>
                </w:tcPr>
                <w:p w14:paraId="6D510D6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GB"/>
                    </w:rPr>
                  </w:pPr>
                  <w:r>
                    <w:rPr>
                      <w:rFonts w:hint="default" w:ascii="Times New Roman" w:hAnsi="Times New Roman" w:eastAsia="仿宋_GB2312" w:cs="Times New Roman"/>
                      <w:color w:val="auto"/>
                      <w:sz w:val="21"/>
                      <w:lang w:val="en-GB"/>
                    </w:rPr>
                    <w:t>&gt;1000</w:t>
                  </w:r>
                </w:p>
              </w:tc>
            </w:tr>
          </w:tbl>
          <w:p w14:paraId="3627B3FB">
            <w:pPr>
              <w:pStyle w:val="30"/>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二、区域环境质量现状</w:t>
            </w:r>
          </w:p>
          <w:p w14:paraId="5C1B9105">
            <w:pPr>
              <w:pStyle w:val="30"/>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1、大气环境质量现状</w:t>
            </w:r>
          </w:p>
          <w:p w14:paraId="277601C3">
            <w:pPr>
              <w:pStyle w:val="30"/>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（1）区域达标判定</w:t>
            </w:r>
          </w:p>
          <w:p w14:paraId="6B43CC72">
            <w:pPr>
              <w:pStyle w:val="30"/>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2"/>
                <w:sz w:val="24"/>
                <w:szCs w:val="24"/>
                <w:lang w:val="en-US" w:eastAsia="zh-CN" w:bidi="ar-SA"/>
              </w:rPr>
            </w:pPr>
            <w:bookmarkStart w:id="36" w:name="_Hlk107566927"/>
            <w:r>
              <w:rPr>
                <w:rFonts w:hint="default" w:ascii="Times New Roman" w:hAnsi="Times New Roman" w:eastAsia="仿宋_GB2312" w:cs="Times New Roman"/>
                <w:color w:val="auto"/>
                <w:kern w:val="2"/>
                <w:sz w:val="24"/>
                <w:szCs w:val="24"/>
                <w:lang w:val="en-US" w:eastAsia="zh-CN" w:bidi="ar-SA"/>
              </w:rPr>
              <w:t>根据《</w:t>
            </w:r>
            <w:bookmarkStart w:id="37" w:name="OLE_LINK20"/>
            <w:r>
              <w:rPr>
                <w:rFonts w:hint="default" w:ascii="Times New Roman" w:hAnsi="Times New Roman" w:eastAsia="仿宋_GB2312" w:cs="Times New Roman"/>
                <w:color w:val="auto"/>
                <w:kern w:val="2"/>
                <w:sz w:val="24"/>
                <w:szCs w:val="24"/>
                <w:lang w:val="en-US" w:eastAsia="zh-CN" w:bidi="ar-SA"/>
              </w:rPr>
              <w:t>2024年常州市生态环境状况公报</w:t>
            </w:r>
            <w:bookmarkEnd w:id="37"/>
            <w:r>
              <w:rPr>
                <w:rFonts w:hint="default" w:ascii="Times New Roman" w:hAnsi="Times New Roman" w:eastAsia="仿宋_GB2312" w:cs="Times New Roman"/>
                <w:color w:val="auto"/>
                <w:kern w:val="2"/>
                <w:sz w:val="24"/>
                <w:szCs w:val="24"/>
                <w:lang w:val="en-US" w:eastAsia="zh-CN" w:bidi="ar-SA"/>
              </w:rPr>
              <w:t>》，判定项目所在区域的达标情况，结果如下</w:t>
            </w:r>
            <w:bookmarkEnd w:id="36"/>
            <w:r>
              <w:rPr>
                <w:rFonts w:hint="default" w:ascii="Times New Roman" w:hAnsi="Times New Roman" w:eastAsia="仿宋_GB2312" w:cs="Times New Roman"/>
                <w:color w:val="auto"/>
                <w:kern w:val="2"/>
                <w:sz w:val="24"/>
                <w:szCs w:val="24"/>
                <w:lang w:val="en-US" w:eastAsia="zh-CN" w:bidi="ar-SA"/>
              </w:rPr>
              <w:t>。</w:t>
            </w:r>
          </w:p>
          <w:p w14:paraId="7537F026">
            <w:pPr>
              <w:keepNext/>
              <w:keepLines w:val="0"/>
              <w:widowControl/>
              <w:suppressLineNumbers w:val="0"/>
              <w:spacing w:before="0" w:beforeAutospacing="0" w:after="0" w:afterAutospacing="0" w:line="500" w:lineRule="exact"/>
              <w:ind w:left="0" w:right="0"/>
              <w:contextualSpacing/>
              <w:jc w:val="center"/>
              <w:rPr>
                <w:rFonts w:hint="default" w:ascii="Times New Roman" w:hAnsi="Times New Roman" w:eastAsia="仿宋_GB2312" w:cs="Times New Roman"/>
                <w:b/>
                <w:color w:val="auto"/>
                <w:kern w:val="0"/>
                <w:sz w:val="22"/>
                <w:szCs w:val="22"/>
              </w:rPr>
            </w:pPr>
            <w:r>
              <w:rPr>
                <w:rFonts w:hint="default" w:ascii="Times New Roman" w:hAnsi="Times New Roman" w:eastAsia="仿宋_GB2312" w:cs="Times New Roman"/>
                <w:b/>
                <w:color w:val="auto"/>
                <w:kern w:val="0"/>
                <w:sz w:val="22"/>
                <w:szCs w:val="22"/>
              </w:rPr>
              <w:t>表3-</w:t>
            </w:r>
            <w:r>
              <w:rPr>
                <w:rFonts w:hint="eastAsia" w:ascii="Times New Roman" w:hAnsi="Times New Roman" w:eastAsia="仿宋_GB2312" w:cs="Times New Roman"/>
                <w:b/>
                <w:color w:val="auto"/>
                <w:kern w:val="0"/>
                <w:sz w:val="22"/>
                <w:szCs w:val="22"/>
                <w:lang w:val="en-US" w:eastAsia="zh-CN"/>
              </w:rPr>
              <w:t>5</w:t>
            </w:r>
            <w:r>
              <w:rPr>
                <w:rFonts w:hint="default" w:ascii="Times New Roman" w:hAnsi="Times New Roman" w:eastAsia="仿宋_GB2312" w:cs="Times New Roman"/>
                <w:b/>
                <w:color w:val="auto"/>
                <w:kern w:val="0"/>
                <w:sz w:val="22"/>
                <w:szCs w:val="22"/>
              </w:rPr>
              <w:t xml:space="preserve">  2024年常州市空气环境现状评价表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3334"/>
              <w:gridCol w:w="1445"/>
              <w:gridCol w:w="1322"/>
              <w:gridCol w:w="1087"/>
              <w:gridCol w:w="1239"/>
              <w:gridCol w:w="1238"/>
            </w:tblGrid>
            <w:tr w14:paraId="1F2CE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Borders>
                    <w:tl2br w:val="nil"/>
                    <w:tr2bl w:val="nil"/>
                  </w:tcBorders>
                  <w:vAlign w:val="center"/>
                </w:tcPr>
                <w:p w14:paraId="48CA2B9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bookmarkStart w:id="38" w:name="_Hlk167284927"/>
                  <w:r>
                    <w:rPr>
                      <w:rFonts w:hint="default" w:ascii="Times New Roman" w:hAnsi="Times New Roman" w:eastAsia="仿宋_GB2312" w:cs="Times New Roman"/>
                      <w:b/>
                      <w:color w:val="auto"/>
                      <w:kern w:val="0"/>
                      <w:lang w:bidi="ar"/>
                    </w:rPr>
                    <w:t>污染物</w:t>
                  </w:r>
                </w:p>
              </w:tc>
              <w:tc>
                <w:tcPr>
                  <w:tcW w:w="1571" w:type="pct"/>
                  <w:tcBorders>
                    <w:tl2br w:val="nil"/>
                    <w:tr2bl w:val="nil"/>
                  </w:tcBorders>
                  <w:vAlign w:val="center"/>
                </w:tcPr>
                <w:p w14:paraId="1B18BE3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r>
                    <w:rPr>
                      <w:rFonts w:hint="default" w:ascii="Times New Roman" w:hAnsi="Times New Roman" w:eastAsia="仿宋_GB2312" w:cs="Times New Roman"/>
                      <w:b/>
                      <w:color w:val="auto"/>
                      <w:kern w:val="0"/>
                      <w:lang w:bidi="ar"/>
                    </w:rPr>
                    <w:t>年评价指标</w:t>
                  </w:r>
                </w:p>
              </w:tc>
              <w:tc>
                <w:tcPr>
                  <w:tcW w:w="681" w:type="pct"/>
                  <w:tcBorders>
                    <w:tl2br w:val="nil"/>
                    <w:tr2bl w:val="nil"/>
                  </w:tcBorders>
                  <w:vAlign w:val="center"/>
                </w:tcPr>
                <w:p w14:paraId="1305903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r>
                    <w:rPr>
                      <w:rFonts w:hint="default" w:ascii="Times New Roman" w:hAnsi="Times New Roman" w:eastAsia="仿宋_GB2312" w:cs="Times New Roman"/>
                      <w:b/>
                      <w:color w:val="auto"/>
                      <w:kern w:val="0"/>
                      <w:lang w:bidi="ar"/>
                    </w:rPr>
                    <w:t>现状浓度(μg/m</w:t>
                  </w:r>
                  <w:r>
                    <w:rPr>
                      <w:rFonts w:hint="default" w:ascii="Times New Roman" w:hAnsi="Times New Roman" w:eastAsia="仿宋_GB2312" w:cs="Times New Roman"/>
                      <w:b/>
                      <w:color w:val="auto"/>
                      <w:kern w:val="0"/>
                      <w:vertAlign w:val="superscript"/>
                      <w:lang w:bidi="ar"/>
                    </w:rPr>
                    <w:t>3</w:t>
                  </w:r>
                  <w:r>
                    <w:rPr>
                      <w:rFonts w:hint="default" w:ascii="Times New Roman" w:hAnsi="Times New Roman" w:eastAsia="仿宋_GB2312" w:cs="Times New Roman"/>
                      <w:b/>
                      <w:color w:val="auto"/>
                      <w:kern w:val="0"/>
                      <w:lang w:bidi="ar"/>
                    </w:rPr>
                    <w:t>)</w:t>
                  </w:r>
                </w:p>
              </w:tc>
              <w:tc>
                <w:tcPr>
                  <w:tcW w:w="623" w:type="pct"/>
                  <w:tcBorders>
                    <w:tl2br w:val="nil"/>
                    <w:tr2bl w:val="nil"/>
                  </w:tcBorders>
                  <w:vAlign w:val="center"/>
                </w:tcPr>
                <w:p w14:paraId="6F84110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r>
                    <w:rPr>
                      <w:rFonts w:hint="default" w:ascii="Times New Roman" w:hAnsi="Times New Roman" w:eastAsia="仿宋_GB2312" w:cs="Times New Roman"/>
                      <w:b/>
                      <w:color w:val="auto"/>
                      <w:kern w:val="0"/>
                      <w:lang w:bidi="ar"/>
                    </w:rPr>
                    <w:t>标准值(μg/m</w:t>
                  </w:r>
                  <w:r>
                    <w:rPr>
                      <w:rFonts w:hint="default" w:ascii="Times New Roman" w:hAnsi="Times New Roman" w:eastAsia="仿宋_GB2312" w:cs="Times New Roman"/>
                      <w:b/>
                      <w:color w:val="auto"/>
                      <w:kern w:val="0"/>
                      <w:vertAlign w:val="superscript"/>
                      <w:lang w:bidi="ar"/>
                    </w:rPr>
                    <w:t>3</w:t>
                  </w:r>
                  <w:r>
                    <w:rPr>
                      <w:rFonts w:hint="default" w:ascii="Times New Roman" w:hAnsi="Times New Roman" w:eastAsia="仿宋_GB2312" w:cs="Times New Roman"/>
                      <w:b/>
                      <w:color w:val="auto"/>
                      <w:kern w:val="0"/>
                      <w:lang w:bidi="ar"/>
                    </w:rPr>
                    <w:t>)</w:t>
                  </w:r>
                </w:p>
              </w:tc>
              <w:tc>
                <w:tcPr>
                  <w:tcW w:w="512" w:type="pct"/>
                  <w:tcBorders>
                    <w:tl2br w:val="nil"/>
                    <w:tr2bl w:val="nil"/>
                  </w:tcBorders>
                  <w:vAlign w:val="center"/>
                </w:tcPr>
                <w:p w14:paraId="7101BDB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r>
                    <w:rPr>
                      <w:rFonts w:hint="default" w:ascii="Times New Roman" w:hAnsi="Times New Roman" w:eastAsia="仿宋_GB2312" w:cs="Times New Roman"/>
                      <w:b/>
                      <w:color w:val="auto"/>
                      <w:kern w:val="0"/>
                      <w:lang w:bidi="ar"/>
                    </w:rPr>
                    <w:t>占标率</w:t>
                  </w:r>
                </w:p>
                <w:p w14:paraId="285A6B8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r>
                    <w:rPr>
                      <w:rFonts w:hint="default" w:ascii="Times New Roman" w:hAnsi="Times New Roman" w:eastAsia="仿宋_GB2312" w:cs="Times New Roman"/>
                      <w:b/>
                      <w:color w:val="auto"/>
                      <w:kern w:val="0"/>
                      <w:lang w:bidi="ar"/>
                    </w:rPr>
                    <w:t>(%)</w:t>
                  </w:r>
                </w:p>
              </w:tc>
              <w:tc>
                <w:tcPr>
                  <w:tcW w:w="584" w:type="pct"/>
                  <w:tcBorders>
                    <w:tl2br w:val="nil"/>
                    <w:tr2bl w:val="nil"/>
                  </w:tcBorders>
                  <w:vAlign w:val="center"/>
                </w:tcPr>
                <w:p w14:paraId="4D3A5B0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r>
                    <w:rPr>
                      <w:rFonts w:hint="default" w:ascii="Times New Roman" w:hAnsi="Times New Roman" w:eastAsia="仿宋_GB2312" w:cs="Times New Roman"/>
                      <w:b/>
                      <w:color w:val="auto"/>
                      <w:kern w:val="0"/>
                      <w:lang w:bidi="ar"/>
                    </w:rPr>
                    <w:t>达标率</w:t>
                  </w:r>
                </w:p>
                <w:p w14:paraId="4C76F12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r>
                    <w:rPr>
                      <w:rFonts w:hint="default" w:ascii="Times New Roman" w:hAnsi="Times New Roman" w:eastAsia="仿宋_GB2312" w:cs="Times New Roman"/>
                      <w:b/>
                      <w:color w:val="auto"/>
                      <w:kern w:val="0"/>
                      <w:lang w:bidi="ar"/>
                    </w:rPr>
                    <w:t>(%)</w:t>
                  </w:r>
                </w:p>
              </w:tc>
              <w:tc>
                <w:tcPr>
                  <w:tcW w:w="584" w:type="pct"/>
                  <w:tcBorders>
                    <w:tl2br w:val="nil"/>
                    <w:tr2bl w:val="nil"/>
                  </w:tcBorders>
                  <w:vAlign w:val="center"/>
                </w:tcPr>
                <w:p w14:paraId="492BF0D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rPr>
                  </w:pPr>
                  <w:r>
                    <w:rPr>
                      <w:rFonts w:hint="default" w:ascii="Times New Roman" w:hAnsi="Times New Roman" w:eastAsia="仿宋_GB2312" w:cs="Times New Roman"/>
                      <w:b/>
                      <w:color w:val="auto"/>
                      <w:kern w:val="0"/>
                      <w:lang w:bidi="ar"/>
                    </w:rPr>
                    <w:t>达标情况</w:t>
                  </w:r>
                </w:p>
              </w:tc>
            </w:tr>
            <w:tr w14:paraId="4595A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vAlign w:val="center"/>
                </w:tcPr>
                <w:p w14:paraId="38679F0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SO</w:t>
                  </w:r>
                  <w:r>
                    <w:rPr>
                      <w:rFonts w:hint="default" w:ascii="Times New Roman" w:hAnsi="Times New Roman" w:eastAsia="仿宋_GB2312" w:cs="Times New Roman"/>
                      <w:color w:val="auto"/>
                      <w:kern w:val="0"/>
                      <w:vertAlign w:val="subscript"/>
                      <w:lang w:bidi="ar"/>
                    </w:rPr>
                    <w:t>2</w:t>
                  </w:r>
                </w:p>
              </w:tc>
              <w:tc>
                <w:tcPr>
                  <w:tcW w:w="1571" w:type="pct"/>
                  <w:tcBorders>
                    <w:tl2br w:val="nil"/>
                    <w:tr2bl w:val="nil"/>
                  </w:tcBorders>
                  <w:vAlign w:val="center"/>
                </w:tcPr>
                <w:p w14:paraId="4084BFB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年平均质量浓度</w:t>
                  </w:r>
                </w:p>
              </w:tc>
              <w:tc>
                <w:tcPr>
                  <w:tcW w:w="681" w:type="pct"/>
                  <w:tcBorders>
                    <w:tl2br w:val="nil"/>
                    <w:tr2bl w:val="nil"/>
                  </w:tcBorders>
                  <w:vAlign w:val="center"/>
                </w:tcPr>
                <w:p w14:paraId="53A7ECF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highlight w:val="yellow"/>
                    </w:rPr>
                  </w:pPr>
                  <w:r>
                    <w:rPr>
                      <w:rFonts w:hint="default" w:ascii="Times New Roman" w:hAnsi="Times New Roman" w:eastAsia="仿宋_GB2312" w:cs="Times New Roman"/>
                      <w:color w:val="auto"/>
                      <w:kern w:val="0"/>
                      <w:lang w:bidi="ar"/>
                    </w:rPr>
                    <w:t>8</w:t>
                  </w:r>
                </w:p>
              </w:tc>
              <w:tc>
                <w:tcPr>
                  <w:tcW w:w="623" w:type="pct"/>
                  <w:tcBorders>
                    <w:tl2br w:val="nil"/>
                    <w:tr2bl w:val="nil"/>
                  </w:tcBorders>
                  <w:vAlign w:val="center"/>
                </w:tcPr>
                <w:p w14:paraId="5DE2B18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60</w:t>
                  </w:r>
                </w:p>
              </w:tc>
              <w:tc>
                <w:tcPr>
                  <w:tcW w:w="512" w:type="pct"/>
                  <w:tcBorders>
                    <w:tl2br w:val="nil"/>
                    <w:tr2bl w:val="nil"/>
                  </w:tcBorders>
                  <w:vAlign w:val="center"/>
                </w:tcPr>
                <w:p w14:paraId="5F1A0B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kern w:val="0"/>
                      <w:lang w:bidi="ar"/>
                    </w:rPr>
                    <w:t>13.3</w:t>
                  </w:r>
                </w:p>
              </w:tc>
              <w:tc>
                <w:tcPr>
                  <w:tcW w:w="584" w:type="pct"/>
                  <w:tcBorders>
                    <w:tl2br w:val="nil"/>
                    <w:tr2bl w:val="nil"/>
                  </w:tcBorders>
                  <w:vAlign w:val="center"/>
                </w:tcPr>
                <w:p w14:paraId="1C04BEF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1488F50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达标</w:t>
                  </w:r>
                </w:p>
              </w:tc>
            </w:tr>
            <w:tr w14:paraId="582AF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14:paraId="1E1A733C">
                  <w:pPr>
                    <w:keepNext w:val="0"/>
                    <w:keepLines w:val="0"/>
                    <w:suppressLineNumbers w:val="0"/>
                    <w:spacing w:before="0" w:beforeAutospacing="0" w:after="0" w:afterAutospacing="0"/>
                    <w:ind w:left="0" w:right="0"/>
                    <w:rPr>
                      <w:rFonts w:hint="default" w:ascii="Times New Roman" w:hAnsi="Times New Roman" w:eastAsia="仿宋_GB2312" w:cs="Times New Roman"/>
                      <w:color w:val="auto"/>
                      <w:sz w:val="20"/>
                      <w:szCs w:val="20"/>
                    </w:rPr>
                  </w:pPr>
                </w:p>
              </w:tc>
              <w:tc>
                <w:tcPr>
                  <w:tcW w:w="1571" w:type="pct"/>
                  <w:tcBorders>
                    <w:tl2br w:val="nil"/>
                    <w:tr2bl w:val="nil"/>
                  </w:tcBorders>
                  <w:vAlign w:val="center"/>
                </w:tcPr>
                <w:p w14:paraId="02B18B3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24小时平均质量浓度</w:t>
                  </w:r>
                </w:p>
              </w:tc>
              <w:tc>
                <w:tcPr>
                  <w:tcW w:w="681" w:type="pct"/>
                  <w:tcBorders>
                    <w:tl2br w:val="nil"/>
                    <w:tr2bl w:val="nil"/>
                  </w:tcBorders>
                  <w:vAlign w:val="center"/>
                </w:tcPr>
                <w:p w14:paraId="5BDF479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highlight w:val="yellow"/>
                    </w:rPr>
                  </w:pPr>
                  <w:r>
                    <w:rPr>
                      <w:rFonts w:hint="default" w:ascii="Times New Roman" w:hAnsi="Times New Roman" w:eastAsia="仿宋_GB2312" w:cs="Times New Roman"/>
                      <w:color w:val="auto"/>
                      <w:kern w:val="0"/>
                      <w:lang w:bidi="ar"/>
                    </w:rPr>
                    <w:t>5~15</w:t>
                  </w:r>
                </w:p>
              </w:tc>
              <w:tc>
                <w:tcPr>
                  <w:tcW w:w="623" w:type="pct"/>
                  <w:tcBorders>
                    <w:tl2br w:val="nil"/>
                    <w:tr2bl w:val="nil"/>
                  </w:tcBorders>
                  <w:vAlign w:val="center"/>
                </w:tcPr>
                <w:p w14:paraId="2E74F41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150</w:t>
                  </w:r>
                </w:p>
              </w:tc>
              <w:tc>
                <w:tcPr>
                  <w:tcW w:w="512" w:type="pct"/>
                  <w:tcBorders>
                    <w:tl2br w:val="nil"/>
                    <w:tr2bl w:val="nil"/>
                  </w:tcBorders>
                  <w:vAlign w:val="center"/>
                </w:tcPr>
                <w:p w14:paraId="725A0D3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33A78AA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100</w:t>
                  </w:r>
                </w:p>
              </w:tc>
              <w:tc>
                <w:tcPr>
                  <w:tcW w:w="584" w:type="pct"/>
                  <w:tcBorders>
                    <w:tl2br w:val="nil"/>
                    <w:tr2bl w:val="nil"/>
                  </w:tcBorders>
                  <w:vAlign w:val="center"/>
                </w:tcPr>
                <w:p w14:paraId="5E6B1AF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达标</w:t>
                  </w:r>
                </w:p>
              </w:tc>
            </w:tr>
            <w:tr w14:paraId="324DA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vAlign w:val="center"/>
                </w:tcPr>
                <w:p w14:paraId="22D33C8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NO</w:t>
                  </w:r>
                  <w:r>
                    <w:rPr>
                      <w:rFonts w:hint="default" w:ascii="Times New Roman" w:hAnsi="Times New Roman" w:eastAsia="仿宋_GB2312" w:cs="Times New Roman"/>
                      <w:color w:val="auto"/>
                      <w:kern w:val="0"/>
                      <w:vertAlign w:val="subscript"/>
                      <w:lang w:bidi="ar"/>
                    </w:rPr>
                    <w:t>2</w:t>
                  </w:r>
                </w:p>
              </w:tc>
              <w:tc>
                <w:tcPr>
                  <w:tcW w:w="1571" w:type="pct"/>
                  <w:tcBorders>
                    <w:tl2br w:val="nil"/>
                    <w:tr2bl w:val="nil"/>
                  </w:tcBorders>
                  <w:vAlign w:val="center"/>
                </w:tcPr>
                <w:p w14:paraId="53D6EFA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年平均质量浓度</w:t>
                  </w:r>
                </w:p>
              </w:tc>
              <w:tc>
                <w:tcPr>
                  <w:tcW w:w="681" w:type="pct"/>
                  <w:tcBorders>
                    <w:tl2br w:val="nil"/>
                    <w:tr2bl w:val="nil"/>
                  </w:tcBorders>
                  <w:vAlign w:val="center"/>
                </w:tcPr>
                <w:p w14:paraId="0E66375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26</w:t>
                  </w:r>
                </w:p>
              </w:tc>
              <w:tc>
                <w:tcPr>
                  <w:tcW w:w="623" w:type="pct"/>
                  <w:tcBorders>
                    <w:tl2br w:val="nil"/>
                    <w:tr2bl w:val="nil"/>
                  </w:tcBorders>
                  <w:vAlign w:val="center"/>
                </w:tcPr>
                <w:p w14:paraId="5069B16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40</w:t>
                  </w:r>
                </w:p>
              </w:tc>
              <w:tc>
                <w:tcPr>
                  <w:tcW w:w="512" w:type="pct"/>
                  <w:tcBorders>
                    <w:tl2br w:val="nil"/>
                    <w:tr2bl w:val="nil"/>
                  </w:tcBorders>
                  <w:vAlign w:val="center"/>
                </w:tcPr>
                <w:p w14:paraId="4BAAAB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65</w:t>
                  </w:r>
                </w:p>
              </w:tc>
              <w:tc>
                <w:tcPr>
                  <w:tcW w:w="584" w:type="pct"/>
                  <w:tcBorders>
                    <w:tl2br w:val="nil"/>
                    <w:tr2bl w:val="nil"/>
                  </w:tcBorders>
                  <w:vAlign w:val="center"/>
                </w:tcPr>
                <w:p w14:paraId="591A9F4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3B4B62C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达标</w:t>
                  </w:r>
                </w:p>
              </w:tc>
            </w:tr>
            <w:tr w14:paraId="0FE12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14:paraId="3B27A214">
                  <w:pPr>
                    <w:keepNext w:val="0"/>
                    <w:keepLines w:val="0"/>
                    <w:suppressLineNumbers w:val="0"/>
                    <w:spacing w:before="0" w:beforeAutospacing="0" w:after="0" w:afterAutospacing="0"/>
                    <w:ind w:left="0" w:right="0"/>
                    <w:rPr>
                      <w:rFonts w:hint="default" w:ascii="Times New Roman" w:hAnsi="Times New Roman" w:eastAsia="仿宋_GB2312" w:cs="Times New Roman"/>
                      <w:color w:val="auto"/>
                      <w:sz w:val="20"/>
                      <w:szCs w:val="20"/>
                    </w:rPr>
                  </w:pPr>
                </w:p>
              </w:tc>
              <w:tc>
                <w:tcPr>
                  <w:tcW w:w="1571" w:type="pct"/>
                  <w:tcBorders>
                    <w:tl2br w:val="nil"/>
                    <w:tr2bl w:val="nil"/>
                  </w:tcBorders>
                  <w:vAlign w:val="center"/>
                </w:tcPr>
                <w:p w14:paraId="5A20B0E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24小时平均质量浓度</w:t>
                  </w:r>
                </w:p>
              </w:tc>
              <w:tc>
                <w:tcPr>
                  <w:tcW w:w="681" w:type="pct"/>
                  <w:tcBorders>
                    <w:tl2br w:val="nil"/>
                    <w:tr2bl w:val="nil"/>
                  </w:tcBorders>
                  <w:vAlign w:val="center"/>
                </w:tcPr>
                <w:p w14:paraId="0D38F3B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highlight w:val="yellow"/>
                    </w:rPr>
                  </w:pPr>
                  <w:r>
                    <w:rPr>
                      <w:rFonts w:hint="default" w:ascii="Times New Roman" w:hAnsi="Times New Roman" w:eastAsia="仿宋_GB2312" w:cs="Times New Roman"/>
                      <w:color w:val="auto"/>
                      <w:kern w:val="0"/>
                      <w:lang w:bidi="ar"/>
                    </w:rPr>
                    <w:t>4~92</w:t>
                  </w:r>
                </w:p>
              </w:tc>
              <w:tc>
                <w:tcPr>
                  <w:tcW w:w="623" w:type="pct"/>
                  <w:tcBorders>
                    <w:tl2br w:val="nil"/>
                    <w:tr2bl w:val="nil"/>
                  </w:tcBorders>
                  <w:vAlign w:val="center"/>
                </w:tcPr>
                <w:p w14:paraId="5F503A2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80</w:t>
                  </w:r>
                </w:p>
              </w:tc>
              <w:tc>
                <w:tcPr>
                  <w:tcW w:w="512" w:type="pct"/>
                  <w:tcBorders>
                    <w:tl2br w:val="nil"/>
                    <w:tr2bl w:val="nil"/>
                  </w:tcBorders>
                  <w:vAlign w:val="center"/>
                </w:tcPr>
                <w:p w14:paraId="192A2D4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39DD150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highlight w:val="yellow"/>
                    </w:rPr>
                  </w:pPr>
                  <w:r>
                    <w:rPr>
                      <w:rFonts w:hint="default" w:ascii="Times New Roman" w:hAnsi="Times New Roman" w:eastAsia="仿宋_GB2312" w:cs="Times New Roman"/>
                      <w:color w:val="auto"/>
                      <w:kern w:val="0"/>
                      <w:lang w:bidi="ar"/>
                    </w:rPr>
                    <w:t>99.2</w:t>
                  </w:r>
                </w:p>
              </w:tc>
              <w:tc>
                <w:tcPr>
                  <w:tcW w:w="584" w:type="pct"/>
                  <w:tcBorders>
                    <w:tl2br w:val="nil"/>
                    <w:tr2bl w:val="nil"/>
                  </w:tcBorders>
                  <w:vAlign w:val="center"/>
                </w:tcPr>
                <w:p w14:paraId="6241156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highlight w:val="yellow"/>
                    </w:rPr>
                  </w:pPr>
                  <w:r>
                    <w:rPr>
                      <w:rFonts w:hint="default" w:ascii="Times New Roman" w:hAnsi="Times New Roman" w:eastAsia="仿宋_GB2312" w:cs="Times New Roman"/>
                      <w:color w:val="auto"/>
                      <w:kern w:val="0"/>
                      <w:lang w:bidi="ar"/>
                    </w:rPr>
                    <w:t>达标</w:t>
                  </w:r>
                  <w:r>
                    <w:rPr>
                      <w:rFonts w:hint="default" w:ascii="Times New Roman" w:hAnsi="Times New Roman" w:eastAsia="仿宋_GB2312" w:cs="Times New Roman"/>
                      <w:color w:val="auto"/>
                      <w:kern w:val="0"/>
                      <w:vertAlign w:val="superscript"/>
                      <w:lang w:bidi="ar"/>
                    </w:rPr>
                    <w:t>①</w:t>
                  </w:r>
                </w:p>
              </w:tc>
            </w:tr>
            <w:tr w14:paraId="58798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vAlign w:val="center"/>
                </w:tcPr>
                <w:p w14:paraId="2E503A2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PM</w:t>
                  </w:r>
                  <w:r>
                    <w:rPr>
                      <w:rFonts w:hint="default" w:ascii="Times New Roman" w:hAnsi="Times New Roman" w:eastAsia="仿宋_GB2312" w:cs="Times New Roman"/>
                      <w:color w:val="auto"/>
                      <w:kern w:val="0"/>
                      <w:vertAlign w:val="subscript"/>
                      <w:lang w:bidi="ar"/>
                    </w:rPr>
                    <w:t>10</w:t>
                  </w:r>
                </w:p>
              </w:tc>
              <w:tc>
                <w:tcPr>
                  <w:tcW w:w="1571" w:type="pct"/>
                  <w:tcBorders>
                    <w:tl2br w:val="nil"/>
                    <w:tr2bl w:val="nil"/>
                  </w:tcBorders>
                  <w:vAlign w:val="center"/>
                </w:tcPr>
                <w:p w14:paraId="56B56A1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年平均质量浓度</w:t>
                  </w:r>
                </w:p>
              </w:tc>
              <w:tc>
                <w:tcPr>
                  <w:tcW w:w="681" w:type="pct"/>
                  <w:tcBorders>
                    <w:tl2br w:val="nil"/>
                    <w:tr2bl w:val="nil"/>
                  </w:tcBorders>
                  <w:vAlign w:val="center"/>
                </w:tcPr>
                <w:p w14:paraId="10C0581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52</w:t>
                  </w:r>
                </w:p>
              </w:tc>
              <w:tc>
                <w:tcPr>
                  <w:tcW w:w="623" w:type="pct"/>
                  <w:tcBorders>
                    <w:tl2br w:val="nil"/>
                    <w:tr2bl w:val="nil"/>
                  </w:tcBorders>
                  <w:vAlign w:val="center"/>
                </w:tcPr>
                <w:p w14:paraId="2CD7EA7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70</w:t>
                  </w:r>
                </w:p>
              </w:tc>
              <w:tc>
                <w:tcPr>
                  <w:tcW w:w="512" w:type="pct"/>
                  <w:tcBorders>
                    <w:tl2br w:val="nil"/>
                    <w:tr2bl w:val="nil"/>
                  </w:tcBorders>
                  <w:vAlign w:val="center"/>
                </w:tcPr>
                <w:p w14:paraId="6E6021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74.3</w:t>
                  </w:r>
                </w:p>
              </w:tc>
              <w:tc>
                <w:tcPr>
                  <w:tcW w:w="584" w:type="pct"/>
                  <w:tcBorders>
                    <w:tl2br w:val="nil"/>
                    <w:tr2bl w:val="nil"/>
                  </w:tcBorders>
                  <w:vAlign w:val="center"/>
                </w:tcPr>
                <w:p w14:paraId="05F714D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0EEA36F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达标</w:t>
                  </w:r>
                </w:p>
              </w:tc>
            </w:tr>
            <w:tr w14:paraId="0D532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14:paraId="3A83096A">
                  <w:pPr>
                    <w:keepNext w:val="0"/>
                    <w:keepLines w:val="0"/>
                    <w:suppressLineNumbers w:val="0"/>
                    <w:spacing w:before="0" w:beforeAutospacing="0" w:after="0" w:afterAutospacing="0"/>
                    <w:ind w:left="0" w:right="0"/>
                    <w:rPr>
                      <w:rFonts w:hint="default" w:ascii="Times New Roman" w:hAnsi="Times New Roman" w:eastAsia="仿宋_GB2312" w:cs="Times New Roman"/>
                      <w:color w:val="auto"/>
                      <w:sz w:val="20"/>
                      <w:szCs w:val="20"/>
                    </w:rPr>
                  </w:pPr>
                </w:p>
              </w:tc>
              <w:tc>
                <w:tcPr>
                  <w:tcW w:w="1571" w:type="pct"/>
                  <w:tcBorders>
                    <w:tl2br w:val="nil"/>
                    <w:tr2bl w:val="nil"/>
                  </w:tcBorders>
                  <w:vAlign w:val="center"/>
                </w:tcPr>
                <w:p w14:paraId="18EF981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24小时平均质量浓度</w:t>
                  </w:r>
                </w:p>
              </w:tc>
              <w:tc>
                <w:tcPr>
                  <w:tcW w:w="681" w:type="pct"/>
                  <w:tcBorders>
                    <w:tl2br w:val="nil"/>
                    <w:tr2bl w:val="nil"/>
                  </w:tcBorders>
                  <w:vAlign w:val="center"/>
                </w:tcPr>
                <w:p w14:paraId="057DCB2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10~208</w:t>
                  </w:r>
                </w:p>
              </w:tc>
              <w:tc>
                <w:tcPr>
                  <w:tcW w:w="623" w:type="pct"/>
                  <w:tcBorders>
                    <w:tl2br w:val="nil"/>
                    <w:tr2bl w:val="nil"/>
                  </w:tcBorders>
                  <w:vAlign w:val="center"/>
                </w:tcPr>
                <w:p w14:paraId="1CFA95C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150</w:t>
                  </w:r>
                </w:p>
              </w:tc>
              <w:tc>
                <w:tcPr>
                  <w:tcW w:w="512" w:type="pct"/>
                  <w:tcBorders>
                    <w:tl2br w:val="nil"/>
                    <w:tr2bl w:val="nil"/>
                  </w:tcBorders>
                  <w:vAlign w:val="center"/>
                </w:tcPr>
                <w:p w14:paraId="03846A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440E90A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98.3</w:t>
                  </w:r>
                </w:p>
              </w:tc>
              <w:tc>
                <w:tcPr>
                  <w:tcW w:w="584" w:type="pct"/>
                  <w:tcBorders>
                    <w:tl2br w:val="nil"/>
                    <w:tr2bl w:val="nil"/>
                  </w:tcBorders>
                  <w:vAlign w:val="center"/>
                </w:tcPr>
                <w:p w14:paraId="17EEEFB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达标</w:t>
                  </w:r>
                  <w:r>
                    <w:rPr>
                      <w:rFonts w:hint="default" w:ascii="Times New Roman" w:hAnsi="Times New Roman" w:eastAsia="仿宋_GB2312" w:cs="Times New Roman"/>
                      <w:color w:val="auto"/>
                      <w:kern w:val="0"/>
                      <w:vertAlign w:val="superscript"/>
                      <w:lang w:bidi="ar"/>
                    </w:rPr>
                    <w:t>②</w:t>
                  </w:r>
                </w:p>
              </w:tc>
            </w:tr>
            <w:tr w14:paraId="08B10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vAlign w:val="center"/>
                </w:tcPr>
                <w:p w14:paraId="3589C59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PM</w:t>
                  </w:r>
                  <w:r>
                    <w:rPr>
                      <w:rFonts w:hint="default" w:ascii="Times New Roman" w:hAnsi="Times New Roman" w:eastAsia="仿宋_GB2312" w:cs="Times New Roman"/>
                      <w:color w:val="auto"/>
                      <w:kern w:val="0"/>
                      <w:vertAlign w:val="subscript"/>
                      <w:lang w:bidi="ar"/>
                    </w:rPr>
                    <w:t>2.5</w:t>
                  </w:r>
                </w:p>
              </w:tc>
              <w:tc>
                <w:tcPr>
                  <w:tcW w:w="1571" w:type="pct"/>
                  <w:tcBorders>
                    <w:tl2br w:val="nil"/>
                    <w:tr2bl w:val="nil"/>
                  </w:tcBorders>
                  <w:vAlign w:val="center"/>
                </w:tcPr>
                <w:p w14:paraId="217B6D0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年平均质量浓度</w:t>
                  </w:r>
                </w:p>
              </w:tc>
              <w:tc>
                <w:tcPr>
                  <w:tcW w:w="681" w:type="pct"/>
                  <w:tcBorders>
                    <w:tl2br w:val="nil"/>
                    <w:tr2bl w:val="nil"/>
                  </w:tcBorders>
                  <w:vAlign w:val="center"/>
                </w:tcPr>
                <w:p w14:paraId="05C63F3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32</w:t>
                  </w:r>
                </w:p>
              </w:tc>
              <w:tc>
                <w:tcPr>
                  <w:tcW w:w="623" w:type="pct"/>
                  <w:tcBorders>
                    <w:tl2br w:val="nil"/>
                    <w:tr2bl w:val="nil"/>
                  </w:tcBorders>
                  <w:vAlign w:val="center"/>
                </w:tcPr>
                <w:p w14:paraId="15AC4C8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35</w:t>
                  </w:r>
                </w:p>
              </w:tc>
              <w:tc>
                <w:tcPr>
                  <w:tcW w:w="512" w:type="pct"/>
                  <w:tcBorders>
                    <w:tl2br w:val="nil"/>
                    <w:tr2bl w:val="nil"/>
                  </w:tcBorders>
                  <w:vAlign w:val="center"/>
                </w:tcPr>
                <w:p w14:paraId="3C5B008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91.4</w:t>
                  </w:r>
                </w:p>
              </w:tc>
              <w:tc>
                <w:tcPr>
                  <w:tcW w:w="584" w:type="pct"/>
                  <w:tcBorders>
                    <w:tl2br w:val="nil"/>
                    <w:tr2bl w:val="nil"/>
                  </w:tcBorders>
                  <w:vAlign w:val="center"/>
                </w:tcPr>
                <w:p w14:paraId="442B3CD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6BCDE11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达标</w:t>
                  </w:r>
                </w:p>
              </w:tc>
            </w:tr>
            <w:tr w14:paraId="73D21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vAlign w:val="center"/>
                </w:tcPr>
                <w:p w14:paraId="1AA1A8FA">
                  <w:pPr>
                    <w:keepNext w:val="0"/>
                    <w:keepLines w:val="0"/>
                    <w:suppressLineNumbers w:val="0"/>
                    <w:spacing w:before="0" w:beforeAutospacing="0" w:after="0" w:afterAutospacing="0"/>
                    <w:ind w:left="0" w:right="0"/>
                    <w:rPr>
                      <w:rFonts w:hint="default" w:ascii="Times New Roman" w:hAnsi="Times New Roman" w:eastAsia="仿宋_GB2312" w:cs="Times New Roman"/>
                      <w:color w:val="auto"/>
                      <w:sz w:val="20"/>
                      <w:szCs w:val="20"/>
                    </w:rPr>
                  </w:pPr>
                </w:p>
              </w:tc>
              <w:tc>
                <w:tcPr>
                  <w:tcW w:w="1571" w:type="pct"/>
                  <w:tcBorders>
                    <w:tl2br w:val="nil"/>
                    <w:tr2bl w:val="nil"/>
                  </w:tcBorders>
                  <w:vAlign w:val="center"/>
                </w:tcPr>
                <w:p w14:paraId="5D62AE1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24小时平均质量浓度</w:t>
                  </w:r>
                </w:p>
              </w:tc>
              <w:tc>
                <w:tcPr>
                  <w:tcW w:w="681" w:type="pct"/>
                  <w:tcBorders>
                    <w:tl2br w:val="nil"/>
                    <w:tr2bl w:val="nil"/>
                  </w:tcBorders>
                  <w:vAlign w:val="center"/>
                </w:tcPr>
                <w:p w14:paraId="2501B42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highlight w:val="yellow"/>
                    </w:rPr>
                  </w:pPr>
                  <w:r>
                    <w:rPr>
                      <w:rFonts w:hint="default" w:ascii="Times New Roman" w:hAnsi="Times New Roman" w:eastAsia="仿宋_GB2312" w:cs="Times New Roman"/>
                      <w:color w:val="auto"/>
                      <w:kern w:val="0"/>
                      <w:lang w:bidi="ar"/>
                    </w:rPr>
                    <w:t>5~157</w:t>
                  </w:r>
                </w:p>
              </w:tc>
              <w:tc>
                <w:tcPr>
                  <w:tcW w:w="623" w:type="pct"/>
                  <w:tcBorders>
                    <w:tl2br w:val="nil"/>
                    <w:tr2bl w:val="nil"/>
                  </w:tcBorders>
                  <w:vAlign w:val="center"/>
                </w:tcPr>
                <w:p w14:paraId="0605376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75</w:t>
                  </w:r>
                </w:p>
              </w:tc>
              <w:tc>
                <w:tcPr>
                  <w:tcW w:w="512" w:type="pct"/>
                  <w:tcBorders>
                    <w:tl2br w:val="nil"/>
                    <w:tr2bl w:val="nil"/>
                  </w:tcBorders>
                  <w:vAlign w:val="center"/>
                </w:tcPr>
                <w:p w14:paraId="2C8DBA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071CDE3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93.2</w:t>
                  </w:r>
                </w:p>
              </w:tc>
              <w:tc>
                <w:tcPr>
                  <w:tcW w:w="584" w:type="pct"/>
                  <w:tcBorders>
                    <w:tl2br w:val="nil"/>
                    <w:tr2bl w:val="nil"/>
                  </w:tcBorders>
                  <w:vAlign w:val="center"/>
                </w:tcPr>
                <w:p w14:paraId="019A020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rPr>
                  </w:pPr>
                  <w:r>
                    <w:rPr>
                      <w:rFonts w:hint="default" w:ascii="Times New Roman" w:hAnsi="Times New Roman" w:eastAsia="仿宋_GB2312" w:cs="Times New Roman"/>
                      <w:b/>
                      <w:bCs/>
                      <w:color w:val="auto"/>
                      <w:kern w:val="0"/>
                      <w:lang w:bidi="ar"/>
                    </w:rPr>
                    <w:t>超标</w:t>
                  </w:r>
                  <w:r>
                    <w:rPr>
                      <w:rFonts w:hint="default" w:ascii="Times New Roman" w:hAnsi="Times New Roman" w:eastAsia="仿宋_GB2312" w:cs="Times New Roman"/>
                      <w:b/>
                      <w:bCs/>
                      <w:color w:val="auto"/>
                      <w:kern w:val="0"/>
                      <w:vertAlign w:val="superscript"/>
                      <w:lang w:bidi="ar"/>
                    </w:rPr>
                    <w:t>③</w:t>
                  </w:r>
                </w:p>
              </w:tc>
            </w:tr>
            <w:tr w14:paraId="3419D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Borders>
                    <w:tl2br w:val="nil"/>
                    <w:tr2bl w:val="nil"/>
                  </w:tcBorders>
                  <w:vAlign w:val="center"/>
                </w:tcPr>
                <w:p w14:paraId="7274D2D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CO</w:t>
                  </w:r>
                </w:p>
              </w:tc>
              <w:tc>
                <w:tcPr>
                  <w:tcW w:w="1571" w:type="pct"/>
                  <w:tcBorders>
                    <w:tl2br w:val="nil"/>
                    <w:tr2bl w:val="nil"/>
                  </w:tcBorders>
                  <w:vAlign w:val="center"/>
                </w:tcPr>
                <w:p w14:paraId="7E81CD6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24小时平均第95百分位数</w:t>
                  </w:r>
                </w:p>
              </w:tc>
              <w:tc>
                <w:tcPr>
                  <w:tcW w:w="681" w:type="pct"/>
                  <w:tcBorders>
                    <w:tl2br w:val="nil"/>
                    <w:tr2bl w:val="nil"/>
                  </w:tcBorders>
                  <w:vAlign w:val="center"/>
                </w:tcPr>
                <w:p w14:paraId="06D6190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highlight w:val="yellow"/>
                    </w:rPr>
                  </w:pPr>
                  <w:r>
                    <w:rPr>
                      <w:rFonts w:hint="default" w:ascii="Times New Roman" w:hAnsi="Times New Roman" w:eastAsia="仿宋_GB2312" w:cs="Times New Roman"/>
                      <w:color w:val="auto"/>
                      <w:kern w:val="0"/>
                      <w:lang w:bidi="ar"/>
                    </w:rPr>
                    <w:t>1100</w:t>
                  </w:r>
                </w:p>
              </w:tc>
              <w:tc>
                <w:tcPr>
                  <w:tcW w:w="623" w:type="pct"/>
                  <w:tcBorders>
                    <w:tl2br w:val="nil"/>
                    <w:tr2bl w:val="nil"/>
                  </w:tcBorders>
                  <w:vAlign w:val="center"/>
                </w:tcPr>
                <w:p w14:paraId="60ED88F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4000</w:t>
                  </w:r>
                </w:p>
              </w:tc>
              <w:tc>
                <w:tcPr>
                  <w:tcW w:w="512" w:type="pct"/>
                  <w:tcBorders>
                    <w:tl2br w:val="nil"/>
                    <w:tr2bl w:val="nil"/>
                  </w:tcBorders>
                  <w:vAlign w:val="center"/>
                </w:tcPr>
                <w:p w14:paraId="63EC9F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27.5</w:t>
                  </w:r>
                </w:p>
              </w:tc>
              <w:tc>
                <w:tcPr>
                  <w:tcW w:w="584" w:type="pct"/>
                  <w:tcBorders>
                    <w:tl2br w:val="nil"/>
                    <w:tr2bl w:val="nil"/>
                  </w:tcBorders>
                  <w:vAlign w:val="center"/>
                </w:tcPr>
                <w:p w14:paraId="4304EA9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00F1CEE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达标</w:t>
                  </w:r>
                </w:p>
              </w:tc>
            </w:tr>
            <w:tr w14:paraId="406AD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tcBorders>
                    <w:tl2br w:val="nil"/>
                    <w:tr2bl w:val="nil"/>
                  </w:tcBorders>
                  <w:vAlign w:val="center"/>
                </w:tcPr>
                <w:p w14:paraId="4E8109B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O</w:t>
                  </w:r>
                  <w:r>
                    <w:rPr>
                      <w:rFonts w:hint="default" w:ascii="Times New Roman" w:hAnsi="Times New Roman" w:eastAsia="仿宋_GB2312" w:cs="Times New Roman"/>
                      <w:color w:val="auto"/>
                      <w:kern w:val="0"/>
                      <w:vertAlign w:val="subscript"/>
                      <w:lang w:bidi="ar"/>
                    </w:rPr>
                    <w:t>3</w:t>
                  </w:r>
                </w:p>
              </w:tc>
              <w:tc>
                <w:tcPr>
                  <w:tcW w:w="1571" w:type="pct"/>
                  <w:tcBorders>
                    <w:tl2br w:val="nil"/>
                    <w:tr2bl w:val="nil"/>
                  </w:tcBorders>
                  <w:vAlign w:val="center"/>
                </w:tcPr>
                <w:p w14:paraId="5FF6B2F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pacing w:val="-6"/>
                      <w:kern w:val="0"/>
                    </w:rPr>
                  </w:pPr>
                  <w:r>
                    <w:rPr>
                      <w:rFonts w:hint="default" w:ascii="Times New Roman" w:hAnsi="Times New Roman" w:eastAsia="仿宋_GB2312" w:cs="Times New Roman"/>
                      <w:color w:val="auto"/>
                      <w:spacing w:val="-6"/>
                      <w:kern w:val="0"/>
                      <w:lang w:bidi="ar"/>
                    </w:rPr>
                    <w:t>日最大8小时滑动平均第90百分位数</w:t>
                  </w:r>
                </w:p>
              </w:tc>
              <w:tc>
                <w:tcPr>
                  <w:tcW w:w="681" w:type="pct"/>
                  <w:tcBorders>
                    <w:tl2br w:val="nil"/>
                    <w:tr2bl w:val="nil"/>
                  </w:tcBorders>
                  <w:vAlign w:val="center"/>
                </w:tcPr>
                <w:p w14:paraId="43CF553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168</w:t>
                  </w:r>
                </w:p>
              </w:tc>
              <w:tc>
                <w:tcPr>
                  <w:tcW w:w="623" w:type="pct"/>
                  <w:tcBorders>
                    <w:tl2br w:val="nil"/>
                    <w:tr2bl w:val="nil"/>
                  </w:tcBorders>
                  <w:vAlign w:val="center"/>
                </w:tcPr>
                <w:p w14:paraId="2A3FD45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160</w:t>
                  </w:r>
                </w:p>
              </w:tc>
              <w:tc>
                <w:tcPr>
                  <w:tcW w:w="512" w:type="pct"/>
                  <w:tcBorders>
                    <w:tl2br w:val="nil"/>
                    <w:tr2bl w:val="nil"/>
                  </w:tcBorders>
                  <w:vAlign w:val="center"/>
                </w:tcPr>
                <w:p w14:paraId="1A7ABB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105</w:t>
                  </w:r>
                </w:p>
              </w:tc>
              <w:tc>
                <w:tcPr>
                  <w:tcW w:w="584" w:type="pct"/>
                  <w:tcBorders>
                    <w:tl2br w:val="nil"/>
                    <w:tr2bl w:val="nil"/>
                  </w:tcBorders>
                  <w:vAlign w:val="center"/>
                </w:tcPr>
                <w:p w14:paraId="6A3E437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w:t>
                  </w:r>
                </w:p>
              </w:tc>
              <w:tc>
                <w:tcPr>
                  <w:tcW w:w="584" w:type="pct"/>
                  <w:tcBorders>
                    <w:tl2br w:val="nil"/>
                    <w:tr2bl w:val="nil"/>
                  </w:tcBorders>
                  <w:vAlign w:val="center"/>
                </w:tcPr>
                <w:p w14:paraId="6C83F0A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rPr>
                  </w:pPr>
                  <w:r>
                    <w:rPr>
                      <w:rFonts w:hint="default" w:ascii="Times New Roman" w:hAnsi="Times New Roman" w:eastAsia="仿宋_GB2312" w:cs="Times New Roman"/>
                      <w:b/>
                      <w:bCs/>
                      <w:color w:val="auto"/>
                      <w:kern w:val="0"/>
                      <w:lang w:bidi="ar"/>
                    </w:rPr>
                    <w:t>超标</w:t>
                  </w:r>
                </w:p>
              </w:tc>
            </w:tr>
            <w:bookmarkEnd w:id="38"/>
          </w:tbl>
          <w:p w14:paraId="6E3DF9A1">
            <w:pPr>
              <w:keepNext w:val="0"/>
              <w:keepLines w:val="0"/>
              <w:suppressLineNumbers w:val="0"/>
              <w:spacing w:before="0" w:beforeAutospacing="0" w:after="0" w:afterAutospacing="0"/>
              <w:ind w:left="0" w:right="0"/>
              <w:contextualSpacing/>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lang w:bidi="ar"/>
              </w:rPr>
              <w:t>注：①NO</w:t>
            </w:r>
            <w:r>
              <w:rPr>
                <w:rFonts w:hint="default" w:ascii="Times New Roman" w:hAnsi="Times New Roman" w:eastAsia="仿宋_GB2312" w:cs="Times New Roman"/>
                <w:color w:val="auto"/>
                <w:vertAlign w:val="subscript"/>
                <w:lang w:bidi="ar"/>
              </w:rPr>
              <w:t>2</w:t>
            </w:r>
            <w:r>
              <w:rPr>
                <w:rFonts w:hint="default" w:ascii="Times New Roman" w:hAnsi="Times New Roman" w:eastAsia="仿宋_GB2312" w:cs="Times New Roman"/>
                <w:color w:val="auto"/>
                <w:lang w:bidi="ar"/>
              </w:rPr>
              <w:t xml:space="preserve"> </w:t>
            </w:r>
            <w:r>
              <w:rPr>
                <w:rFonts w:hint="default" w:ascii="Times New Roman" w:hAnsi="Times New Roman" w:eastAsia="仿宋_GB2312" w:cs="Times New Roman"/>
                <w:color w:val="auto"/>
                <w:kern w:val="0"/>
                <w:lang w:bidi="ar"/>
              </w:rPr>
              <w:t>24小时平均第98百分位数达标；②</w:t>
            </w:r>
            <w:r>
              <w:rPr>
                <w:rFonts w:hint="default" w:ascii="Times New Roman" w:hAnsi="Times New Roman" w:eastAsia="仿宋_GB2312" w:cs="Times New Roman"/>
                <w:color w:val="auto"/>
                <w:lang w:bidi="ar"/>
              </w:rPr>
              <w:t>PM</w:t>
            </w:r>
            <w:r>
              <w:rPr>
                <w:rFonts w:hint="default" w:ascii="Times New Roman" w:hAnsi="Times New Roman" w:eastAsia="仿宋_GB2312" w:cs="Times New Roman"/>
                <w:color w:val="auto"/>
                <w:vertAlign w:val="subscript"/>
                <w:lang w:bidi="ar"/>
              </w:rPr>
              <w:t>10</w:t>
            </w:r>
            <w:r>
              <w:rPr>
                <w:rFonts w:hint="default" w:ascii="Times New Roman" w:hAnsi="Times New Roman" w:eastAsia="仿宋_GB2312" w:cs="Times New Roman"/>
                <w:color w:val="auto"/>
                <w:lang w:bidi="ar"/>
              </w:rPr>
              <w:t xml:space="preserve"> </w:t>
            </w:r>
            <w:r>
              <w:rPr>
                <w:rFonts w:hint="default" w:ascii="Times New Roman" w:hAnsi="Times New Roman" w:eastAsia="仿宋_GB2312" w:cs="Times New Roman"/>
                <w:color w:val="auto"/>
                <w:kern w:val="0"/>
                <w:lang w:bidi="ar"/>
              </w:rPr>
              <w:t>24小时平均第95百分位数达标；③</w:t>
            </w:r>
            <w:r>
              <w:rPr>
                <w:rFonts w:hint="default" w:ascii="Times New Roman" w:hAnsi="Times New Roman" w:eastAsia="仿宋_GB2312" w:cs="Times New Roman"/>
                <w:color w:val="auto"/>
                <w:lang w:bidi="ar"/>
              </w:rPr>
              <w:t>PM</w:t>
            </w:r>
            <w:r>
              <w:rPr>
                <w:rFonts w:hint="default" w:ascii="Times New Roman" w:hAnsi="Times New Roman" w:eastAsia="仿宋_GB2312" w:cs="Times New Roman"/>
                <w:color w:val="auto"/>
                <w:vertAlign w:val="subscript"/>
                <w:lang w:bidi="ar"/>
              </w:rPr>
              <w:t>2.5</w:t>
            </w:r>
            <w:r>
              <w:rPr>
                <w:rFonts w:hint="default" w:ascii="Times New Roman" w:hAnsi="Times New Roman" w:eastAsia="仿宋_GB2312" w:cs="Times New Roman"/>
                <w:color w:val="auto"/>
                <w:lang w:bidi="ar"/>
              </w:rPr>
              <w:t xml:space="preserve"> </w:t>
            </w:r>
            <w:r>
              <w:rPr>
                <w:rFonts w:hint="default" w:ascii="Times New Roman" w:hAnsi="Times New Roman" w:eastAsia="仿宋_GB2312" w:cs="Times New Roman"/>
                <w:color w:val="auto"/>
                <w:kern w:val="0"/>
                <w:lang w:bidi="ar"/>
              </w:rPr>
              <w:t>24小时平均第95百分位数超标。</w:t>
            </w:r>
          </w:p>
          <w:p w14:paraId="4EFD5476">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由上表可知，2024年常州市SO</w:t>
            </w:r>
            <w:r>
              <w:rPr>
                <w:rFonts w:hint="default" w:ascii="Times New Roman" w:hAnsi="Times New Roman" w:eastAsia="仿宋_GB2312" w:cs="Times New Roman"/>
                <w:color w:val="auto"/>
                <w:kern w:val="0"/>
                <w:sz w:val="24"/>
                <w:vertAlign w:val="subscript"/>
                <w:lang w:bidi="ar"/>
              </w:rPr>
              <w:t>2</w:t>
            </w:r>
            <w:r>
              <w:rPr>
                <w:rFonts w:hint="default" w:ascii="Times New Roman" w:hAnsi="Times New Roman" w:eastAsia="仿宋_GB2312" w:cs="Times New Roman"/>
                <w:color w:val="auto"/>
                <w:kern w:val="0"/>
                <w:sz w:val="24"/>
                <w:lang w:bidi="ar"/>
              </w:rPr>
              <w:t>、CO、NO</w:t>
            </w:r>
            <w:r>
              <w:rPr>
                <w:rFonts w:hint="default" w:ascii="Times New Roman" w:hAnsi="Times New Roman" w:eastAsia="仿宋_GB2312" w:cs="Times New Roman"/>
                <w:color w:val="auto"/>
                <w:kern w:val="0"/>
                <w:sz w:val="24"/>
                <w:vertAlign w:val="subscript"/>
                <w:lang w:bidi="ar"/>
              </w:rPr>
              <w:t>2</w:t>
            </w:r>
            <w:r>
              <w:rPr>
                <w:rFonts w:hint="default" w:ascii="Times New Roman" w:hAnsi="Times New Roman" w:eastAsia="仿宋_GB2312" w:cs="Times New Roman"/>
                <w:color w:val="auto"/>
                <w:kern w:val="0"/>
                <w:sz w:val="24"/>
                <w:lang w:bidi="ar"/>
              </w:rPr>
              <w:t>、PM</w:t>
            </w:r>
            <w:r>
              <w:rPr>
                <w:rFonts w:hint="default" w:ascii="Times New Roman" w:hAnsi="Times New Roman" w:eastAsia="仿宋_GB2312" w:cs="Times New Roman"/>
                <w:color w:val="auto"/>
                <w:kern w:val="0"/>
                <w:sz w:val="24"/>
                <w:vertAlign w:val="subscript"/>
                <w:lang w:bidi="ar"/>
              </w:rPr>
              <w:t>10</w:t>
            </w:r>
            <w:r>
              <w:rPr>
                <w:rFonts w:hint="default" w:ascii="Times New Roman" w:hAnsi="Times New Roman" w:eastAsia="仿宋_GB2312" w:cs="Times New Roman"/>
                <w:color w:val="auto"/>
                <w:kern w:val="0"/>
                <w:sz w:val="24"/>
                <w:lang w:bidi="ar"/>
              </w:rPr>
              <w:t>污染物各评价指标均达标，O</w:t>
            </w:r>
            <w:r>
              <w:rPr>
                <w:rFonts w:hint="default" w:ascii="Times New Roman" w:hAnsi="Times New Roman" w:eastAsia="仿宋_GB2312" w:cs="Times New Roman"/>
                <w:color w:val="auto"/>
                <w:kern w:val="0"/>
                <w:sz w:val="24"/>
                <w:vertAlign w:val="subscript"/>
                <w:lang w:bidi="ar"/>
              </w:rPr>
              <w:t>3</w:t>
            </w:r>
            <w:r>
              <w:rPr>
                <w:rFonts w:hint="default" w:ascii="Times New Roman" w:hAnsi="Times New Roman" w:eastAsia="仿宋_GB2312" w:cs="Times New Roman"/>
                <w:color w:val="auto"/>
                <w:kern w:val="0"/>
                <w:sz w:val="24"/>
                <w:lang w:bidi="ar"/>
              </w:rPr>
              <w:t>、PM</w:t>
            </w:r>
            <w:r>
              <w:rPr>
                <w:rFonts w:hint="default" w:ascii="Times New Roman" w:hAnsi="Times New Roman" w:eastAsia="仿宋_GB2312" w:cs="Times New Roman"/>
                <w:color w:val="auto"/>
                <w:kern w:val="0"/>
                <w:sz w:val="24"/>
                <w:vertAlign w:val="subscript"/>
                <w:lang w:bidi="ar"/>
              </w:rPr>
              <w:t>2.5</w:t>
            </w:r>
            <w:r>
              <w:rPr>
                <w:rFonts w:hint="default" w:ascii="Times New Roman" w:hAnsi="Times New Roman" w:eastAsia="仿宋_GB2312" w:cs="Times New Roman"/>
                <w:color w:val="auto"/>
                <w:kern w:val="0"/>
                <w:sz w:val="24"/>
                <w:lang w:bidi="ar"/>
              </w:rPr>
              <w:t>超过《环境空气质量标准》（GB3095-2012）中二级标准，总体而言本项目所在地为环境空气质量不达标区</w:t>
            </w:r>
          </w:p>
          <w:p w14:paraId="575C56CA">
            <w:pPr>
              <w:keepNext w:val="0"/>
              <w:keepLines w:val="0"/>
              <w:suppressLineNumbers w:val="0"/>
              <w:snapToGrid w:val="0"/>
              <w:spacing w:before="0" w:beforeAutospacing="0" w:after="0" w:afterAutospacing="0" w:line="500" w:lineRule="exact"/>
              <w:ind w:left="0" w:right="0" w:firstLine="482" w:firstLineChars="200"/>
              <w:rPr>
                <w:rFonts w:hint="default" w:ascii="Times New Roman" w:hAnsi="Times New Roman" w:eastAsia="仿宋_GB2312" w:cs="Times New Roman"/>
                <w:b/>
                <w:bCs/>
                <w:color w:val="auto"/>
                <w:sz w:val="24"/>
              </w:rPr>
            </w:pPr>
            <w:bookmarkStart w:id="39" w:name="_Hlk119400217"/>
            <w:r>
              <w:rPr>
                <w:rFonts w:hint="default" w:ascii="Times New Roman" w:hAnsi="Times New Roman" w:eastAsia="仿宋_GB2312" w:cs="Times New Roman"/>
                <w:b/>
                <w:bCs/>
                <w:color w:val="auto"/>
                <w:sz w:val="24"/>
              </w:rPr>
              <w:t>区域大气污染物削减方案及措施：</w:t>
            </w:r>
          </w:p>
          <w:bookmarkEnd w:id="39"/>
          <w:p w14:paraId="7D3ACF39">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区域大气污染物削减方案及措施：</w:t>
            </w:r>
          </w:p>
          <w:p w14:paraId="1D77D924">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根据常州市深入打好污染防治攻坚战指挥部办公室关于印发《2025年度全面推进美丽常州建设重点任务清单》的通知，主要举措如下：</w:t>
            </w:r>
          </w:p>
          <w:p w14:paraId="54C4C2A7">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①加快推动绿色低碳转型发展。煤炭消费量较2020年下降5%。规模以上企业单位工业增加值能耗比2020年下降17%。利用党政机关、公共建筑、工商业厂房、农村居民屋顶建设分布式光伏项目，新增分布式光伏装机容量10兆瓦。开展营运船舶能耗和碳排放数据的监测分析，推动营运船舶节能减排，依法淘汰或更新高耗能高排放老旧营运船舶。</w:t>
            </w:r>
          </w:p>
          <w:p w14:paraId="78EE0CD4">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bCs/>
                <w:color w:val="auto"/>
                <w:kern w:val="0"/>
                <w:sz w:val="24"/>
              </w:rPr>
            </w:pPr>
            <w:r>
              <w:rPr>
                <w:rFonts w:hint="default" w:ascii="Times New Roman" w:hAnsi="Times New Roman" w:eastAsia="仿宋_GB2312" w:cs="Times New Roman"/>
                <w:color w:val="auto"/>
                <w:kern w:val="0"/>
                <w:sz w:val="24"/>
                <w:lang w:bidi="ar"/>
              </w:rPr>
              <w:t>②持续深入打好蓝天保卫战。完成60家企业VOCs治理设施提升改造、无组织整治工作，4月底前完成50%，年底重点工业园区VOCs浓度力争比2021年下降20%。深化开展化工园区综合治理，持续推进挂钩帮扶，全面开展化工园区综合整治提升工作。开展锅炉和工业炉窑简易低效污染治理设施排查，通过清洁能源替代、升级改造、整合退出等方式分类处置。发挥30万千瓦及以上热电联产电厂的供热能力，对其供热半径30公里范围内的燃煤锅炉和落后燃煤小热电机组（含自备电厂）进行关停或整合。对全区火电煤堆场、建材行业、铸造行业、垃圾焚烧行业开展“扫尾工作”，全面完成整治任务。督促油品码头、油船依法依规安装、使用油气回收设施，开展储运销环节油气回收系统专项检查。强化各类扬尘治理，严格执行“六个百分百”要求，“两区三厂”范围内无大面积未覆盖裸土，推进规模以上工地安装在线监测和视频监控设备，并将相关数据推送至监管部门。强化渣土运输车辆全封闭运输管理，城市建成区全面使用新型环保智能渣土车。在重点区域分别打造1条以上餐饮油烟示范街区（综合体），并探索建立餐饮绿岛。全面落实重污染天气应对移动源管控要求，实现动态管理。年内逐步淘汰国IV以下排放标准的柴油货车，11月1日起，市区域内实现国三柴油货车全面限行。强化非道路移动机械污染治理，基本完成第一阶段及以下排放标准的非道路移动机械淘汰并逐步淘汰国二排放标准非道路移动机械，新增或更新的作业车辆和机械主要使用新能源车辆和机械。推动建立以集中充换电设施为主、企业自建充换电设施为补充的预拌混凝土专用车辆能源保障体系，通过落实“车电分离”，逐步实现预拌混凝土专用车辆的新能源化。加强秸秆禁烧，全面提升秸秆收、运、贮、用等方面能力。加强春节、中秋、国庆等重点时段的烟花爆竹燃放管控工作，严防禁放区内发生聚集性违规燃放。根据前期烟花爆竹燃放的实际情况，年内完成烟花爆竹禁放区的优化调整。</w:t>
            </w:r>
          </w:p>
          <w:p w14:paraId="21886032">
            <w:pPr>
              <w:pStyle w:val="30"/>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（2）基本污染物环境质量现状评价</w:t>
            </w:r>
          </w:p>
          <w:p w14:paraId="4D37B431">
            <w:pPr>
              <w:pStyle w:val="30"/>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根据2024年金坛城区站点的监测数据，基本污染物环境质量现状评价结果见</w:t>
            </w:r>
            <w:r>
              <w:rPr>
                <w:rFonts w:hint="eastAsia" w:ascii="Times New Roman" w:hAnsi="Times New Roman" w:eastAsia="仿宋_GB2312" w:cs="Times New Roman"/>
                <w:color w:val="auto"/>
                <w:kern w:val="2"/>
                <w:sz w:val="24"/>
                <w:szCs w:val="24"/>
                <w:lang w:val="en-US" w:eastAsia="zh-CN" w:bidi="ar-SA"/>
              </w:rPr>
              <w:t>下表</w:t>
            </w:r>
            <w:r>
              <w:rPr>
                <w:rFonts w:hint="default" w:ascii="Times New Roman" w:hAnsi="Times New Roman" w:eastAsia="仿宋_GB2312" w:cs="Times New Roman"/>
                <w:color w:val="auto"/>
                <w:kern w:val="2"/>
                <w:sz w:val="24"/>
                <w:szCs w:val="24"/>
                <w:lang w:val="en-US" w:eastAsia="zh-CN" w:bidi="ar-SA"/>
              </w:rPr>
              <w:t>。</w:t>
            </w:r>
          </w:p>
          <w:p w14:paraId="0AAF531F">
            <w:pPr>
              <w:keepNext/>
              <w:keepLines w:val="0"/>
              <w:widowControl/>
              <w:suppressLineNumbers w:val="0"/>
              <w:spacing w:before="0" w:beforeAutospacing="0" w:after="0" w:afterAutospacing="0" w:line="500" w:lineRule="exact"/>
              <w:ind w:left="0" w:right="0"/>
              <w:contextualSpacing/>
              <w:jc w:val="center"/>
              <w:rPr>
                <w:rFonts w:hint="default" w:ascii="Times New Roman" w:hAnsi="Times New Roman" w:eastAsia="仿宋_GB2312" w:cs="Times New Roman"/>
                <w:b/>
                <w:color w:val="auto"/>
                <w:kern w:val="0"/>
                <w:sz w:val="22"/>
                <w:szCs w:val="22"/>
              </w:rPr>
            </w:pPr>
            <w:r>
              <w:rPr>
                <w:rFonts w:hint="default" w:ascii="Times New Roman" w:hAnsi="Times New Roman" w:eastAsia="仿宋_GB2312" w:cs="Times New Roman"/>
                <w:b/>
                <w:color w:val="auto"/>
                <w:kern w:val="0"/>
                <w:sz w:val="22"/>
                <w:szCs w:val="22"/>
              </w:rPr>
              <w:t>表</w:t>
            </w:r>
            <w:r>
              <w:rPr>
                <w:rFonts w:hint="eastAsia" w:ascii="Times New Roman" w:hAnsi="Times New Roman" w:eastAsia="仿宋_GB2312" w:cs="Times New Roman"/>
                <w:b/>
                <w:color w:val="auto"/>
                <w:kern w:val="0"/>
                <w:sz w:val="22"/>
                <w:szCs w:val="22"/>
                <w:lang w:val="en-US" w:eastAsia="zh-CN"/>
              </w:rPr>
              <w:t>3-6</w:t>
            </w:r>
            <w:r>
              <w:rPr>
                <w:rFonts w:hint="default" w:ascii="Times New Roman" w:hAnsi="Times New Roman" w:eastAsia="仿宋_GB2312" w:cs="Times New Roman"/>
                <w:b/>
                <w:color w:val="auto"/>
                <w:kern w:val="0"/>
                <w:sz w:val="22"/>
                <w:szCs w:val="22"/>
              </w:rPr>
              <w:t xml:space="preserve">   基本污染物环境质量现状</w:t>
            </w:r>
          </w:p>
          <w:tbl>
            <w:tblPr>
              <w:tblStyle w:val="87"/>
              <w:tblW w:w="106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757"/>
              <w:gridCol w:w="1023"/>
              <w:gridCol w:w="850"/>
              <w:gridCol w:w="2306"/>
              <w:gridCol w:w="1155"/>
              <w:gridCol w:w="1059"/>
              <w:gridCol w:w="942"/>
              <w:gridCol w:w="920"/>
              <w:gridCol w:w="847"/>
            </w:tblGrid>
            <w:tr w14:paraId="54D3B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57" w:type="dxa"/>
                  <w:vMerge w:val="restart"/>
                  <w:vAlign w:val="center"/>
                </w:tcPr>
                <w:p w14:paraId="71A5F48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点位名称</w:t>
                  </w:r>
                </w:p>
              </w:tc>
              <w:tc>
                <w:tcPr>
                  <w:tcW w:w="1780" w:type="dxa"/>
                  <w:gridSpan w:val="2"/>
                  <w:vAlign w:val="center"/>
                </w:tcPr>
                <w:p w14:paraId="47ABE6D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监测点坐标*/m</w:t>
                  </w:r>
                </w:p>
              </w:tc>
              <w:tc>
                <w:tcPr>
                  <w:tcW w:w="850" w:type="dxa"/>
                  <w:vMerge w:val="restart"/>
                  <w:vAlign w:val="center"/>
                </w:tcPr>
                <w:p w14:paraId="639CACE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污染物</w:t>
                  </w:r>
                </w:p>
              </w:tc>
              <w:tc>
                <w:tcPr>
                  <w:tcW w:w="2306" w:type="dxa"/>
                  <w:vMerge w:val="restart"/>
                  <w:vAlign w:val="center"/>
                </w:tcPr>
                <w:p w14:paraId="209A2379">
                  <w:pPr>
                    <w:keepNext w:val="0"/>
                    <w:keepLines w:val="0"/>
                    <w:suppressLineNumbers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sz w:val="21"/>
                    </w:rPr>
                    <w:t>年评价指标</w:t>
                  </w:r>
                </w:p>
              </w:tc>
              <w:tc>
                <w:tcPr>
                  <w:tcW w:w="1155" w:type="dxa"/>
                  <w:vMerge w:val="restart"/>
                  <w:vAlign w:val="center"/>
                </w:tcPr>
                <w:p w14:paraId="37C8AA01">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sz w:val="21"/>
                    </w:rPr>
                    <w:t>评价标准(μg/m</w:t>
                  </w:r>
                  <w:r>
                    <w:rPr>
                      <w:rFonts w:hint="default" w:ascii="Times New Roman" w:hAnsi="Times New Roman" w:eastAsia="仿宋_GB2312" w:cs="Times New Roman"/>
                      <w:b/>
                      <w:color w:val="auto"/>
                      <w:sz w:val="21"/>
                      <w:vertAlign w:val="superscript"/>
                    </w:rPr>
                    <w:t>3</w:t>
                  </w:r>
                  <w:r>
                    <w:rPr>
                      <w:rFonts w:hint="default" w:ascii="Times New Roman" w:hAnsi="Times New Roman" w:eastAsia="仿宋_GB2312" w:cs="Times New Roman"/>
                      <w:b/>
                      <w:color w:val="auto"/>
                      <w:sz w:val="21"/>
                    </w:rPr>
                    <w:t>)</w:t>
                  </w:r>
                </w:p>
              </w:tc>
              <w:tc>
                <w:tcPr>
                  <w:tcW w:w="1059" w:type="dxa"/>
                  <w:vMerge w:val="restart"/>
                  <w:vAlign w:val="center"/>
                </w:tcPr>
                <w:p w14:paraId="6C7D0FCD">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sz w:val="21"/>
                    </w:rPr>
                    <w:t>现状浓度(μg/m</w:t>
                  </w:r>
                  <w:r>
                    <w:rPr>
                      <w:rFonts w:hint="default" w:ascii="Times New Roman" w:hAnsi="Times New Roman" w:eastAsia="仿宋_GB2312" w:cs="Times New Roman"/>
                      <w:b/>
                      <w:color w:val="auto"/>
                      <w:sz w:val="21"/>
                      <w:vertAlign w:val="superscript"/>
                    </w:rPr>
                    <w:t>3</w:t>
                  </w:r>
                  <w:r>
                    <w:rPr>
                      <w:rFonts w:hint="default" w:ascii="Times New Roman" w:hAnsi="Times New Roman" w:eastAsia="仿宋_GB2312" w:cs="Times New Roman"/>
                      <w:b/>
                      <w:color w:val="auto"/>
                      <w:sz w:val="21"/>
                    </w:rPr>
                    <w:t>)</w:t>
                  </w:r>
                </w:p>
              </w:tc>
              <w:tc>
                <w:tcPr>
                  <w:tcW w:w="942" w:type="dxa"/>
                  <w:vMerge w:val="restart"/>
                  <w:vAlign w:val="center"/>
                </w:tcPr>
                <w:p w14:paraId="36C7894D">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最大浓度占标率</w:t>
                  </w:r>
                </w:p>
                <w:p w14:paraId="76917149">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sz w:val="21"/>
                    </w:rPr>
                    <w:t>（%）</w:t>
                  </w:r>
                </w:p>
              </w:tc>
              <w:tc>
                <w:tcPr>
                  <w:tcW w:w="920" w:type="dxa"/>
                  <w:vMerge w:val="restart"/>
                  <w:vAlign w:val="center"/>
                </w:tcPr>
                <w:p w14:paraId="6A7B30E6">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超标</w:t>
                  </w:r>
                </w:p>
                <w:p w14:paraId="209E0AA7">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频率</w:t>
                  </w:r>
                </w:p>
                <w:p w14:paraId="402EB6AF">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sz w:val="21"/>
                    </w:rPr>
                    <w:t>（%）</w:t>
                  </w:r>
                </w:p>
              </w:tc>
              <w:tc>
                <w:tcPr>
                  <w:tcW w:w="847" w:type="dxa"/>
                  <w:vMerge w:val="restart"/>
                  <w:vAlign w:val="center"/>
                </w:tcPr>
                <w:p w14:paraId="7867043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达标情况</w:t>
                  </w:r>
                </w:p>
              </w:tc>
            </w:tr>
            <w:tr w14:paraId="0D026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57" w:type="dxa"/>
                  <w:vMerge w:val="continue"/>
                  <w:vAlign w:val="center"/>
                </w:tcPr>
                <w:p w14:paraId="6562981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p>
              </w:tc>
              <w:tc>
                <w:tcPr>
                  <w:tcW w:w="757" w:type="dxa"/>
                  <w:vAlign w:val="center"/>
                </w:tcPr>
                <w:p w14:paraId="0F8BD48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X</w:t>
                  </w:r>
                </w:p>
              </w:tc>
              <w:tc>
                <w:tcPr>
                  <w:tcW w:w="1023" w:type="dxa"/>
                  <w:vAlign w:val="center"/>
                </w:tcPr>
                <w:p w14:paraId="6DA33CE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Y</w:t>
                  </w:r>
                </w:p>
              </w:tc>
              <w:tc>
                <w:tcPr>
                  <w:tcW w:w="850" w:type="dxa"/>
                  <w:vMerge w:val="continue"/>
                  <w:vAlign w:val="center"/>
                </w:tcPr>
                <w:p w14:paraId="156D34F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p>
              </w:tc>
              <w:tc>
                <w:tcPr>
                  <w:tcW w:w="2306" w:type="dxa"/>
                  <w:vMerge w:val="continue"/>
                  <w:vAlign w:val="center"/>
                </w:tcPr>
                <w:p w14:paraId="4966784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p>
              </w:tc>
              <w:tc>
                <w:tcPr>
                  <w:tcW w:w="1155" w:type="dxa"/>
                  <w:vMerge w:val="continue"/>
                  <w:vAlign w:val="center"/>
                </w:tcPr>
                <w:p w14:paraId="0A09502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p>
              </w:tc>
              <w:tc>
                <w:tcPr>
                  <w:tcW w:w="1059" w:type="dxa"/>
                  <w:vMerge w:val="continue"/>
                  <w:vAlign w:val="center"/>
                </w:tcPr>
                <w:p w14:paraId="0439400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p>
              </w:tc>
              <w:tc>
                <w:tcPr>
                  <w:tcW w:w="942" w:type="dxa"/>
                  <w:vMerge w:val="continue"/>
                  <w:vAlign w:val="center"/>
                </w:tcPr>
                <w:p w14:paraId="03F5587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p>
              </w:tc>
              <w:tc>
                <w:tcPr>
                  <w:tcW w:w="920" w:type="dxa"/>
                  <w:vMerge w:val="continue"/>
                  <w:vAlign w:val="center"/>
                </w:tcPr>
                <w:p w14:paraId="4A97BD6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p>
              </w:tc>
              <w:tc>
                <w:tcPr>
                  <w:tcW w:w="847" w:type="dxa"/>
                  <w:vMerge w:val="continue"/>
                  <w:vAlign w:val="center"/>
                </w:tcPr>
                <w:p w14:paraId="2A3A55C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p>
              </w:tc>
            </w:tr>
            <w:tr w14:paraId="7636B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restart"/>
                  <w:vAlign w:val="center"/>
                </w:tcPr>
                <w:p w14:paraId="3892B83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金坛城区站</w:t>
                  </w:r>
                </w:p>
              </w:tc>
              <w:tc>
                <w:tcPr>
                  <w:tcW w:w="757" w:type="dxa"/>
                  <w:vMerge w:val="restart"/>
                  <w:vAlign w:val="center"/>
                </w:tcPr>
                <w:p w14:paraId="7A434FB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-2072</w:t>
                  </w:r>
                </w:p>
              </w:tc>
              <w:tc>
                <w:tcPr>
                  <w:tcW w:w="1023" w:type="dxa"/>
                  <w:vMerge w:val="restart"/>
                  <w:vAlign w:val="center"/>
                </w:tcPr>
                <w:p w14:paraId="7DFDD75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-4909</w:t>
                  </w:r>
                </w:p>
              </w:tc>
              <w:tc>
                <w:tcPr>
                  <w:tcW w:w="850" w:type="dxa"/>
                  <w:vMerge w:val="restart"/>
                  <w:vAlign w:val="center"/>
                </w:tcPr>
                <w:p w14:paraId="5560DE5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SO</w:t>
                  </w:r>
                  <w:r>
                    <w:rPr>
                      <w:rFonts w:hint="default" w:ascii="Times New Roman" w:hAnsi="Times New Roman" w:eastAsia="仿宋_GB2312" w:cs="Times New Roman"/>
                      <w:color w:val="auto"/>
                      <w:kern w:val="0"/>
                      <w:sz w:val="21"/>
                      <w:vertAlign w:val="subscript"/>
                    </w:rPr>
                    <w:t>2</w:t>
                  </w:r>
                </w:p>
              </w:tc>
              <w:tc>
                <w:tcPr>
                  <w:tcW w:w="2306" w:type="dxa"/>
                  <w:vAlign w:val="center"/>
                </w:tcPr>
                <w:p w14:paraId="7EAC590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24h平均第98百分位数</w:t>
                  </w:r>
                </w:p>
              </w:tc>
              <w:tc>
                <w:tcPr>
                  <w:tcW w:w="1155" w:type="dxa"/>
                  <w:vAlign w:val="center"/>
                </w:tcPr>
                <w:p w14:paraId="1E7958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150</w:t>
                  </w:r>
                </w:p>
              </w:tc>
              <w:tc>
                <w:tcPr>
                  <w:tcW w:w="1059" w:type="dxa"/>
                  <w:vAlign w:val="center"/>
                </w:tcPr>
                <w:p w14:paraId="381861A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13</w:t>
                  </w:r>
                </w:p>
              </w:tc>
              <w:tc>
                <w:tcPr>
                  <w:tcW w:w="942" w:type="dxa"/>
                  <w:vAlign w:val="center"/>
                </w:tcPr>
                <w:p w14:paraId="0A9E93E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8.67</w:t>
                  </w:r>
                </w:p>
              </w:tc>
              <w:tc>
                <w:tcPr>
                  <w:tcW w:w="920" w:type="dxa"/>
                  <w:vAlign w:val="center"/>
                </w:tcPr>
                <w:p w14:paraId="07FD9E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0</w:t>
                  </w:r>
                </w:p>
              </w:tc>
              <w:tc>
                <w:tcPr>
                  <w:tcW w:w="847" w:type="dxa"/>
                  <w:vAlign w:val="center"/>
                </w:tcPr>
                <w:p w14:paraId="2AC23CF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达标</w:t>
                  </w:r>
                </w:p>
              </w:tc>
            </w:tr>
            <w:tr w14:paraId="653B4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37B7533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0257B1B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39E5997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Merge w:val="continue"/>
                  <w:vAlign w:val="center"/>
                </w:tcPr>
                <w:p w14:paraId="607FF23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2306" w:type="dxa"/>
                  <w:vAlign w:val="center"/>
                </w:tcPr>
                <w:p w14:paraId="3258886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年平均质量浓度</w:t>
                  </w:r>
                </w:p>
              </w:tc>
              <w:tc>
                <w:tcPr>
                  <w:tcW w:w="1155" w:type="dxa"/>
                  <w:vAlign w:val="center"/>
                </w:tcPr>
                <w:p w14:paraId="1A626C1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60</w:t>
                  </w:r>
                </w:p>
              </w:tc>
              <w:tc>
                <w:tcPr>
                  <w:tcW w:w="1059" w:type="dxa"/>
                  <w:vAlign w:val="center"/>
                </w:tcPr>
                <w:p w14:paraId="233136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8</w:t>
                  </w:r>
                </w:p>
              </w:tc>
              <w:tc>
                <w:tcPr>
                  <w:tcW w:w="942" w:type="dxa"/>
                  <w:vAlign w:val="center"/>
                </w:tcPr>
                <w:p w14:paraId="2587A7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13.33</w:t>
                  </w:r>
                </w:p>
              </w:tc>
              <w:tc>
                <w:tcPr>
                  <w:tcW w:w="920" w:type="dxa"/>
                  <w:vAlign w:val="center"/>
                </w:tcPr>
                <w:p w14:paraId="7E7516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w:t>
                  </w:r>
                </w:p>
              </w:tc>
              <w:tc>
                <w:tcPr>
                  <w:tcW w:w="847" w:type="dxa"/>
                  <w:vAlign w:val="center"/>
                </w:tcPr>
                <w:p w14:paraId="36F1FC3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达标</w:t>
                  </w:r>
                </w:p>
              </w:tc>
            </w:tr>
            <w:tr w14:paraId="2DAC2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37AD78C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64098D8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1B531BC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Merge w:val="restart"/>
                  <w:vAlign w:val="center"/>
                </w:tcPr>
                <w:p w14:paraId="40806CA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NO</w:t>
                  </w:r>
                  <w:r>
                    <w:rPr>
                      <w:rFonts w:hint="default" w:ascii="Times New Roman" w:hAnsi="Times New Roman" w:eastAsia="仿宋_GB2312" w:cs="Times New Roman"/>
                      <w:color w:val="auto"/>
                      <w:kern w:val="0"/>
                      <w:sz w:val="21"/>
                      <w:vertAlign w:val="subscript"/>
                    </w:rPr>
                    <w:t>2</w:t>
                  </w:r>
                </w:p>
              </w:tc>
              <w:tc>
                <w:tcPr>
                  <w:tcW w:w="2306" w:type="dxa"/>
                  <w:vAlign w:val="center"/>
                </w:tcPr>
                <w:p w14:paraId="5CE9ABB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24h平均第98百分位数</w:t>
                  </w:r>
                </w:p>
              </w:tc>
              <w:tc>
                <w:tcPr>
                  <w:tcW w:w="1155" w:type="dxa"/>
                  <w:vAlign w:val="center"/>
                </w:tcPr>
                <w:p w14:paraId="221BCA6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80</w:t>
                  </w:r>
                </w:p>
              </w:tc>
              <w:tc>
                <w:tcPr>
                  <w:tcW w:w="1059" w:type="dxa"/>
                  <w:vAlign w:val="center"/>
                </w:tcPr>
                <w:p w14:paraId="7A65FE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53</w:t>
                  </w:r>
                </w:p>
              </w:tc>
              <w:tc>
                <w:tcPr>
                  <w:tcW w:w="942" w:type="dxa"/>
                  <w:vAlign w:val="center"/>
                </w:tcPr>
                <w:p w14:paraId="302A35F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66.25</w:t>
                  </w:r>
                </w:p>
              </w:tc>
              <w:tc>
                <w:tcPr>
                  <w:tcW w:w="920" w:type="dxa"/>
                  <w:vAlign w:val="center"/>
                </w:tcPr>
                <w:p w14:paraId="28EF0DC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0</w:t>
                  </w:r>
                </w:p>
              </w:tc>
              <w:tc>
                <w:tcPr>
                  <w:tcW w:w="847" w:type="dxa"/>
                  <w:vAlign w:val="center"/>
                </w:tcPr>
                <w:p w14:paraId="198B21E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达标</w:t>
                  </w:r>
                </w:p>
              </w:tc>
            </w:tr>
            <w:tr w14:paraId="14336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35C59BE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59DB619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6F7DDDA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Merge w:val="continue"/>
                  <w:vAlign w:val="center"/>
                </w:tcPr>
                <w:p w14:paraId="5254AFF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2306" w:type="dxa"/>
                  <w:vAlign w:val="center"/>
                </w:tcPr>
                <w:p w14:paraId="729140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年平均质量浓度</w:t>
                  </w:r>
                </w:p>
              </w:tc>
              <w:tc>
                <w:tcPr>
                  <w:tcW w:w="1155" w:type="dxa"/>
                  <w:vAlign w:val="center"/>
                </w:tcPr>
                <w:p w14:paraId="5DF4D1F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40</w:t>
                  </w:r>
                </w:p>
              </w:tc>
              <w:tc>
                <w:tcPr>
                  <w:tcW w:w="1059" w:type="dxa"/>
                  <w:vAlign w:val="center"/>
                </w:tcPr>
                <w:p w14:paraId="024517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21</w:t>
                  </w:r>
                </w:p>
              </w:tc>
              <w:tc>
                <w:tcPr>
                  <w:tcW w:w="942" w:type="dxa"/>
                  <w:vAlign w:val="center"/>
                </w:tcPr>
                <w:p w14:paraId="0B17BFC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52.5</w:t>
                  </w:r>
                </w:p>
              </w:tc>
              <w:tc>
                <w:tcPr>
                  <w:tcW w:w="920" w:type="dxa"/>
                  <w:vAlign w:val="center"/>
                </w:tcPr>
                <w:p w14:paraId="4F3D54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w:t>
                  </w:r>
                </w:p>
              </w:tc>
              <w:tc>
                <w:tcPr>
                  <w:tcW w:w="847" w:type="dxa"/>
                  <w:vAlign w:val="center"/>
                </w:tcPr>
                <w:p w14:paraId="61453FD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达标</w:t>
                  </w:r>
                </w:p>
              </w:tc>
            </w:tr>
            <w:tr w14:paraId="3FC6E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21DF11A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14F3172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6833F17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Merge w:val="restart"/>
                  <w:vAlign w:val="center"/>
                </w:tcPr>
                <w:p w14:paraId="7457DC7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PM</w:t>
                  </w:r>
                  <w:r>
                    <w:rPr>
                      <w:rFonts w:hint="default" w:ascii="Times New Roman" w:hAnsi="Times New Roman" w:eastAsia="仿宋_GB2312" w:cs="Times New Roman"/>
                      <w:color w:val="auto"/>
                      <w:kern w:val="0"/>
                      <w:sz w:val="21"/>
                      <w:vertAlign w:val="subscript"/>
                    </w:rPr>
                    <w:t>10</w:t>
                  </w:r>
                </w:p>
              </w:tc>
              <w:tc>
                <w:tcPr>
                  <w:tcW w:w="2306" w:type="dxa"/>
                  <w:vAlign w:val="center"/>
                </w:tcPr>
                <w:p w14:paraId="0FF306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24h平均第95百分位数</w:t>
                  </w:r>
                </w:p>
              </w:tc>
              <w:tc>
                <w:tcPr>
                  <w:tcW w:w="1155" w:type="dxa"/>
                  <w:vAlign w:val="center"/>
                </w:tcPr>
                <w:p w14:paraId="58469E1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150</w:t>
                  </w:r>
                </w:p>
              </w:tc>
              <w:tc>
                <w:tcPr>
                  <w:tcW w:w="1059" w:type="dxa"/>
                  <w:vAlign w:val="center"/>
                </w:tcPr>
                <w:p w14:paraId="6581546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117</w:t>
                  </w:r>
                </w:p>
              </w:tc>
              <w:tc>
                <w:tcPr>
                  <w:tcW w:w="942" w:type="dxa"/>
                  <w:vAlign w:val="center"/>
                </w:tcPr>
                <w:p w14:paraId="798A731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78</w:t>
                  </w:r>
                </w:p>
              </w:tc>
              <w:tc>
                <w:tcPr>
                  <w:tcW w:w="920" w:type="dxa"/>
                  <w:vAlign w:val="center"/>
                </w:tcPr>
                <w:p w14:paraId="1C0FC83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1.45</w:t>
                  </w:r>
                </w:p>
              </w:tc>
              <w:tc>
                <w:tcPr>
                  <w:tcW w:w="847" w:type="dxa"/>
                  <w:vAlign w:val="center"/>
                </w:tcPr>
                <w:p w14:paraId="57FAFD8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达标</w:t>
                  </w:r>
                </w:p>
              </w:tc>
            </w:tr>
            <w:tr w14:paraId="1231D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6AD1EB8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078C968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2D0DAD7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Merge w:val="continue"/>
                  <w:vAlign w:val="center"/>
                </w:tcPr>
                <w:p w14:paraId="25C69DB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2306" w:type="dxa"/>
                  <w:vAlign w:val="center"/>
                </w:tcPr>
                <w:p w14:paraId="00FB930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年平均质量浓度</w:t>
                  </w:r>
                </w:p>
              </w:tc>
              <w:tc>
                <w:tcPr>
                  <w:tcW w:w="1155" w:type="dxa"/>
                  <w:vAlign w:val="center"/>
                </w:tcPr>
                <w:p w14:paraId="74FE56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70</w:t>
                  </w:r>
                </w:p>
              </w:tc>
              <w:tc>
                <w:tcPr>
                  <w:tcW w:w="1059" w:type="dxa"/>
                  <w:vAlign w:val="center"/>
                </w:tcPr>
                <w:p w14:paraId="2817A8D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48</w:t>
                  </w:r>
                </w:p>
              </w:tc>
              <w:tc>
                <w:tcPr>
                  <w:tcW w:w="942" w:type="dxa"/>
                  <w:vAlign w:val="center"/>
                </w:tcPr>
                <w:p w14:paraId="474FC5B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68.57</w:t>
                  </w:r>
                </w:p>
              </w:tc>
              <w:tc>
                <w:tcPr>
                  <w:tcW w:w="920" w:type="dxa"/>
                  <w:vAlign w:val="center"/>
                </w:tcPr>
                <w:p w14:paraId="68769F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w:t>
                  </w:r>
                </w:p>
              </w:tc>
              <w:tc>
                <w:tcPr>
                  <w:tcW w:w="847" w:type="dxa"/>
                  <w:vAlign w:val="center"/>
                </w:tcPr>
                <w:p w14:paraId="3062010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达标</w:t>
                  </w:r>
                </w:p>
              </w:tc>
            </w:tr>
            <w:tr w14:paraId="2E17E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1A78108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4D6C5A9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0118934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Merge w:val="restart"/>
                  <w:vAlign w:val="center"/>
                </w:tcPr>
                <w:p w14:paraId="3BE8A7D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PM</w:t>
                  </w:r>
                  <w:r>
                    <w:rPr>
                      <w:rFonts w:hint="default" w:ascii="Times New Roman" w:hAnsi="Times New Roman" w:eastAsia="仿宋_GB2312" w:cs="Times New Roman"/>
                      <w:color w:val="auto"/>
                      <w:kern w:val="0"/>
                      <w:sz w:val="21"/>
                      <w:vertAlign w:val="subscript"/>
                    </w:rPr>
                    <w:t>2.5</w:t>
                  </w:r>
                </w:p>
              </w:tc>
              <w:tc>
                <w:tcPr>
                  <w:tcW w:w="2306" w:type="dxa"/>
                  <w:vAlign w:val="center"/>
                </w:tcPr>
                <w:p w14:paraId="0F87C93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24h平均第95百分位数</w:t>
                  </w:r>
                </w:p>
              </w:tc>
              <w:tc>
                <w:tcPr>
                  <w:tcW w:w="1155" w:type="dxa"/>
                  <w:vAlign w:val="center"/>
                </w:tcPr>
                <w:p w14:paraId="6805A6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75</w:t>
                  </w:r>
                </w:p>
              </w:tc>
              <w:tc>
                <w:tcPr>
                  <w:tcW w:w="1059" w:type="dxa"/>
                  <w:vAlign w:val="center"/>
                </w:tcPr>
                <w:p w14:paraId="1B30BB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90</w:t>
                  </w:r>
                </w:p>
              </w:tc>
              <w:tc>
                <w:tcPr>
                  <w:tcW w:w="942" w:type="dxa"/>
                  <w:vAlign w:val="center"/>
                </w:tcPr>
                <w:p w14:paraId="0136D74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120</w:t>
                  </w:r>
                </w:p>
              </w:tc>
              <w:tc>
                <w:tcPr>
                  <w:tcW w:w="920" w:type="dxa"/>
                  <w:vAlign w:val="center"/>
                </w:tcPr>
                <w:p w14:paraId="7D93232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6.29</w:t>
                  </w:r>
                </w:p>
              </w:tc>
              <w:tc>
                <w:tcPr>
                  <w:tcW w:w="847" w:type="dxa"/>
                  <w:vAlign w:val="center"/>
                </w:tcPr>
                <w:p w14:paraId="07B7C9F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达标</w:t>
                  </w:r>
                </w:p>
              </w:tc>
            </w:tr>
            <w:tr w14:paraId="2E7E3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2E87C4E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190927F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0449621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Merge w:val="continue"/>
                  <w:vAlign w:val="center"/>
                </w:tcPr>
                <w:p w14:paraId="762E290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2306" w:type="dxa"/>
                  <w:vAlign w:val="center"/>
                </w:tcPr>
                <w:p w14:paraId="30F0925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年平均质量浓度</w:t>
                  </w:r>
                </w:p>
              </w:tc>
              <w:tc>
                <w:tcPr>
                  <w:tcW w:w="1155" w:type="dxa"/>
                  <w:vAlign w:val="center"/>
                </w:tcPr>
                <w:p w14:paraId="7BC1986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35</w:t>
                  </w:r>
                </w:p>
              </w:tc>
              <w:tc>
                <w:tcPr>
                  <w:tcW w:w="1059" w:type="dxa"/>
                  <w:vAlign w:val="center"/>
                </w:tcPr>
                <w:p w14:paraId="28B949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32</w:t>
                  </w:r>
                </w:p>
              </w:tc>
              <w:tc>
                <w:tcPr>
                  <w:tcW w:w="942" w:type="dxa"/>
                  <w:vAlign w:val="center"/>
                </w:tcPr>
                <w:p w14:paraId="13022A8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91.43</w:t>
                  </w:r>
                </w:p>
              </w:tc>
              <w:tc>
                <w:tcPr>
                  <w:tcW w:w="920" w:type="dxa"/>
                  <w:vAlign w:val="center"/>
                </w:tcPr>
                <w:p w14:paraId="7FF0C6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w:t>
                  </w:r>
                </w:p>
              </w:tc>
              <w:tc>
                <w:tcPr>
                  <w:tcW w:w="847" w:type="dxa"/>
                  <w:vAlign w:val="center"/>
                </w:tcPr>
                <w:p w14:paraId="054D829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超标</w:t>
                  </w:r>
                </w:p>
              </w:tc>
            </w:tr>
            <w:tr w14:paraId="285B2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66181A2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0BC4EEB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758070A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Align w:val="center"/>
                </w:tcPr>
                <w:p w14:paraId="04D1F97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CO</w:t>
                  </w:r>
                </w:p>
              </w:tc>
              <w:tc>
                <w:tcPr>
                  <w:tcW w:w="2306" w:type="dxa"/>
                  <w:vAlign w:val="center"/>
                </w:tcPr>
                <w:p w14:paraId="73D8657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24h平均第95百分位数</w:t>
                  </w:r>
                </w:p>
              </w:tc>
              <w:tc>
                <w:tcPr>
                  <w:tcW w:w="1155" w:type="dxa"/>
                  <w:vAlign w:val="center"/>
                </w:tcPr>
                <w:p w14:paraId="703923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4000</w:t>
                  </w:r>
                </w:p>
              </w:tc>
              <w:tc>
                <w:tcPr>
                  <w:tcW w:w="1059" w:type="dxa"/>
                  <w:vAlign w:val="center"/>
                </w:tcPr>
                <w:p w14:paraId="6C4230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1000</w:t>
                  </w:r>
                </w:p>
              </w:tc>
              <w:tc>
                <w:tcPr>
                  <w:tcW w:w="942" w:type="dxa"/>
                  <w:vAlign w:val="center"/>
                </w:tcPr>
                <w:p w14:paraId="508D822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25</w:t>
                  </w:r>
                </w:p>
              </w:tc>
              <w:tc>
                <w:tcPr>
                  <w:tcW w:w="920" w:type="dxa"/>
                  <w:vAlign w:val="center"/>
                </w:tcPr>
                <w:p w14:paraId="1AC8C8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0</w:t>
                  </w:r>
                </w:p>
              </w:tc>
              <w:tc>
                <w:tcPr>
                  <w:tcW w:w="847" w:type="dxa"/>
                  <w:vAlign w:val="center"/>
                </w:tcPr>
                <w:p w14:paraId="46F4171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达标</w:t>
                  </w:r>
                </w:p>
              </w:tc>
            </w:tr>
            <w:tr w14:paraId="01572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Merge w:val="continue"/>
                  <w:vAlign w:val="center"/>
                </w:tcPr>
                <w:p w14:paraId="79222F8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57" w:type="dxa"/>
                  <w:vMerge w:val="continue"/>
                  <w:vAlign w:val="center"/>
                </w:tcPr>
                <w:p w14:paraId="0215FBD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23" w:type="dxa"/>
                  <w:vMerge w:val="continue"/>
                  <w:vAlign w:val="center"/>
                </w:tcPr>
                <w:p w14:paraId="22FB55B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50" w:type="dxa"/>
                  <w:vAlign w:val="center"/>
                </w:tcPr>
                <w:p w14:paraId="2017AA2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O</w:t>
                  </w:r>
                  <w:r>
                    <w:rPr>
                      <w:rFonts w:hint="default" w:ascii="Times New Roman" w:hAnsi="Times New Roman" w:eastAsia="仿宋_GB2312" w:cs="Times New Roman"/>
                      <w:color w:val="auto"/>
                      <w:kern w:val="0"/>
                      <w:sz w:val="21"/>
                      <w:vertAlign w:val="subscript"/>
                    </w:rPr>
                    <w:t>3</w:t>
                  </w:r>
                </w:p>
              </w:tc>
              <w:tc>
                <w:tcPr>
                  <w:tcW w:w="2306" w:type="dxa"/>
                  <w:vAlign w:val="center"/>
                </w:tcPr>
                <w:p w14:paraId="565F506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pacing w:val="-6"/>
                      <w:kern w:val="0"/>
                      <w:sz w:val="21"/>
                    </w:rPr>
                  </w:pPr>
                  <w:r>
                    <w:rPr>
                      <w:rFonts w:hint="default" w:ascii="Times New Roman" w:hAnsi="Times New Roman" w:eastAsia="仿宋_GB2312" w:cs="Times New Roman"/>
                      <w:color w:val="auto"/>
                      <w:sz w:val="21"/>
                    </w:rPr>
                    <w:t>日最大8h滑动平均值的第90百分位数</w:t>
                  </w:r>
                </w:p>
              </w:tc>
              <w:tc>
                <w:tcPr>
                  <w:tcW w:w="1155" w:type="dxa"/>
                  <w:vAlign w:val="center"/>
                </w:tcPr>
                <w:p w14:paraId="38B1D75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160</w:t>
                  </w:r>
                </w:p>
              </w:tc>
              <w:tc>
                <w:tcPr>
                  <w:tcW w:w="1059" w:type="dxa"/>
                  <w:vAlign w:val="center"/>
                </w:tcPr>
                <w:p w14:paraId="3D2D0EA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176</w:t>
                  </w:r>
                </w:p>
              </w:tc>
              <w:tc>
                <w:tcPr>
                  <w:tcW w:w="942" w:type="dxa"/>
                  <w:vAlign w:val="center"/>
                </w:tcPr>
                <w:p w14:paraId="1B74403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110</w:t>
                  </w:r>
                </w:p>
              </w:tc>
              <w:tc>
                <w:tcPr>
                  <w:tcW w:w="920" w:type="dxa"/>
                  <w:vAlign w:val="center"/>
                </w:tcPr>
                <w:p w14:paraId="6B44C0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17.31</w:t>
                  </w:r>
                </w:p>
              </w:tc>
              <w:tc>
                <w:tcPr>
                  <w:tcW w:w="847" w:type="dxa"/>
                  <w:vAlign w:val="center"/>
                </w:tcPr>
                <w:p w14:paraId="5335F7D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超标</w:t>
                  </w:r>
                </w:p>
              </w:tc>
            </w:tr>
          </w:tbl>
          <w:p w14:paraId="5C44F1B8">
            <w:pPr>
              <w:keepNext w:val="0"/>
              <w:keepLines w:val="0"/>
              <w:suppressLineNumbers w:val="0"/>
              <w:spacing w:before="0" w:beforeAutospacing="0" w:after="0" w:afterAutospacing="0"/>
              <w:ind w:left="0" w:right="0"/>
              <w:rPr>
                <w:rFonts w:hint="default" w:ascii="Times New Roman" w:hAnsi="Times New Roman" w:eastAsia="仿宋_GB2312" w:cs="Times New Roman"/>
                <w:color w:val="auto"/>
                <w:sz w:val="21"/>
                <w:szCs w:val="24"/>
              </w:rPr>
            </w:pPr>
            <w:r>
              <w:rPr>
                <w:rFonts w:hint="default" w:ascii="Times New Roman" w:hAnsi="Times New Roman" w:eastAsia="仿宋_GB2312" w:cs="Times New Roman"/>
                <w:color w:val="auto"/>
                <w:sz w:val="21"/>
                <w:szCs w:val="24"/>
              </w:rPr>
              <w:t>注：*以本项目所在地为原点建立模型坐标系，取东西向为X坐标轴、南北向为Y坐标轴。</w:t>
            </w:r>
          </w:p>
          <w:p w14:paraId="00444AD6">
            <w:pPr>
              <w:keepNext w:val="0"/>
              <w:keepLines w:val="0"/>
              <w:suppressLineNumbers w:val="0"/>
              <w:spacing w:before="0" w:beforeAutospacing="0" w:after="0" w:afterAutospacing="0" w:line="500" w:lineRule="exact"/>
              <w:ind w:left="0" w:right="0" w:firstLine="480" w:firstLineChars="200"/>
              <w:jc w:val="left"/>
              <w:rPr>
                <w:rFonts w:hint="default" w:eastAsia="仿宋_GB2312"/>
                <w:bCs/>
                <w:color w:val="000000" w:themeColor="text1"/>
                <w:sz w:val="24"/>
                <w14:textFill>
                  <w14:solidFill>
                    <w14:schemeClr w14:val="tx1"/>
                  </w14:solidFill>
                </w14:textFill>
              </w:rPr>
            </w:pPr>
            <w:r>
              <w:rPr>
                <w:rFonts w:hint="default" w:eastAsia="仿宋_GB2312"/>
                <w:bCs/>
                <w:color w:val="000000" w:themeColor="text1"/>
                <w:sz w:val="24"/>
                <w14:textFill>
                  <w14:solidFill>
                    <w14:schemeClr w14:val="tx1"/>
                  </w14:solidFill>
                </w14:textFill>
              </w:rPr>
              <w:t>（3）其他污染物环境质量现状评价</w:t>
            </w:r>
          </w:p>
          <w:p w14:paraId="6F71E1E3">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其他污染物补充监测点位基本信息见下</w:t>
            </w:r>
            <w:r>
              <w:rPr>
                <w:rFonts w:hint="default" w:eastAsia="仿宋_GB2312"/>
                <w:color w:val="000000" w:themeColor="text1"/>
                <w:sz w:val="24"/>
                <w14:textFill>
                  <w14:solidFill>
                    <w14:schemeClr w14:val="tx1"/>
                  </w14:solidFill>
                </w14:textFill>
              </w:rPr>
              <w:t>表</w:t>
            </w:r>
            <w:r>
              <w:rPr>
                <w:rFonts w:hint="eastAsia" w:eastAsia="仿宋_GB2312"/>
                <w:color w:val="000000" w:themeColor="text1"/>
                <w:sz w:val="24"/>
                <w14:textFill>
                  <w14:solidFill>
                    <w14:schemeClr w14:val="tx1"/>
                  </w14:solidFill>
                </w14:textFill>
              </w:rPr>
              <w:t>。</w:t>
            </w:r>
          </w:p>
          <w:p w14:paraId="026EAAFF">
            <w:pPr>
              <w:keepNext w:val="0"/>
              <w:keepLines w:val="0"/>
              <w:suppressLineNumbers w:val="0"/>
              <w:spacing w:before="0" w:beforeAutospacing="0" w:after="0" w:afterAutospacing="0" w:line="500" w:lineRule="exact"/>
              <w:ind w:left="0" w:right="0"/>
              <w:jc w:val="center"/>
              <w:rPr>
                <w:rFonts w:hint="default" w:eastAsia="仿宋_GB2312"/>
                <w:b/>
                <w:color w:val="000000" w:themeColor="text1"/>
                <w:sz w:val="22"/>
                <w:szCs w:val="22"/>
                <w14:textFill>
                  <w14:solidFill>
                    <w14:schemeClr w14:val="tx1"/>
                  </w14:solidFill>
                </w14:textFill>
              </w:rPr>
            </w:pPr>
            <w:bookmarkStart w:id="40" w:name="_Hlk107574455"/>
            <w:r>
              <w:rPr>
                <w:rFonts w:hint="eastAsia" w:eastAsia="仿宋_GB2312"/>
                <w:b/>
                <w:color w:val="000000" w:themeColor="text1"/>
                <w:kern w:val="0"/>
                <w:sz w:val="22"/>
                <w:szCs w:val="22"/>
                <w14:textFill>
                  <w14:solidFill>
                    <w14:schemeClr w14:val="tx1"/>
                  </w14:solidFill>
                </w14:textFill>
              </w:rPr>
              <w:t>表3-</w:t>
            </w:r>
            <w:r>
              <w:rPr>
                <w:rFonts w:hint="eastAsia" w:eastAsia="仿宋_GB2312"/>
                <w:b/>
                <w:color w:val="000000" w:themeColor="text1"/>
                <w:kern w:val="0"/>
                <w:sz w:val="22"/>
                <w:szCs w:val="22"/>
                <w:lang w:val="en-US" w:eastAsia="zh-CN"/>
                <w14:textFill>
                  <w14:solidFill>
                    <w14:schemeClr w14:val="tx1"/>
                  </w14:solidFill>
                </w14:textFill>
              </w:rPr>
              <w:t>7</w:t>
            </w:r>
            <w:r>
              <w:rPr>
                <w:rFonts w:hint="default" w:eastAsia="仿宋_GB2312"/>
                <w:b/>
                <w:color w:val="000000" w:themeColor="text1"/>
                <w:kern w:val="0"/>
                <w:sz w:val="22"/>
                <w:szCs w:val="22"/>
                <w14:textFill>
                  <w14:solidFill>
                    <w14:schemeClr w14:val="tx1"/>
                  </w14:solidFill>
                </w14:textFill>
              </w:rPr>
              <w:t xml:space="preserve"> </w:t>
            </w:r>
            <w:r>
              <w:rPr>
                <w:rFonts w:hint="default" w:eastAsia="仿宋_GB2312"/>
                <w:b/>
                <w:color w:val="000000" w:themeColor="text1"/>
                <w:sz w:val="22"/>
                <w:szCs w:val="22"/>
                <w14:textFill>
                  <w14:solidFill>
                    <w14:schemeClr w14:val="tx1"/>
                  </w14:solidFill>
                </w14:textFill>
              </w:rPr>
              <w:t>其他污染物补充监测点位基本信息表</w:t>
            </w:r>
          </w:p>
          <w:tbl>
            <w:tblPr>
              <w:tblStyle w:val="16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19"/>
              <w:gridCol w:w="948"/>
              <w:gridCol w:w="887"/>
              <w:gridCol w:w="891"/>
              <w:gridCol w:w="1418"/>
              <w:gridCol w:w="1969"/>
              <w:gridCol w:w="758"/>
              <w:gridCol w:w="917"/>
              <w:gridCol w:w="2205"/>
            </w:tblGrid>
            <w:tr w14:paraId="1E91E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3" w:type="pct"/>
                  <w:vMerge w:val="restart"/>
                  <w:vAlign w:val="center"/>
                </w:tcPr>
                <w:p w14:paraId="642F5B0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编号</w:t>
                  </w:r>
                </w:p>
              </w:tc>
              <w:tc>
                <w:tcPr>
                  <w:tcW w:w="458" w:type="pct"/>
                  <w:vMerge w:val="restart"/>
                  <w:vAlign w:val="center"/>
                </w:tcPr>
                <w:p w14:paraId="6E50417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监测点名称</w:t>
                  </w:r>
                </w:p>
              </w:tc>
              <w:tc>
                <w:tcPr>
                  <w:tcW w:w="860" w:type="pct"/>
                  <w:gridSpan w:val="2"/>
                  <w:vAlign w:val="center"/>
                </w:tcPr>
                <w:p w14:paraId="62B63F6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监测点坐标/m</w:t>
                  </w:r>
                  <w:r>
                    <w:rPr>
                      <w:rFonts w:hint="eastAsia" w:ascii="Times New Roman" w:hAnsi="Times New Roman"/>
                      <w:b/>
                      <w:bCs/>
                      <w:vertAlign w:val="superscript"/>
                    </w:rPr>
                    <w:t>①</w:t>
                  </w:r>
                </w:p>
              </w:tc>
              <w:tc>
                <w:tcPr>
                  <w:tcW w:w="679" w:type="pct"/>
                  <w:vMerge w:val="restart"/>
                  <w:vAlign w:val="center"/>
                </w:tcPr>
                <w:p w14:paraId="14BF4EE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监测因子</w:t>
                  </w:r>
                </w:p>
              </w:tc>
              <w:tc>
                <w:tcPr>
                  <w:tcW w:w="834" w:type="pct"/>
                  <w:vMerge w:val="restart"/>
                  <w:vAlign w:val="center"/>
                </w:tcPr>
                <w:p w14:paraId="4F092F7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监测时段</w:t>
                  </w:r>
                </w:p>
              </w:tc>
              <w:tc>
                <w:tcPr>
                  <w:tcW w:w="368" w:type="pct"/>
                  <w:vMerge w:val="restart"/>
                  <w:vAlign w:val="center"/>
                </w:tcPr>
                <w:p w14:paraId="3A87C74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相对厂址方位</w:t>
                  </w:r>
                </w:p>
              </w:tc>
              <w:tc>
                <w:tcPr>
                  <w:tcW w:w="443" w:type="pct"/>
                  <w:vMerge w:val="restart"/>
                  <w:vAlign w:val="center"/>
                </w:tcPr>
                <w:p w14:paraId="4B28DB9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相对</w:t>
                  </w:r>
                  <w:r>
                    <w:rPr>
                      <w:rFonts w:hint="eastAsia" w:ascii="Times New Roman" w:hAnsi="Times New Roman"/>
                      <w:b/>
                      <w:bCs/>
                      <w:lang w:val="en-US"/>
                    </w:rPr>
                    <w:t>本项目</w:t>
                  </w:r>
                  <w:r>
                    <w:rPr>
                      <w:rFonts w:hint="eastAsia" w:ascii="Times New Roman" w:hAnsi="Times New Roman"/>
                      <w:b/>
                      <w:bCs/>
                    </w:rPr>
                    <w:t>厂界距离(m)</w:t>
                  </w:r>
                  <w:r>
                    <w:rPr>
                      <w:rFonts w:hint="eastAsia" w:ascii="Times New Roman" w:hAnsi="Times New Roman"/>
                      <w:vertAlign w:val="superscript"/>
                    </w:rPr>
                    <w:t xml:space="preserve"> </w:t>
                  </w:r>
                </w:p>
              </w:tc>
              <w:tc>
                <w:tcPr>
                  <w:tcW w:w="1049" w:type="pct"/>
                  <w:vMerge w:val="restart"/>
                  <w:vAlign w:val="center"/>
                </w:tcPr>
                <w:p w14:paraId="063C43E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数据来源</w:t>
                  </w:r>
                </w:p>
              </w:tc>
            </w:tr>
            <w:tr w14:paraId="2A8E8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3" w:type="pct"/>
                  <w:vMerge w:val="continue"/>
                  <w:vAlign w:val="center"/>
                </w:tcPr>
                <w:p w14:paraId="073DD9F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p>
              </w:tc>
              <w:tc>
                <w:tcPr>
                  <w:tcW w:w="458" w:type="pct"/>
                  <w:vMerge w:val="continue"/>
                  <w:vAlign w:val="center"/>
                </w:tcPr>
                <w:p w14:paraId="1CC7B06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p>
              </w:tc>
              <w:tc>
                <w:tcPr>
                  <w:tcW w:w="429" w:type="pct"/>
                  <w:vAlign w:val="center"/>
                </w:tcPr>
                <w:p w14:paraId="3D96450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X</w:t>
                  </w:r>
                </w:p>
              </w:tc>
              <w:tc>
                <w:tcPr>
                  <w:tcW w:w="431" w:type="pct"/>
                  <w:vAlign w:val="center"/>
                </w:tcPr>
                <w:p w14:paraId="60AC3D6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r>
                    <w:rPr>
                      <w:rFonts w:hint="eastAsia" w:ascii="Times New Roman" w:hAnsi="Times New Roman"/>
                      <w:b/>
                      <w:bCs/>
                    </w:rPr>
                    <w:t>Y</w:t>
                  </w:r>
                </w:p>
              </w:tc>
              <w:tc>
                <w:tcPr>
                  <w:tcW w:w="679" w:type="pct"/>
                  <w:vMerge w:val="continue"/>
                  <w:vAlign w:val="center"/>
                </w:tcPr>
                <w:p w14:paraId="5B16B77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p>
              </w:tc>
              <w:tc>
                <w:tcPr>
                  <w:tcW w:w="834" w:type="pct"/>
                  <w:vMerge w:val="continue"/>
                  <w:vAlign w:val="center"/>
                </w:tcPr>
                <w:p w14:paraId="5A8B8B5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p>
              </w:tc>
              <w:tc>
                <w:tcPr>
                  <w:tcW w:w="368" w:type="pct"/>
                  <w:vMerge w:val="continue"/>
                  <w:vAlign w:val="center"/>
                </w:tcPr>
                <w:p w14:paraId="30DF918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p>
              </w:tc>
              <w:tc>
                <w:tcPr>
                  <w:tcW w:w="443" w:type="pct"/>
                  <w:vMerge w:val="continue"/>
                  <w:vAlign w:val="center"/>
                </w:tcPr>
                <w:p w14:paraId="3B3318B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p>
              </w:tc>
              <w:tc>
                <w:tcPr>
                  <w:tcW w:w="1049" w:type="pct"/>
                  <w:vMerge w:val="continue"/>
                  <w:vAlign w:val="center"/>
                </w:tcPr>
                <w:p w14:paraId="596C463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rPr>
                  </w:pPr>
                </w:p>
              </w:tc>
            </w:tr>
            <w:tr w14:paraId="6E285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3" w:type="pct"/>
                  <w:vAlign w:val="center"/>
                </w:tcPr>
                <w:p w14:paraId="69DA49A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bookmarkStart w:id="41" w:name="_Hlk132363460"/>
                  <w:r>
                    <w:rPr>
                      <w:rFonts w:hint="eastAsia" w:ascii="Times New Roman" w:hAnsi="Times New Roman"/>
                    </w:rPr>
                    <w:t>G</w:t>
                  </w:r>
                  <w:r>
                    <w:rPr>
                      <w:rFonts w:hint="default" w:ascii="Times New Roman" w:hAnsi="Times New Roman"/>
                    </w:rPr>
                    <w:t>1</w:t>
                  </w:r>
                </w:p>
              </w:tc>
              <w:tc>
                <w:tcPr>
                  <w:tcW w:w="458" w:type="pct"/>
                  <w:vAlign w:val="center"/>
                </w:tcPr>
                <w:p w14:paraId="1EC9197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项目所在地</w:t>
                  </w:r>
                </w:p>
              </w:tc>
              <w:tc>
                <w:tcPr>
                  <w:tcW w:w="429" w:type="pct"/>
                  <w:vAlign w:val="center"/>
                </w:tcPr>
                <w:p w14:paraId="72042F9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w:t>
                  </w:r>
                </w:p>
              </w:tc>
              <w:tc>
                <w:tcPr>
                  <w:tcW w:w="431" w:type="pct"/>
                  <w:vAlign w:val="center"/>
                </w:tcPr>
                <w:p w14:paraId="3502DE4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w:t>
                  </w:r>
                </w:p>
              </w:tc>
              <w:tc>
                <w:tcPr>
                  <w:tcW w:w="679" w:type="pct"/>
                  <w:vMerge w:val="restart"/>
                  <w:vAlign w:val="center"/>
                </w:tcPr>
                <w:p w14:paraId="40D93CA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highlight w:val="yellow"/>
                    </w:rPr>
                  </w:pPr>
                  <w:r>
                    <w:rPr>
                      <w:rFonts w:hint="eastAsia" w:ascii="Times New Roman" w:hAnsi="Times New Roman"/>
                      <w:szCs w:val="21"/>
                    </w:rPr>
                    <w:t>臭气浓度、</w:t>
                  </w:r>
                  <w:r>
                    <w:rPr>
                      <w:rFonts w:hint="default" w:ascii="Times New Roman" w:hAnsi="Times New Roman"/>
                      <w:szCs w:val="21"/>
                    </w:rPr>
                    <w:t>非甲烷总烃</w:t>
                  </w:r>
                  <w:r>
                    <w:rPr>
                      <w:rFonts w:hint="eastAsia" w:ascii="Times New Roman" w:hAnsi="Times New Roman"/>
                      <w:szCs w:val="21"/>
                    </w:rPr>
                    <w:t>、</w:t>
                  </w:r>
                  <w:r>
                    <w:rPr>
                      <w:rFonts w:hint="default" w:ascii="Times New Roman" w:hAnsi="Times New Roman"/>
                      <w:szCs w:val="21"/>
                    </w:rPr>
                    <w:t>NH</w:t>
                  </w:r>
                  <w:r>
                    <w:rPr>
                      <w:rFonts w:hint="default" w:ascii="Times New Roman" w:hAnsi="Times New Roman"/>
                      <w:szCs w:val="21"/>
                      <w:vertAlign w:val="subscript"/>
                    </w:rPr>
                    <w:t>3</w:t>
                  </w:r>
                  <w:r>
                    <w:rPr>
                      <w:rFonts w:hint="default" w:ascii="Times New Roman" w:hAnsi="Times New Roman"/>
                      <w:szCs w:val="21"/>
                    </w:rPr>
                    <w:t>、H</w:t>
                  </w:r>
                  <w:r>
                    <w:rPr>
                      <w:rFonts w:hint="default" w:ascii="Times New Roman" w:hAnsi="Times New Roman"/>
                      <w:szCs w:val="21"/>
                      <w:vertAlign w:val="subscript"/>
                    </w:rPr>
                    <w:t>2</w:t>
                  </w:r>
                  <w:r>
                    <w:rPr>
                      <w:rFonts w:hint="default" w:ascii="Times New Roman" w:hAnsi="Times New Roman"/>
                      <w:szCs w:val="21"/>
                    </w:rPr>
                    <w:t>S</w:t>
                  </w:r>
                  <w:r>
                    <w:rPr>
                      <w:rFonts w:hint="eastAsia" w:ascii="Times New Roman" w:hAnsi="Times New Roman"/>
                    </w:rPr>
                    <w:t>、H</w:t>
                  </w:r>
                  <w:r>
                    <w:rPr>
                      <w:rFonts w:hint="default" w:ascii="Times New Roman" w:hAnsi="Times New Roman"/>
                    </w:rPr>
                    <w:t>C</w:t>
                  </w:r>
                  <w:r>
                    <w:rPr>
                      <w:rFonts w:hint="eastAsia" w:ascii="Times New Roman" w:hAnsi="Times New Roman"/>
                    </w:rPr>
                    <w:t>l</w:t>
                  </w:r>
                </w:p>
              </w:tc>
              <w:tc>
                <w:tcPr>
                  <w:tcW w:w="834" w:type="pct"/>
                  <w:vAlign w:val="center"/>
                </w:tcPr>
                <w:p w14:paraId="5610239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2</w:t>
                  </w:r>
                  <w:r>
                    <w:rPr>
                      <w:rFonts w:hint="default" w:ascii="Times New Roman" w:hAnsi="Times New Roman"/>
                    </w:rPr>
                    <w:t>024.8.26-2024.9.1</w:t>
                  </w:r>
                  <w:r>
                    <w:rPr>
                      <w:rFonts w:hint="eastAsia" w:ascii="Times New Roman" w:hAnsi="Times New Roman"/>
                    </w:rPr>
                    <w:t>、2</w:t>
                  </w:r>
                  <w:r>
                    <w:rPr>
                      <w:rFonts w:hint="default" w:ascii="Times New Roman" w:hAnsi="Times New Roman"/>
                    </w:rPr>
                    <w:t>024.10.8-2024.10.14</w:t>
                  </w:r>
                </w:p>
              </w:tc>
              <w:tc>
                <w:tcPr>
                  <w:tcW w:w="368" w:type="pct"/>
                  <w:vAlign w:val="center"/>
                </w:tcPr>
                <w:p w14:paraId="2DD5462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default" w:ascii="Times New Roman" w:hAnsi="Times New Roman"/>
                    </w:rPr>
                    <w:t>/</w:t>
                  </w:r>
                </w:p>
              </w:tc>
              <w:tc>
                <w:tcPr>
                  <w:tcW w:w="443" w:type="pct"/>
                  <w:vAlign w:val="center"/>
                </w:tcPr>
                <w:p w14:paraId="01C2C54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w:t>
                  </w:r>
                </w:p>
              </w:tc>
              <w:tc>
                <w:tcPr>
                  <w:tcW w:w="1049" w:type="pct"/>
                  <w:vMerge w:val="restart"/>
                  <w:vAlign w:val="center"/>
                </w:tcPr>
                <w:p w14:paraId="428B6B8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实测</w:t>
                  </w:r>
                </w:p>
              </w:tc>
            </w:tr>
            <w:bookmarkEnd w:id="41"/>
            <w:tr w14:paraId="3B841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3" w:type="pct"/>
                  <w:vAlign w:val="center"/>
                </w:tcPr>
                <w:p w14:paraId="109881E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G</w:t>
                  </w:r>
                  <w:r>
                    <w:rPr>
                      <w:rFonts w:hint="default" w:ascii="Times New Roman" w:hAnsi="Times New Roman"/>
                    </w:rPr>
                    <w:t>2</w:t>
                  </w:r>
                </w:p>
              </w:tc>
              <w:tc>
                <w:tcPr>
                  <w:tcW w:w="458" w:type="pct"/>
                  <w:vAlign w:val="center"/>
                </w:tcPr>
                <w:p w14:paraId="13C38B0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宋庄</w:t>
                  </w:r>
                </w:p>
              </w:tc>
              <w:tc>
                <w:tcPr>
                  <w:tcW w:w="429" w:type="pct"/>
                  <w:vAlign w:val="center"/>
                </w:tcPr>
                <w:p w14:paraId="34D9792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rPr>
                  </w:pPr>
                  <w:r>
                    <w:rPr>
                      <w:rFonts w:hint="eastAsia" w:ascii="Times New Roman" w:hAnsi="Times New Roman"/>
                    </w:rPr>
                    <w:t>-193</w:t>
                  </w:r>
                </w:p>
              </w:tc>
              <w:tc>
                <w:tcPr>
                  <w:tcW w:w="431" w:type="pct"/>
                  <w:vAlign w:val="center"/>
                </w:tcPr>
                <w:p w14:paraId="78C84B0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rPr>
                  </w:pPr>
                  <w:r>
                    <w:rPr>
                      <w:rFonts w:hint="eastAsia" w:ascii="Times New Roman" w:hAnsi="Times New Roman"/>
                    </w:rPr>
                    <w:t>423</w:t>
                  </w:r>
                </w:p>
              </w:tc>
              <w:tc>
                <w:tcPr>
                  <w:tcW w:w="679" w:type="pct"/>
                  <w:vMerge w:val="continue"/>
                  <w:vAlign w:val="center"/>
                </w:tcPr>
                <w:p w14:paraId="3C46D91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highlight w:val="yellow"/>
                    </w:rPr>
                  </w:pPr>
                </w:p>
              </w:tc>
              <w:tc>
                <w:tcPr>
                  <w:tcW w:w="834" w:type="pct"/>
                  <w:vAlign w:val="center"/>
                </w:tcPr>
                <w:p w14:paraId="6729407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r>
                    <w:rPr>
                      <w:rFonts w:hint="eastAsia" w:ascii="Times New Roman" w:hAnsi="Times New Roman"/>
                    </w:rPr>
                    <w:t>2</w:t>
                  </w:r>
                  <w:r>
                    <w:rPr>
                      <w:rFonts w:hint="default" w:ascii="Times New Roman" w:hAnsi="Times New Roman"/>
                    </w:rPr>
                    <w:t>024.8.26-2024.9.1</w:t>
                  </w:r>
                  <w:r>
                    <w:rPr>
                      <w:rFonts w:hint="eastAsia" w:ascii="Times New Roman" w:hAnsi="Times New Roman"/>
                    </w:rPr>
                    <w:t>、2</w:t>
                  </w:r>
                  <w:r>
                    <w:rPr>
                      <w:rFonts w:hint="default" w:ascii="Times New Roman" w:hAnsi="Times New Roman"/>
                    </w:rPr>
                    <w:t>024.10.8-2024.10.14</w:t>
                  </w:r>
                </w:p>
              </w:tc>
              <w:tc>
                <w:tcPr>
                  <w:tcW w:w="368" w:type="pct"/>
                  <w:vAlign w:val="center"/>
                </w:tcPr>
                <w:p w14:paraId="7BD4F3E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Cs/>
                    </w:rPr>
                  </w:pPr>
                  <w:r>
                    <w:rPr>
                      <w:rFonts w:hint="eastAsia" w:ascii="Times New Roman" w:hAnsi="Times New Roman"/>
                      <w:bCs/>
                    </w:rPr>
                    <w:t>NW</w:t>
                  </w:r>
                </w:p>
              </w:tc>
              <w:tc>
                <w:tcPr>
                  <w:tcW w:w="443" w:type="pct"/>
                  <w:vAlign w:val="center"/>
                </w:tcPr>
                <w:p w14:paraId="7CB2545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Cs/>
                      <w:lang w:val="en-US"/>
                    </w:rPr>
                  </w:pPr>
                  <w:r>
                    <w:rPr>
                      <w:rFonts w:hint="eastAsia" w:ascii="Times New Roman" w:hAnsi="Times New Roman"/>
                      <w:bCs/>
                      <w:lang w:val="en-US"/>
                    </w:rPr>
                    <w:t>301</w:t>
                  </w:r>
                </w:p>
              </w:tc>
              <w:tc>
                <w:tcPr>
                  <w:tcW w:w="1049" w:type="pct"/>
                  <w:vMerge w:val="continue"/>
                  <w:vAlign w:val="center"/>
                </w:tcPr>
                <w:p w14:paraId="451995C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Cs/>
                    </w:rPr>
                  </w:pPr>
                </w:p>
              </w:tc>
            </w:tr>
            <w:bookmarkEnd w:id="40"/>
          </w:tbl>
          <w:p w14:paraId="4A651B3F">
            <w:pPr>
              <w:keepNext w:val="0"/>
              <w:keepLines w:val="0"/>
              <w:suppressLineNumbers w:val="0"/>
              <w:spacing w:before="0" w:beforeAutospacing="0" w:after="0" w:afterAutospacing="0" w:line="500" w:lineRule="exact"/>
              <w:ind w:left="0" w:right="0" w:firstLine="442" w:firstLineChars="200"/>
              <w:jc w:val="center"/>
              <w:rPr>
                <w:rFonts w:hint="default" w:eastAsia="仿宋_GB2312"/>
                <w:b/>
                <w:color w:val="000000" w:themeColor="text1"/>
                <w:sz w:val="22"/>
                <w:szCs w:val="22"/>
                <w14:textFill>
                  <w14:solidFill>
                    <w14:schemeClr w14:val="tx1"/>
                  </w14:solidFill>
                </w14:textFill>
              </w:rPr>
            </w:pPr>
            <w:r>
              <w:rPr>
                <w:rFonts w:hint="eastAsia" w:eastAsia="仿宋_GB2312"/>
                <w:b/>
                <w:color w:val="000000" w:themeColor="text1"/>
                <w:kern w:val="0"/>
                <w:sz w:val="22"/>
                <w:szCs w:val="22"/>
                <w14:textFill>
                  <w14:solidFill>
                    <w14:schemeClr w14:val="tx1"/>
                  </w14:solidFill>
                </w14:textFill>
              </w:rPr>
              <w:t>表3-</w:t>
            </w:r>
            <w:r>
              <w:rPr>
                <w:rFonts w:hint="eastAsia" w:eastAsia="仿宋_GB2312"/>
                <w:b/>
                <w:color w:val="000000" w:themeColor="text1"/>
                <w:kern w:val="0"/>
                <w:sz w:val="22"/>
                <w:szCs w:val="22"/>
                <w:lang w:val="en-US" w:eastAsia="zh-CN"/>
                <w14:textFill>
                  <w14:solidFill>
                    <w14:schemeClr w14:val="tx1"/>
                  </w14:solidFill>
                </w14:textFill>
              </w:rPr>
              <w:t>8</w:t>
            </w:r>
            <w:r>
              <w:rPr>
                <w:rFonts w:hint="default" w:eastAsia="仿宋_GB2312"/>
                <w:b/>
                <w:color w:val="000000" w:themeColor="text1"/>
                <w:kern w:val="0"/>
                <w:sz w:val="22"/>
                <w:szCs w:val="22"/>
                <w14:textFill>
                  <w14:solidFill>
                    <w14:schemeClr w14:val="tx1"/>
                  </w14:solidFill>
                </w14:textFill>
              </w:rPr>
              <w:t xml:space="preserve"> </w:t>
            </w:r>
            <w:r>
              <w:rPr>
                <w:rFonts w:hint="default" w:eastAsia="仿宋_GB2312"/>
                <w:b/>
                <w:color w:val="000000" w:themeColor="text1"/>
                <w:sz w:val="22"/>
                <w:szCs w:val="22"/>
                <w14:textFill>
                  <w14:solidFill>
                    <w14:schemeClr w14:val="tx1"/>
                  </w14:solidFill>
                </w14:textFill>
              </w:rPr>
              <w:t>其他污染物环境质量现状表</w:t>
            </w:r>
          </w:p>
          <w:tbl>
            <w:tblPr>
              <w:tblStyle w:val="16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16"/>
              <w:gridCol w:w="1564"/>
              <w:gridCol w:w="1392"/>
              <w:gridCol w:w="1564"/>
              <w:gridCol w:w="1753"/>
              <w:gridCol w:w="1366"/>
              <w:gridCol w:w="973"/>
              <w:gridCol w:w="784"/>
            </w:tblGrid>
            <w:tr w14:paraId="637E4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60" w:hRule="atLeast"/>
                <w:jc w:val="center"/>
              </w:trPr>
              <w:tc>
                <w:tcPr>
                  <w:tcW w:w="573" w:type="pct"/>
                  <w:vMerge w:val="restart"/>
                  <w:vAlign w:val="center"/>
                </w:tcPr>
                <w:p w14:paraId="5E01976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监测</w:t>
                  </w:r>
                </w:p>
                <w:p w14:paraId="6294C09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点位</w:t>
                  </w:r>
                </w:p>
              </w:tc>
              <w:tc>
                <w:tcPr>
                  <w:tcW w:w="736" w:type="pct"/>
                  <w:vAlign w:val="center"/>
                </w:tcPr>
                <w:p w14:paraId="1E27A89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污染物</w:t>
                  </w:r>
                </w:p>
              </w:tc>
              <w:tc>
                <w:tcPr>
                  <w:tcW w:w="655" w:type="pct"/>
                  <w:vAlign w:val="center"/>
                </w:tcPr>
                <w:p w14:paraId="6157ACB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平均</w:t>
                  </w:r>
                </w:p>
                <w:p w14:paraId="178E552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时间</w:t>
                  </w:r>
                </w:p>
              </w:tc>
              <w:tc>
                <w:tcPr>
                  <w:tcW w:w="736" w:type="pct"/>
                  <w:vAlign w:val="center"/>
                </w:tcPr>
                <w:p w14:paraId="46F7FBE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评价标准</w:t>
                  </w:r>
                </w:p>
                <w:p w14:paraId="0E14FA5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(mg/m</w:t>
                  </w:r>
                  <w:r>
                    <w:rPr>
                      <w:rFonts w:hint="eastAsia" w:ascii="Times New Roman" w:hAnsi="Times New Roman"/>
                      <w:b/>
                      <w:bCs/>
                      <w:szCs w:val="21"/>
                      <w:vertAlign w:val="superscript"/>
                    </w:rPr>
                    <w:t>3</w:t>
                  </w:r>
                  <w:r>
                    <w:rPr>
                      <w:rFonts w:hint="eastAsia" w:ascii="Times New Roman" w:hAnsi="Times New Roman"/>
                      <w:b/>
                      <w:bCs/>
                      <w:szCs w:val="21"/>
                    </w:rPr>
                    <w:t>)</w:t>
                  </w:r>
                </w:p>
              </w:tc>
              <w:tc>
                <w:tcPr>
                  <w:tcW w:w="825" w:type="pct"/>
                  <w:vAlign w:val="center"/>
                </w:tcPr>
                <w:p w14:paraId="207770D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监测浓度范围</w:t>
                  </w:r>
                </w:p>
                <w:p w14:paraId="7A4E72C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(mg/m</w:t>
                  </w:r>
                  <w:r>
                    <w:rPr>
                      <w:rFonts w:hint="eastAsia" w:ascii="Times New Roman" w:hAnsi="Times New Roman"/>
                      <w:b/>
                      <w:bCs/>
                      <w:szCs w:val="21"/>
                      <w:vertAlign w:val="superscript"/>
                    </w:rPr>
                    <w:t>3</w:t>
                  </w:r>
                  <w:r>
                    <w:rPr>
                      <w:rFonts w:hint="eastAsia" w:ascii="Times New Roman" w:hAnsi="Times New Roman"/>
                      <w:b/>
                      <w:bCs/>
                      <w:szCs w:val="21"/>
                    </w:rPr>
                    <w:t>)</w:t>
                  </w:r>
                </w:p>
              </w:tc>
              <w:tc>
                <w:tcPr>
                  <w:tcW w:w="643" w:type="pct"/>
                  <w:vAlign w:val="center"/>
                </w:tcPr>
                <w:p w14:paraId="7B637A9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最大浓度占标率(%)</w:t>
                  </w:r>
                </w:p>
              </w:tc>
              <w:tc>
                <w:tcPr>
                  <w:tcW w:w="458" w:type="pct"/>
                  <w:vAlign w:val="center"/>
                </w:tcPr>
                <w:p w14:paraId="4371955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超标频率(%)</w:t>
                  </w:r>
                </w:p>
              </w:tc>
              <w:tc>
                <w:tcPr>
                  <w:tcW w:w="369" w:type="pct"/>
                  <w:vAlign w:val="center"/>
                </w:tcPr>
                <w:p w14:paraId="14E010F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达标</w:t>
                  </w:r>
                </w:p>
                <w:p w14:paraId="35EF2E8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szCs w:val="21"/>
                    </w:rPr>
                  </w:pPr>
                  <w:r>
                    <w:rPr>
                      <w:rFonts w:hint="eastAsia" w:ascii="Times New Roman" w:hAnsi="Times New Roman"/>
                      <w:b/>
                      <w:bCs/>
                      <w:szCs w:val="21"/>
                    </w:rPr>
                    <w:t>情况</w:t>
                  </w:r>
                </w:p>
              </w:tc>
            </w:tr>
            <w:tr w14:paraId="1527B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restart"/>
                  <w:vAlign w:val="center"/>
                </w:tcPr>
                <w:p w14:paraId="3E8505A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项目所在地</w:t>
                  </w:r>
                  <w:r>
                    <w:rPr>
                      <w:rFonts w:hint="eastAsia" w:ascii="Times New Roman" w:hAnsi="Times New Roman"/>
                    </w:rPr>
                    <w:t>G</w:t>
                  </w:r>
                  <w:r>
                    <w:rPr>
                      <w:rFonts w:hint="default" w:ascii="Times New Roman" w:hAnsi="Times New Roman"/>
                    </w:rPr>
                    <w:t>1</w:t>
                  </w:r>
                </w:p>
              </w:tc>
              <w:tc>
                <w:tcPr>
                  <w:tcW w:w="736" w:type="pct"/>
                  <w:vAlign w:val="center"/>
                </w:tcPr>
                <w:p w14:paraId="6C191DF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s="宋体"/>
                      <w:szCs w:val="21"/>
                    </w:rPr>
                  </w:pPr>
                  <w:r>
                    <w:rPr>
                      <w:rFonts w:hint="eastAsia" w:ascii="Times New Roman" w:hAnsi="Times New Roman"/>
                      <w:szCs w:val="21"/>
                    </w:rPr>
                    <w:t>臭气浓度</w:t>
                  </w:r>
                </w:p>
              </w:tc>
              <w:tc>
                <w:tcPr>
                  <w:tcW w:w="655" w:type="pct"/>
                  <w:vAlign w:val="center"/>
                </w:tcPr>
                <w:p w14:paraId="55C5B94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489F5D4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2</w:t>
                  </w:r>
                  <w:r>
                    <w:rPr>
                      <w:rFonts w:hint="default" w:ascii="Times New Roman" w:hAnsi="Times New Roman"/>
                      <w:szCs w:val="21"/>
                    </w:rPr>
                    <w:t>0</w:t>
                  </w:r>
                </w:p>
              </w:tc>
              <w:tc>
                <w:tcPr>
                  <w:tcW w:w="825" w:type="pct"/>
                  <w:vAlign w:val="center"/>
                </w:tcPr>
                <w:p w14:paraId="1300612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highlight w:val="yellow"/>
                    </w:rPr>
                  </w:pPr>
                  <w:r>
                    <w:rPr>
                      <w:rFonts w:hint="default" w:ascii="Times New Roman" w:hAnsi="Times New Roman"/>
                      <w:szCs w:val="21"/>
                    </w:rPr>
                    <w:t>&lt;10</w:t>
                  </w:r>
                </w:p>
              </w:tc>
              <w:tc>
                <w:tcPr>
                  <w:tcW w:w="643" w:type="pct"/>
                  <w:vAlign w:val="center"/>
                </w:tcPr>
                <w:p w14:paraId="3768976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default" w:ascii="Times New Roman" w:hAnsi="Times New Roman"/>
                      <w:szCs w:val="21"/>
                    </w:rPr>
                    <w:t>&lt;</w:t>
                  </w:r>
                  <w:r>
                    <w:rPr>
                      <w:rFonts w:hint="eastAsia" w:ascii="Times New Roman" w:hAnsi="Times New Roman"/>
                      <w:szCs w:val="21"/>
                      <w:lang w:val="en-US"/>
                    </w:rPr>
                    <w:t>50</w:t>
                  </w:r>
                </w:p>
              </w:tc>
              <w:tc>
                <w:tcPr>
                  <w:tcW w:w="458" w:type="pct"/>
                  <w:vAlign w:val="center"/>
                </w:tcPr>
                <w:p w14:paraId="261B6C7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restart"/>
                  <w:vAlign w:val="center"/>
                </w:tcPr>
                <w:p w14:paraId="2D5A46A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eastAsia" w:ascii="Times New Roman" w:hAnsi="Times New Roman"/>
                      <w:szCs w:val="21"/>
                      <w:lang w:val="en-US"/>
                    </w:rPr>
                    <w:t>达标</w:t>
                  </w:r>
                </w:p>
              </w:tc>
            </w:tr>
            <w:tr w14:paraId="20906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3298DAF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p>
              </w:tc>
              <w:tc>
                <w:tcPr>
                  <w:tcW w:w="736" w:type="pct"/>
                  <w:vAlign w:val="center"/>
                </w:tcPr>
                <w:p w14:paraId="2D73A2A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非甲烷总烃</w:t>
                  </w:r>
                </w:p>
              </w:tc>
              <w:tc>
                <w:tcPr>
                  <w:tcW w:w="655" w:type="pct"/>
                  <w:vAlign w:val="center"/>
                </w:tcPr>
                <w:p w14:paraId="36A9D2C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22DF80F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2</w:t>
                  </w:r>
                </w:p>
              </w:tc>
              <w:tc>
                <w:tcPr>
                  <w:tcW w:w="825" w:type="pct"/>
                  <w:vAlign w:val="center"/>
                </w:tcPr>
                <w:p w14:paraId="62A714E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default" w:ascii="Times New Roman" w:hAnsi="Times New Roman"/>
                      <w:szCs w:val="21"/>
                    </w:rPr>
                    <w:t>0.6~1</w:t>
                  </w:r>
                  <w:r>
                    <w:rPr>
                      <w:rFonts w:hint="eastAsia" w:ascii="Times New Roman" w:hAnsi="Times New Roman"/>
                      <w:szCs w:val="21"/>
                      <w:lang w:val="en-US"/>
                    </w:rPr>
                    <w:t>.62</w:t>
                  </w:r>
                </w:p>
              </w:tc>
              <w:tc>
                <w:tcPr>
                  <w:tcW w:w="643" w:type="pct"/>
                  <w:vAlign w:val="center"/>
                </w:tcPr>
                <w:p w14:paraId="5C2C066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eastAsia" w:ascii="Times New Roman" w:hAnsi="Times New Roman"/>
                      <w:szCs w:val="21"/>
                      <w:lang w:val="en-US"/>
                    </w:rPr>
                    <w:t>81</w:t>
                  </w:r>
                </w:p>
              </w:tc>
              <w:tc>
                <w:tcPr>
                  <w:tcW w:w="458" w:type="pct"/>
                  <w:vAlign w:val="center"/>
                </w:tcPr>
                <w:p w14:paraId="10701A0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5A65593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52E64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383BDFA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p>
              </w:tc>
              <w:tc>
                <w:tcPr>
                  <w:tcW w:w="736" w:type="pct"/>
                  <w:vAlign w:val="center"/>
                </w:tcPr>
                <w:p w14:paraId="380ABD6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NH</w:t>
                  </w:r>
                  <w:r>
                    <w:rPr>
                      <w:rFonts w:hint="default" w:ascii="Times New Roman" w:hAnsi="Times New Roman"/>
                      <w:szCs w:val="21"/>
                      <w:vertAlign w:val="subscript"/>
                    </w:rPr>
                    <w:t>3</w:t>
                  </w:r>
                </w:p>
              </w:tc>
              <w:tc>
                <w:tcPr>
                  <w:tcW w:w="655" w:type="pct"/>
                  <w:vAlign w:val="center"/>
                </w:tcPr>
                <w:p w14:paraId="29A2D4D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418BB09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r>
                    <w:rPr>
                      <w:rFonts w:hint="default" w:ascii="Times New Roman" w:hAnsi="Times New Roman"/>
                      <w:szCs w:val="21"/>
                    </w:rPr>
                    <w:t>.2</w:t>
                  </w:r>
                </w:p>
              </w:tc>
              <w:tc>
                <w:tcPr>
                  <w:tcW w:w="825" w:type="pct"/>
                  <w:vAlign w:val="center"/>
                </w:tcPr>
                <w:p w14:paraId="6EDADF8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eastAsia" w:ascii="Times New Roman" w:hAnsi="Times New Roman"/>
                      <w:szCs w:val="21"/>
                    </w:rPr>
                    <w:t>0</w:t>
                  </w:r>
                  <w:r>
                    <w:rPr>
                      <w:rFonts w:hint="default" w:ascii="Times New Roman" w:hAnsi="Times New Roman"/>
                      <w:szCs w:val="21"/>
                    </w:rPr>
                    <w:t>.02~0.1</w:t>
                  </w:r>
                  <w:r>
                    <w:rPr>
                      <w:rFonts w:hint="eastAsia" w:ascii="Times New Roman" w:hAnsi="Times New Roman"/>
                      <w:szCs w:val="21"/>
                      <w:lang w:val="en-US"/>
                    </w:rPr>
                    <w:t>9</w:t>
                  </w:r>
                </w:p>
              </w:tc>
              <w:tc>
                <w:tcPr>
                  <w:tcW w:w="643" w:type="pct"/>
                  <w:vAlign w:val="top"/>
                </w:tcPr>
                <w:p w14:paraId="6F02CCC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eastAsia" w:ascii="Times New Roman" w:hAnsi="Times New Roman"/>
                      <w:szCs w:val="21"/>
                      <w:lang w:val="en-US"/>
                    </w:rPr>
                    <w:t>95</w:t>
                  </w:r>
                </w:p>
              </w:tc>
              <w:tc>
                <w:tcPr>
                  <w:tcW w:w="458" w:type="pct"/>
                  <w:vAlign w:val="center"/>
                </w:tcPr>
                <w:p w14:paraId="0B32E4E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46FDF1F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29765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0130842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p>
              </w:tc>
              <w:tc>
                <w:tcPr>
                  <w:tcW w:w="736" w:type="pct"/>
                  <w:vAlign w:val="center"/>
                </w:tcPr>
                <w:p w14:paraId="38BA762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H</w:t>
                  </w:r>
                  <w:r>
                    <w:rPr>
                      <w:rFonts w:hint="default" w:ascii="Times New Roman" w:hAnsi="Times New Roman"/>
                      <w:szCs w:val="21"/>
                    </w:rPr>
                    <w:t>C</w:t>
                  </w:r>
                  <w:r>
                    <w:rPr>
                      <w:rFonts w:hint="eastAsia" w:ascii="Times New Roman" w:hAnsi="Times New Roman"/>
                      <w:szCs w:val="21"/>
                    </w:rPr>
                    <w:t>l</w:t>
                  </w:r>
                </w:p>
              </w:tc>
              <w:tc>
                <w:tcPr>
                  <w:tcW w:w="655" w:type="pct"/>
                  <w:vAlign w:val="center"/>
                </w:tcPr>
                <w:p w14:paraId="729F2A1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4A8CA3B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r>
                    <w:rPr>
                      <w:rFonts w:hint="default" w:ascii="Times New Roman" w:hAnsi="Times New Roman"/>
                      <w:szCs w:val="21"/>
                    </w:rPr>
                    <w:t>.05</w:t>
                  </w:r>
                </w:p>
              </w:tc>
              <w:tc>
                <w:tcPr>
                  <w:tcW w:w="825" w:type="pct"/>
                  <w:vAlign w:val="center"/>
                </w:tcPr>
                <w:p w14:paraId="233695E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lang w:val="en-US"/>
                    </w:rPr>
                    <w:t>0.025</w:t>
                  </w:r>
                  <w:r>
                    <w:rPr>
                      <w:rFonts w:hint="default" w:ascii="Times New Roman" w:hAnsi="Times New Roman"/>
                      <w:szCs w:val="21"/>
                    </w:rPr>
                    <w:t>~0.04</w:t>
                  </w:r>
                </w:p>
              </w:tc>
              <w:tc>
                <w:tcPr>
                  <w:tcW w:w="643" w:type="pct"/>
                  <w:vAlign w:val="top"/>
                </w:tcPr>
                <w:p w14:paraId="424661F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eastAsia" w:ascii="Times New Roman" w:hAnsi="Times New Roman"/>
                      <w:szCs w:val="21"/>
                      <w:lang w:val="en-US"/>
                    </w:rPr>
                    <w:t>80</w:t>
                  </w:r>
                </w:p>
              </w:tc>
              <w:tc>
                <w:tcPr>
                  <w:tcW w:w="458" w:type="pct"/>
                  <w:vAlign w:val="center"/>
                </w:tcPr>
                <w:p w14:paraId="270F482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423771D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11063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08DC8BB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p>
              </w:tc>
              <w:tc>
                <w:tcPr>
                  <w:tcW w:w="736" w:type="pct"/>
                  <w:vAlign w:val="center"/>
                </w:tcPr>
                <w:p w14:paraId="498C822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H</w:t>
                  </w:r>
                  <w:r>
                    <w:rPr>
                      <w:rFonts w:hint="default" w:ascii="Times New Roman" w:hAnsi="Times New Roman"/>
                      <w:szCs w:val="21"/>
                    </w:rPr>
                    <w:t>C</w:t>
                  </w:r>
                  <w:r>
                    <w:rPr>
                      <w:rFonts w:hint="eastAsia" w:ascii="Times New Roman" w:hAnsi="Times New Roman"/>
                      <w:szCs w:val="21"/>
                    </w:rPr>
                    <w:t>l</w:t>
                  </w:r>
                </w:p>
              </w:tc>
              <w:tc>
                <w:tcPr>
                  <w:tcW w:w="655" w:type="pct"/>
                  <w:vAlign w:val="center"/>
                </w:tcPr>
                <w:p w14:paraId="208E65A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日均值</w:t>
                  </w:r>
                </w:p>
              </w:tc>
              <w:tc>
                <w:tcPr>
                  <w:tcW w:w="736" w:type="pct"/>
                  <w:vAlign w:val="center"/>
                </w:tcPr>
                <w:p w14:paraId="60BC6D1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0.015</w:t>
                  </w:r>
                </w:p>
              </w:tc>
              <w:tc>
                <w:tcPr>
                  <w:tcW w:w="825" w:type="pct"/>
                  <w:vAlign w:val="center"/>
                </w:tcPr>
                <w:p w14:paraId="338741E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ND</w:t>
                  </w:r>
                </w:p>
              </w:tc>
              <w:tc>
                <w:tcPr>
                  <w:tcW w:w="643" w:type="pct"/>
                  <w:vAlign w:val="top"/>
                </w:tcPr>
                <w:p w14:paraId="2FD70F9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default" w:ascii="Times New Roman" w:hAnsi="Times New Roman"/>
                      <w:szCs w:val="21"/>
                    </w:rPr>
                    <w:t>&lt;</w:t>
                  </w:r>
                  <w:r>
                    <w:rPr>
                      <w:rFonts w:hint="eastAsia" w:ascii="Times New Roman" w:hAnsi="Times New Roman"/>
                      <w:szCs w:val="21"/>
                      <w:lang w:val="en-US"/>
                    </w:rPr>
                    <w:t>13.3</w:t>
                  </w:r>
                </w:p>
              </w:tc>
              <w:tc>
                <w:tcPr>
                  <w:tcW w:w="458" w:type="pct"/>
                  <w:vAlign w:val="center"/>
                </w:tcPr>
                <w:p w14:paraId="45BD83D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1790C78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5A73C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303A931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rPr>
                  </w:pPr>
                </w:p>
              </w:tc>
              <w:tc>
                <w:tcPr>
                  <w:tcW w:w="736" w:type="pct"/>
                  <w:vAlign w:val="center"/>
                </w:tcPr>
                <w:p w14:paraId="39620B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H</w:t>
                  </w:r>
                  <w:r>
                    <w:rPr>
                      <w:rFonts w:hint="default" w:ascii="Times New Roman" w:hAnsi="Times New Roman"/>
                      <w:szCs w:val="21"/>
                      <w:vertAlign w:val="subscript"/>
                    </w:rPr>
                    <w:t>2</w:t>
                  </w:r>
                  <w:r>
                    <w:rPr>
                      <w:rFonts w:hint="default" w:ascii="Times New Roman" w:hAnsi="Times New Roman"/>
                      <w:szCs w:val="21"/>
                    </w:rPr>
                    <w:t>S</w:t>
                  </w:r>
                </w:p>
              </w:tc>
              <w:tc>
                <w:tcPr>
                  <w:tcW w:w="655" w:type="pct"/>
                  <w:vAlign w:val="center"/>
                </w:tcPr>
                <w:p w14:paraId="3D02733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4C6CB71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r>
                    <w:rPr>
                      <w:rFonts w:hint="default" w:ascii="Times New Roman" w:hAnsi="Times New Roman"/>
                      <w:szCs w:val="21"/>
                    </w:rPr>
                    <w:t>.01</w:t>
                  </w:r>
                </w:p>
              </w:tc>
              <w:tc>
                <w:tcPr>
                  <w:tcW w:w="825" w:type="pct"/>
                  <w:vAlign w:val="center"/>
                </w:tcPr>
                <w:p w14:paraId="0E43A08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ND</w:t>
                  </w:r>
                </w:p>
              </w:tc>
              <w:tc>
                <w:tcPr>
                  <w:tcW w:w="643" w:type="pct"/>
                  <w:vAlign w:val="top"/>
                </w:tcPr>
                <w:p w14:paraId="00896B2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default" w:ascii="Times New Roman" w:hAnsi="Times New Roman"/>
                      <w:szCs w:val="21"/>
                    </w:rPr>
                    <w:t>&lt;</w:t>
                  </w:r>
                  <w:r>
                    <w:rPr>
                      <w:rFonts w:hint="eastAsia" w:ascii="Times New Roman" w:hAnsi="Times New Roman"/>
                      <w:szCs w:val="21"/>
                      <w:lang w:val="en-US"/>
                    </w:rPr>
                    <w:t>10</w:t>
                  </w:r>
                </w:p>
              </w:tc>
              <w:tc>
                <w:tcPr>
                  <w:tcW w:w="458" w:type="pct"/>
                  <w:vAlign w:val="center"/>
                </w:tcPr>
                <w:p w14:paraId="2AFA3AB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1EB242A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71D41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restart"/>
                  <w:vAlign w:val="center"/>
                </w:tcPr>
                <w:p w14:paraId="198B6FB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宋庄</w:t>
                  </w:r>
                </w:p>
              </w:tc>
              <w:tc>
                <w:tcPr>
                  <w:tcW w:w="736" w:type="pct"/>
                  <w:vAlign w:val="center"/>
                </w:tcPr>
                <w:p w14:paraId="75BA8E3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臭气浓度</w:t>
                  </w:r>
                </w:p>
              </w:tc>
              <w:tc>
                <w:tcPr>
                  <w:tcW w:w="655" w:type="pct"/>
                  <w:vAlign w:val="center"/>
                </w:tcPr>
                <w:p w14:paraId="177882A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0A6D0B6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2</w:t>
                  </w:r>
                  <w:r>
                    <w:rPr>
                      <w:rFonts w:hint="default" w:ascii="Times New Roman" w:hAnsi="Times New Roman"/>
                      <w:szCs w:val="21"/>
                    </w:rPr>
                    <w:t>0</w:t>
                  </w:r>
                </w:p>
              </w:tc>
              <w:tc>
                <w:tcPr>
                  <w:tcW w:w="825" w:type="pct"/>
                  <w:vAlign w:val="center"/>
                </w:tcPr>
                <w:p w14:paraId="1B61055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&lt;10</w:t>
                  </w:r>
                </w:p>
              </w:tc>
              <w:tc>
                <w:tcPr>
                  <w:tcW w:w="643" w:type="pct"/>
                  <w:vAlign w:val="top"/>
                </w:tcPr>
                <w:p w14:paraId="7F1B5DD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default" w:ascii="Times New Roman" w:hAnsi="Times New Roman"/>
                      <w:szCs w:val="21"/>
                    </w:rPr>
                    <w:t>&lt;</w:t>
                  </w:r>
                  <w:r>
                    <w:rPr>
                      <w:rFonts w:hint="eastAsia" w:ascii="Times New Roman" w:hAnsi="Times New Roman"/>
                      <w:szCs w:val="21"/>
                      <w:lang w:val="en-US"/>
                    </w:rPr>
                    <w:t>50</w:t>
                  </w:r>
                </w:p>
              </w:tc>
              <w:tc>
                <w:tcPr>
                  <w:tcW w:w="458" w:type="pct"/>
                  <w:vAlign w:val="center"/>
                </w:tcPr>
                <w:p w14:paraId="7F54767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53AF565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28416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70FA3BA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c>
                <w:tcPr>
                  <w:tcW w:w="736" w:type="pct"/>
                  <w:vAlign w:val="center"/>
                </w:tcPr>
                <w:p w14:paraId="5176708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非甲烷总烃</w:t>
                  </w:r>
                </w:p>
              </w:tc>
              <w:tc>
                <w:tcPr>
                  <w:tcW w:w="655" w:type="pct"/>
                  <w:vAlign w:val="center"/>
                </w:tcPr>
                <w:p w14:paraId="23804D4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6453543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2</w:t>
                  </w:r>
                </w:p>
              </w:tc>
              <w:tc>
                <w:tcPr>
                  <w:tcW w:w="825" w:type="pct"/>
                  <w:vAlign w:val="center"/>
                </w:tcPr>
                <w:p w14:paraId="68B4063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default" w:ascii="Times New Roman" w:hAnsi="Times New Roman"/>
                      <w:szCs w:val="21"/>
                    </w:rPr>
                    <w:t>0.5</w:t>
                  </w:r>
                  <w:r>
                    <w:rPr>
                      <w:rFonts w:hint="eastAsia" w:ascii="Times New Roman" w:hAnsi="Times New Roman"/>
                      <w:szCs w:val="21"/>
                      <w:lang w:val="en-US"/>
                    </w:rPr>
                    <w:t>8</w:t>
                  </w:r>
                  <w:r>
                    <w:rPr>
                      <w:rFonts w:hint="default" w:ascii="Times New Roman" w:hAnsi="Times New Roman"/>
                      <w:szCs w:val="21"/>
                    </w:rPr>
                    <w:t>~1.</w:t>
                  </w:r>
                  <w:r>
                    <w:rPr>
                      <w:rFonts w:hint="eastAsia" w:ascii="Times New Roman" w:hAnsi="Times New Roman"/>
                      <w:szCs w:val="21"/>
                      <w:lang w:val="en-US"/>
                    </w:rPr>
                    <w:t>08</w:t>
                  </w:r>
                </w:p>
              </w:tc>
              <w:tc>
                <w:tcPr>
                  <w:tcW w:w="643" w:type="pct"/>
                  <w:vAlign w:val="top"/>
                </w:tcPr>
                <w:p w14:paraId="6BF4735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eastAsia" w:ascii="Times New Roman" w:hAnsi="Times New Roman"/>
                      <w:szCs w:val="21"/>
                      <w:lang w:val="en-US"/>
                    </w:rPr>
                    <w:t>54</w:t>
                  </w:r>
                </w:p>
              </w:tc>
              <w:tc>
                <w:tcPr>
                  <w:tcW w:w="458" w:type="pct"/>
                  <w:vAlign w:val="center"/>
                </w:tcPr>
                <w:p w14:paraId="0C865C4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7E6C7B4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385C7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349AC6F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c>
                <w:tcPr>
                  <w:tcW w:w="736" w:type="pct"/>
                  <w:vAlign w:val="center"/>
                </w:tcPr>
                <w:p w14:paraId="0713EE0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NH</w:t>
                  </w:r>
                  <w:r>
                    <w:rPr>
                      <w:rFonts w:hint="default" w:ascii="Times New Roman" w:hAnsi="Times New Roman"/>
                      <w:szCs w:val="21"/>
                      <w:vertAlign w:val="subscript"/>
                    </w:rPr>
                    <w:t>3</w:t>
                  </w:r>
                </w:p>
              </w:tc>
              <w:tc>
                <w:tcPr>
                  <w:tcW w:w="655" w:type="pct"/>
                  <w:vAlign w:val="center"/>
                </w:tcPr>
                <w:p w14:paraId="33524B4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492643C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r>
                    <w:rPr>
                      <w:rFonts w:hint="default" w:ascii="Times New Roman" w:hAnsi="Times New Roman"/>
                      <w:szCs w:val="21"/>
                    </w:rPr>
                    <w:t>.2</w:t>
                  </w:r>
                </w:p>
              </w:tc>
              <w:tc>
                <w:tcPr>
                  <w:tcW w:w="825" w:type="pct"/>
                  <w:vAlign w:val="center"/>
                </w:tcPr>
                <w:p w14:paraId="2E20C90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r>
                    <w:rPr>
                      <w:rFonts w:hint="default" w:ascii="Times New Roman" w:hAnsi="Times New Roman"/>
                      <w:szCs w:val="21"/>
                    </w:rPr>
                    <w:t>.02~0.1</w:t>
                  </w:r>
                  <w:r>
                    <w:rPr>
                      <w:rFonts w:hint="eastAsia" w:ascii="Times New Roman" w:hAnsi="Times New Roman"/>
                      <w:szCs w:val="21"/>
                      <w:lang w:val="en-US"/>
                    </w:rPr>
                    <w:t>8</w:t>
                  </w:r>
                </w:p>
              </w:tc>
              <w:tc>
                <w:tcPr>
                  <w:tcW w:w="643" w:type="pct"/>
                  <w:vAlign w:val="top"/>
                </w:tcPr>
                <w:p w14:paraId="6F5BB29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eastAsia" w:ascii="Times New Roman" w:hAnsi="Times New Roman"/>
                      <w:szCs w:val="21"/>
                      <w:lang w:val="en-US"/>
                    </w:rPr>
                    <w:t>94</w:t>
                  </w:r>
                </w:p>
              </w:tc>
              <w:tc>
                <w:tcPr>
                  <w:tcW w:w="458" w:type="pct"/>
                  <w:vAlign w:val="center"/>
                </w:tcPr>
                <w:p w14:paraId="58DE2E3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6E07A55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1A708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62C3054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c>
                <w:tcPr>
                  <w:tcW w:w="736" w:type="pct"/>
                  <w:vAlign w:val="center"/>
                </w:tcPr>
                <w:p w14:paraId="21F7A27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H</w:t>
                  </w:r>
                  <w:r>
                    <w:rPr>
                      <w:rFonts w:hint="default" w:ascii="Times New Roman" w:hAnsi="Times New Roman"/>
                      <w:szCs w:val="21"/>
                    </w:rPr>
                    <w:t>C</w:t>
                  </w:r>
                  <w:r>
                    <w:rPr>
                      <w:rFonts w:hint="eastAsia" w:ascii="Times New Roman" w:hAnsi="Times New Roman"/>
                      <w:szCs w:val="21"/>
                    </w:rPr>
                    <w:t>l</w:t>
                  </w:r>
                </w:p>
              </w:tc>
              <w:tc>
                <w:tcPr>
                  <w:tcW w:w="655" w:type="pct"/>
                  <w:vAlign w:val="center"/>
                </w:tcPr>
                <w:p w14:paraId="4CDF6E9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6C040C1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r>
                    <w:rPr>
                      <w:rFonts w:hint="default" w:ascii="Times New Roman" w:hAnsi="Times New Roman"/>
                      <w:szCs w:val="21"/>
                    </w:rPr>
                    <w:t>.05</w:t>
                  </w:r>
                </w:p>
              </w:tc>
              <w:tc>
                <w:tcPr>
                  <w:tcW w:w="825" w:type="pct"/>
                  <w:vAlign w:val="center"/>
                </w:tcPr>
                <w:p w14:paraId="5E817DD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lang w:val="en-US"/>
                    </w:rPr>
                    <w:t>0.028</w:t>
                  </w:r>
                  <w:r>
                    <w:rPr>
                      <w:rFonts w:hint="default" w:ascii="Times New Roman" w:hAnsi="Times New Roman"/>
                      <w:szCs w:val="21"/>
                    </w:rPr>
                    <w:t>~0.045</w:t>
                  </w:r>
                </w:p>
              </w:tc>
              <w:tc>
                <w:tcPr>
                  <w:tcW w:w="643" w:type="pct"/>
                  <w:vAlign w:val="top"/>
                </w:tcPr>
                <w:p w14:paraId="611AD97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highlight w:val="yellow"/>
                      <w:lang w:val="en-US"/>
                    </w:rPr>
                  </w:pPr>
                  <w:r>
                    <w:rPr>
                      <w:rFonts w:hint="eastAsia" w:ascii="Times New Roman" w:hAnsi="Times New Roman"/>
                      <w:szCs w:val="21"/>
                      <w:lang w:val="en-US"/>
                    </w:rPr>
                    <w:t>90</w:t>
                  </w:r>
                </w:p>
              </w:tc>
              <w:tc>
                <w:tcPr>
                  <w:tcW w:w="458" w:type="pct"/>
                  <w:vAlign w:val="center"/>
                </w:tcPr>
                <w:p w14:paraId="6011048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7BAB3C7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78A06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41C1412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c>
                <w:tcPr>
                  <w:tcW w:w="736" w:type="pct"/>
                  <w:vAlign w:val="center"/>
                </w:tcPr>
                <w:p w14:paraId="1E9D2B4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H</w:t>
                  </w:r>
                  <w:r>
                    <w:rPr>
                      <w:rFonts w:hint="default" w:ascii="Times New Roman" w:hAnsi="Times New Roman"/>
                      <w:szCs w:val="21"/>
                    </w:rPr>
                    <w:t>C</w:t>
                  </w:r>
                  <w:r>
                    <w:rPr>
                      <w:rFonts w:hint="eastAsia" w:ascii="Times New Roman" w:hAnsi="Times New Roman"/>
                      <w:szCs w:val="21"/>
                    </w:rPr>
                    <w:t>l</w:t>
                  </w:r>
                </w:p>
              </w:tc>
              <w:tc>
                <w:tcPr>
                  <w:tcW w:w="655" w:type="pct"/>
                  <w:vAlign w:val="center"/>
                </w:tcPr>
                <w:p w14:paraId="436F5FE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日均值</w:t>
                  </w:r>
                </w:p>
              </w:tc>
              <w:tc>
                <w:tcPr>
                  <w:tcW w:w="736" w:type="pct"/>
                  <w:vAlign w:val="center"/>
                </w:tcPr>
                <w:p w14:paraId="4375E6E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0.015</w:t>
                  </w:r>
                </w:p>
              </w:tc>
              <w:tc>
                <w:tcPr>
                  <w:tcW w:w="825" w:type="pct"/>
                  <w:vAlign w:val="center"/>
                </w:tcPr>
                <w:p w14:paraId="0517FD1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N</w:t>
                  </w:r>
                  <w:r>
                    <w:rPr>
                      <w:rFonts w:hint="default" w:ascii="Times New Roman" w:hAnsi="Times New Roman"/>
                      <w:szCs w:val="21"/>
                    </w:rPr>
                    <w:t>D</w:t>
                  </w:r>
                </w:p>
              </w:tc>
              <w:tc>
                <w:tcPr>
                  <w:tcW w:w="643" w:type="pct"/>
                  <w:vAlign w:val="top"/>
                </w:tcPr>
                <w:p w14:paraId="4A268A7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highlight w:val="yellow"/>
                    </w:rPr>
                  </w:pPr>
                  <w:r>
                    <w:rPr>
                      <w:rFonts w:hint="default" w:ascii="Times New Roman" w:hAnsi="Times New Roman"/>
                      <w:szCs w:val="21"/>
                    </w:rPr>
                    <w:t>&lt;</w:t>
                  </w:r>
                  <w:r>
                    <w:rPr>
                      <w:rFonts w:hint="eastAsia" w:ascii="Times New Roman" w:hAnsi="Times New Roman"/>
                      <w:szCs w:val="21"/>
                      <w:lang w:val="en-US"/>
                    </w:rPr>
                    <w:t>13.3</w:t>
                  </w:r>
                </w:p>
              </w:tc>
              <w:tc>
                <w:tcPr>
                  <w:tcW w:w="458" w:type="pct"/>
                  <w:vAlign w:val="center"/>
                </w:tcPr>
                <w:p w14:paraId="39BF4C8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53996E1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r w14:paraId="32759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3" w:type="pct"/>
                  <w:vMerge w:val="continue"/>
                  <w:vAlign w:val="center"/>
                </w:tcPr>
                <w:p w14:paraId="6A77630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c>
                <w:tcPr>
                  <w:tcW w:w="736" w:type="pct"/>
                  <w:vAlign w:val="center"/>
                </w:tcPr>
                <w:p w14:paraId="60F049C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default" w:ascii="Times New Roman" w:hAnsi="Times New Roman"/>
                      <w:szCs w:val="21"/>
                    </w:rPr>
                    <w:t>H</w:t>
                  </w:r>
                  <w:r>
                    <w:rPr>
                      <w:rFonts w:hint="default" w:ascii="Times New Roman" w:hAnsi="Times New Roman"/>
                      <w:szCs w:val="21"/>
                      <w:vertAlign w:val="subscript"/>
                    </w:rPr>
                    <w:t>2</w:t>
                  </w:r>
                  <w:r>
                    <w:rPr>
                      <w:rFonts w:hint="default" w:ascii="Times New Roman" w:hAnsi="Times New Roman"/>
                      <w:szCs w:val="21"/>
                    </w:rPr>
                    <w:t>S</w:t>
                  </w:r>
                </w:p>
              </w:tc>
              <w:tc>
                <w:tcPr>
                  <w:tcW w:w="655" w:type="pct"/>
                  <w:vAlign w:val="center"/>
                </w:tcPr>
                <w:p w14:paraId="63E542A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小时值</w:t>
                  </w:r>
                </w:p>
              </w:tc>
              <w:tc>
                <w:tcPr>
                  <w:tcW w:w="736" w:type="pct"/>
                  <w:vAlign w:val="center"/>
                </w:tcPr>
                <w:p w14:paraId="3B1EEB6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r>
                    <w:rPr>
                      <w:rFonts w:hint="default" w:ascii="Times New Roman" w:hAnsi="Times New Roman"/>
                      <w:szCs w:val="21"/>
                    </w:rPr>
                    <w:t>.01</w:t>
                  </w:r>
                </w:p>
              </w:tc>
              <w:tc>
                <w:tcPr>
                  <w:tcW w:w="825" w:type="pct"/>
                  <w:vAlign w:val="center"/>
                </w:tcPr>
                <w:p w14:paraId="262AFF5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N</w:t>
                  </w:r>
                  <w:r>
                    <w:rPr>
                      <w:rFonts w:hint="default" w:ascii="Times New Roman" w:hAnsi="Times New Roman"/>
                      <w:szCs w:val="21"/>
                    </w:rPr>
                    <w:t>D</w:t>
                  </w:r>
                </w:p>
              </w:tc>
              <w:tc>
                <w:tcPr>
                  <w:tcW w:w="643" w:type="pct"/>
                  <w:vAlign w:val="top"/>
                </w:tcPr>
                <w:p w14:paraId="13B0BDB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lang w:val="en-US"/>
                    </w:rPr>
                  </w:pPr>
                  <w:r>
                    <w:rPr>
                      <w:rFonts w:hint="default" w:ascii="Times New Roman" w:hAnsi="Times New Roman"/>
                      <w:szCs w:val="21"/>
                    </w:rPr>
                    <w:t>&lt;</w:t>
                  </w:r>
                  <w:r>
                    <w:rPr>
                      <w:rFonts w:hint="eastAsia" w:ascii="Times New Roman" w:hAnsi="Times New Roman"/>
                      <w:szCs w:val="21"/>
                      <w:lang w:val="en-US"/>
                    </w:rPr>
                    <w:t>10</w:t>
                  </w:r>
                </w:p>
              </w:tc>
              <w:tc>
                <w:tcPr>
                  <w:tcW w:w="458" w:type="pct"/>
                  <w:vAlign w:val="center"/>
                </w:tcPr>
                <w:p w14:paraId="03AC7B1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r>
                    <w:rPr>
                      <w:rFonts w:hint="eastAsia" w:ascii="Times New Roman" w:hAnsi="Times New Roman"/>
                      <w:szCs w:val="21"/>
                    </w:rPr>
                    <w:t>0</w:t>
                  </w:r>
                </w:p>
              </w:tc>
              <w:tc>
                <w:tcPr>
                  <w:tcW w:w="369" w:type="pct"/>
                  <w:vMerge w:val="continue"/>
                  <w:vAlign w:val="center"/>
                </w:tcPr>
                <w:p w14:paraId="708B728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szCs w:val="21"/>
                    </w:rPr>
                  </w:pPr>
                </w:p>
              </w:tc>
            </w:tr>
          </w:tbl>
          <w:p w14:paraId="4060A61A">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eastAsia="仿宋_GB2312" w:cs="Times New Roman"/>
                <w:bCs/>
                <w:color w:val="000000" w:themeColor="text1"/>
                <w:sz w:val="24"/>
                <w14:textFill>
                  <w14:solidFill>
                    <w14:schemeClr w14:val="tx1"/>
                  </w14:solidFill>
                </w14:textFill>
              </w:rPr>
            </w:pPr>
            <w:r>
              <w:rPr>
                <w:rFonts w:hint="eastAsia" w:ascii="Times New Roman" w:hAnsi="Times New Roman" w:eastAsia="仿宋_GB2312" w:cs="Times New Roman"/>
                <w:bCs/>
                <w:color w:val="000000" w:themeColor="text1"/>
                <w:sz w:val="24"/>
                <w14:textFill>
                  <w14:solidFill>
                    <w14:schemeClr w14:val="tx1"/>
                  </w14:solidFill>
                </w14:textFill>
              </w:rPr>
              <w:t>由上表可知，其他污染因子臭气浓度、非甲烷总烃、NH</w:t>
            </w:r>
            <w:r>
              <w:rPr>
                <w:rFonts w:hint="eastAsia" w:ascii="Times New Roman" w:hAnsi="Times New Roman" w:eastAsia="仿宋_GB2312" w:cs="Times New Roman"/>
                <w:bCs/>
                <w:color w:val="000000" w:themeColor="text1"/>
                <w:sz w:val="24"/>
                <w:vertAlign w:val="subscript"/>
                <w14:textFill>
                  <w14:solidFill>
                    <w14:schemeClr w14:val="tx1"/>
                  </w14:solidFill>
                </w14:textFill>
              </w:rPr>
              <w:t>3</w:t>
            </w:r>
            <w:r>
              <w:rPr>
                <w:rFonts w:hint="eastAsia" w:ascii="Times New Roman" w:hAnsi="Times New Roman" w:eastAsia="仿宋_GB2312" w:cs="Times New Roman"/>
                <w:bCs/>
                <w:color w:val="000000" w:themeColor="text1"/>
                <w:sz w:val="24"/>
                <w14:textFill>
                  <w14:solidFill>
                    <w14:schemeClr w14:val="tx1"/>
                  </w14:solidFill>
                </w14:textFill>
              </w:rPr>
              <w:t>、H</w:t>
            </w:r>
            <w:r>
              <w:rPr>
                <w:rFonts w:hint="eastAsia" w:ascii="Times New Roman" w:hAnsi="Times New Roman" w:eastAsia="仿宋_GB2312" w:cs="Times New Roman"/>
                <w:bCs/>
                <w:color w:val="000000" w:themeColor="text1"/>
                <w:sz w:val="24"/>
                <w:vertAlign w:val="subscript"/>
                <w14:textFill>
                  <w14:solidFill>
                    <w14:schemeClr w14:val="tx1"/>
                  </w14:solidFill>
                </w14:textFill>
              </w:rPr>
              <w:t>2</w:t>
            </w:r>
            <w:r>
              <w:rPr>
                <w:rFonts w:hint="eastAsia" w:ascii="Times New Roman" w:hAnsi="Times New Roman" w:eastAsia="仿宋_GB2312" w:cs="Times New Roman"/>
                <w:bCs/>
                <w:color w:val="000000" w:themeColor="text1"/>
                <w:sz w:val="24"/>
                <w14:textFill>
                  <w14:solidFill>
                    <w14:schemeClr w14:val="tx1"/>
                  </w14:solidFill>
                </w14:textFill>
              </w:rPr>
              <w:t>S、HCl的最大浓度占标率均小于1，氨、硫化氢能满足《环境影响评价技术导则 大气环境》（HJ2.2-2018）附录D标准，非甲烷总烃能满足《大气污染物综合排放标准详解》推荐值，臭气浓度能满足《恶臭污染物排放标准》（GB14554-93）。</w:t>
            </w:r>
          </w:p>
          <w:p w14:paraId="434E7D7E">
            <w:pPr>
              <w:pStyle w:val="30"/>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2、地表水环境质量现状</w:t>
            </w:r>
          </w:p>
          <w:p w14:paraId="20D6C733">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（1）</w:t>
            </w:r>
            <w:r>
              <w:rPr>
                <w:rFonts w:hint="default" w:ascii="Times New Roman" w:hAnsi="Times New Roman" w:eastAsia="仿宋_GB2312" w:cs="Times New Roman"/>
                <w:color w:val="auto"/>
                <w:kern w:val="0"/>
                <w:sz w:val="24"/>
                <w:lang w:val="zh-CN" w:bidi="ar"/>
              </w:rPr>
              <w:t>监测断面的布设</w:t>
            </w:r>
          </w:p>
          <w:p w14:paraId="74037B9F">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bookmarkStart w:id="42" w:name="_Hlk519882806"/>
            <w:r>
              <w:rPr>
                <w:rFonts w:hint="default" w:ascii="Times New Roman" w:hAnsi="Times New Roman" w:eastAsia="仿宋_GB2312" w:cs="Times New Roman"/>
                <w:color w:val="auto"/>
                <w:kern w:val="0"/>
                <w:sz w:val="24"/>
                <w:lang w:bidi="ar"/>
              </w:rPr>
              <w:t>本次地表水环境质量现状引用《中策橡胶（金坛）有限公司高性能绿色5G数字化新能源汽车子午线轮胎及配套生产基地项目环境影响报告书》中监测数据</w:t>
            </w:r>
            <w:bookmarkEnd w:id="42"/>
            <w:r>
              <w:rPr>
                <w:rFonts w:hint="default" w:ascii="Times New Roman" w:hAnsi="Times New Roman" w:eastAsia="仿宋_GB2312" w:cs="Times New Roman"/>
                <w:color w:val="auto"/>
                <w:kern w:val="0"/>
                <w:sz w:val="24"/>
                <w:lang w:bidi="ar"/>
              </w:rPr>
              <w:t>。监测断面和监测因子具体见下表。</w:t>
            </w:r>
          </w:p>
          <w:p w14:paraId="698BC672">
            <w:pPr>
              <w:keepNext/>
              <w:keepLines w:val="0"/>
              <w:widowControl/>
              <w:suppressLineNumbers w:val="0"/>
              <w:spacing w:before="0" w:beforeAutospacing="0" w:after="0" w:afterAutospacing="0" w:line="500" w:lineRule="exact"/>
              <w:ind w:left="0" w:right="0"/>
              <w:contextualSpacing/>
              <w:jc w:val="center"/>
              <w:rPr>
                <w:rFonts w:hint="default" w:ascii="Times New Roman" w:hAnsi="Times New Roman" w:eastAsia="仿宋_GB2312" w:cs="Times New Roman"/>
                <w:b/>
                <w:color w:val="auto"/>
                <w:kern w:val="0"/>
                <w:sz w:val="22"/>
                <w:szCs w:val="22"/>
              </w:rPr>
            </w:pPr>
            <w:r>
              <w:rPr>
                <w:rFonts w:hint="default" w:ascii="Times New Roman" w:hAnsi="Times New Roman" w:eastAsia="仿宋_GB2312" w:cs="Times New Roman"/>
                <w:b/>
                <w:color w:val="auto"/>
                <w:kern w:val="0"/>
                <w:sz w:val="22"/>
                <w:szCs w:val="22"/>
              </w:rPr>
              <w:t>表</w:t>
            </w:r>
            <w:r>
              <w:rPr>
                <w:rFonts w:hint="eastAsia" w:ascii="Times New Roman" w:hAnsi="Times New Roman" w:eastAsia="仿宋_GB2312" w:cs="Times New Roman"/>
                <w:b/>
                <w:color w:val="auto"/>
                <w:kern w:val="0"/>
                <w:sz w:val="22"/>
                <w:szCs w:val="22"/>
                <w:lang w:val="en-US" w:eastAsia="zh-CN"/>
              </w:rPr>
              <w:t>3-</w:t>
            </w:r>
            <w:r>
              <w:rPr>
                <w:rFonts w:hint="eastAsia" w:eastAsia="仿宋_GB2312" w:cs="Times New Roman"/>
                <w:b/>
                <w:color w:val="auto"/>
                <w:kern w:val="0"/>
                <w:sz w:val="22"/>
                <w:szCs w:val="22"/>
                <w:lang w:val="en-US" w:eastAsia="zh-CN"/>
              </w:rPr>
              <w:t>9</w:t>
            </w:r>
            <w:r>
              <w:rPr>
                <w:rFonts w:hint="default" w:ascii="Times New Roman" w:hAnsi="Times New Roman" w:eastAsia="仿宋_GB2312" w:cs="Times New Roman"/>
                <w:b/>
                <w:color w:val="auto"/>
                <w:kern w:val="0"/>
                <w:sz w:val="22"/>
                <w:szCs w:val="22"/>
              </w:rPr>
              <w:t xml:space="preserve">  地表水环境监测断面具体位置一览表</w:t>
            </w:r>
          </w:p>
          <w:tbl>
            <w:tblPr>
              <w:tblStyle w:val="87"/>
              <w:tblW w:w="507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2"/>
              <w:gridCol w:w="986"/>
              <w:gridCol w:w="3302"/>
              <w:gridCol w:w="2449"/>
              <w:gridCol w:w="1264"/>
              <w:gridCol w:w="1346"/>
            </w:tblGrid>
            <w:tr w14:paraId="54D95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Align w:val="center"/>
                </w:tcPr>
                <w:p w14:paraId="32BFE467">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断面编号</w:t>
                  </w:r>
                </w:p>
              </w:tc>
              <w:tc>
                <w:tcPr>
                  <w:tcW w:w="458" w:type="pct"/>
                  <w:vAlign w:val="center"/>
                </w:tcPr>
                <w:p w14:paraId="659F4EED">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水系名称</w:t>
                  </w:r>
                </w:p>
              </w:tc>
              <w:tc>
                <w:tcPr>
                  <w:tcW w:w="1533" w:type="pct"/>
                  <w:vAlign w:val="center"/>
                </w:tcPr>
                <w:p w14:paraId="17AB3C95">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断面布设位置</w:t>
                  </w:r>
                </w:p>
              </w:tc>
              <w:tc>
                <w:tcPr>
                  <w:tcW w:w="1137" w:type="pct"/>
                  <w:vAlign w:val="center"/>
                </w:tcPr>
                <w:p w14:paraId="2894C967">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监测因子</w:t>
                  </w:r>
                </w:p>
              </w:tc>
              <w:tc>
                <w:tcPr>
                  <w:tcW w:w="587" w:type="pct"/>
                  <w:vAlign w:val="center"/>
                </w:tcPr>
                <w:p w14:paraId="2498449E">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功能类别</w:t>
                  </w:r>
                </w:p>
              </w:tc>
              <w:tc>
                <w:tcPr>
                  <w:tcW w:w="626" w:type="pct"/>
                  <w:vAlign w:val="center"/>
                </w:tcPr>
                <w:p w14:paraId="5887786A">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
                      <w:color w:val="auto"/>
                      <w:szCs w:val="21"/>
                    </w:rPr>
                  </w:pPr>
                  <w:r>
                    <w:rPr>
                      <w:rFonts w:hint="default" w:ascii="Times New Roman" w:hAnsi="Times New Roman" w:eastAsia="仿宋_GB2312" w:cs="Times New Roman"/>
                      <w:b/>
                      <w:color w:val="auto"/>
                      <w:szCs w:val="21"/>
                    </w:rPr>
                    <w:t>数据来源</w:t>
                  </w:r>
                </w:p>
              </w:tc>
            </w:tr>
            <w:tr w14:paraId="2A55D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Align w:val="center"/>
                </w:tcPr>
                <w:p w14:paraId="5F555B60">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Wl</w:t>
                  </w:r>
                </w:p>
              </w:tc>
              <w:tc>
                <w:tcPr>
                  <w:tcW w:w="458" w:type="pct"/>
                  <w:vMerge w:val="restart"/>
                  <w:vAlign w:val="center"/>
                </w:tcPr>
                <w:p w14:paraId="64669B0D">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尧塘河</w:t>
                  </w:r>
                </w:p>
              </w:tc>
              <w:tc>
                <w:tcPr>
                  <w:tcW w:w="1533" w:type="pct"/>
                  <w:vAlign w:val="center"/>
                </w:tcPr>
                <w:p w14:paraId="7FA98E99">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bookmarkStart w:id="43" w:name="OLE_LINK16"/>
                  <w:r>
                    <w:rPr>
                      <w:rFonts w:hint="default" w:ascii="Times New Roman" w:hAnsi="Times New Roman" w:eastAsia="仿宋_GB2312" w:cs="Times New Roman"/>
                      <w:color w:val="auto"/>
                      <w:szCs w:val="21"/>
                    </w:rPr>
                    <w:t>常州金坛区第二污水处理有限公司排口</w:t>
                  </w:r>
                  <w:bookmarkEnd w:id="43"/>
                  <w:r>
                    <w:rPr>
                      <w:rFonts w:hint="default" w:ascii="Times New Roman" w:hAnsi="Times New Roman" w:eastAsia="仿宋_GB2312" w:cs="Times New Roman"/>
                      <w:color w:val="auto"/>
                      <w:szCs w:val="21"/>
                    </w:rPr>
                    <w:t>上游500m</w:t>
                  </w:r>
                </w:p>
              </w:tc>
              <w:tc>
                <w:tcPr>
                  <w:tcW w:w="1137" w:type="pct"/>
                  <w:vMerge w:val="restart"/>
                  <w:vAlign w:val="center"/>
                </w:tcPr>
                <w:p w14:paraId="5E0FA355">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pH、水温、COD、NH</w:t>
                  </w:r>
                  <w:r>
                    <w:rPr>
                      <w:rFonts w:hint="default" w:ascii="Times New Roman" w:hAnsi="Times New Roman" w:eastAsia="仿宋_GB2312" w:cs="Times New Roman"/>
                      <w:color w:val="auto"/>
                      <w:szCs w:val="21"/>
                      <w:vertAlign w:val="subscript"/>
                    </w:rPr>
                    <w:t>3</w:t>
                  </w:r>
                  <w:r>
                    <w:rPr>
                      <w:rFonts w:hint="default" w:ascii="Times New Roman" w:hAnsi="Times New Roman" w:eastAsia="仿宋_GB2312" w:cs="Times New Roman"/>
                      <w:color w:val="auto"/>
                      <w:szCs w:val="21"/>
                    </w:rPr>
                    <w:t>-N、TP、高锰酸盐指数、叶绿素a、透明度</w:t>
                  </w:r>
                </w:p>
              </w:tc>
              <w:tc>
                <w:tcPr>
                  <w:tcW w:w="587" w:type="pct"/>
                  <w:vMerge w:val="restart"/>
                  <w:vAlign w:val="center"/>
                </w:tcPr>
                <w:p w14:paraId="4DE0C6DE">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Ⅲ类</w:t>
                  </w:r>
                </w:p>
              </w:tc>
              <w:tc>
                <w:tcPr>
                  <w:tcW w:w="626" w:type="pct"/>
                  <w:vMerge w:val="restart"/>
                  <w:vAlign w:val="center"/>
                </w:tcPr>
                <w:p w14:paraId="1EC31609">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引用</w:t>
                  </w:r>
                </w:p>
              </w:tc>
            </w:tr>
            <w:tr w14:paraId="30638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Align w:val="center"/>
                </w:tcPr>
                <w:p w14:paraId="016CD33C">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W2</w:t>
                  </w:r>
                </w:p>
              </w:tc>
              <w:tc>
                <w:tcPr>
                  <w:tcW w:w="458" w:type="pct"/>
                  <w:vMerge w:val="continue"/>
                  <w:vAlign w:val="center"/>
                </w:tcPr>
                <w:p w14:paraId="18EAE3F3">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533" w:type="pct"/>
                  <w:vAlign w:val="center"/>
                </w:tcPr>
                <w:p w14:paraId="17505FBC">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常州金坛区第二污水处理有限公司排口下游2000m</w:t>
                  </w:r>
                </w:p>
              </w:tc>
              <w:tc>
                <w:tcPr>
                  <w:tcW w:w="1137" w:type="pct"/>
                  <w:vMerge w:val="continue"/>
                  <w:vAlign w:val="center"/>
                </w:tcPr>
                <w:p w14:paraId="0FD673F9">
                  <w:pPr>
                    <w:pStyle w:val="51"/>
                    <w:keepNext w:val="0"/>
                    <w:keepLines w:val="0"/>
                    <w:suppressLineNumbers w:val="0"/>
                    <w:adjustRightInd w:val="0"/>
                    <w:snapToGrid w:val="0"/>
                    <w:spacing w:before="0" w:beforeAutospacing="0" w:afterAutospacing="0" w:line="240" w:lineRule="atLeast"/>
                    <w:ind w:left="560" w:right="0"/>
                    <w:jc w:val="center"/>
                    <w:rPr>
                      <w:rFonts w:hint="default" w:ascii="Times New Roman" w:hAnsi="Times New Roman" w:eastAsia="仿宋_GB2312" w:cs="Times New Roman"/>
                      <w:bCs/>
                      <w:color w:val="auto"/>
                      <w:sz w:val="21"/>
                    </w:rPr>
                  </w:pPr>
                </w:p>
              </w:tc>
              <w:tc>
                <w:tcPr>
                  <w:tcW w:w="587" w:type="pct"/>
                  <w:vMerge w:val="continue"/>
                  <w:vAlign w:val="center"/>
                </w:tcPr>
                <w:p w14:paraId="586D06BA">
                  <w:pPr>
                    <w:pStyle w:val="51"/>
                    <w:keepNext w:val="0"/>
                    <w:keepLines w:val="0"/>
                    <w:suppressLineNumbers w:val="0"/>
                    <w:adjustRightInd w:val="0"/>
                    <w:snapToGrid w:val="0"/>
                    <w:spacing w:before="0" w:beforeAutospacing="0" w:afterAutospacing="0" w:line="240" w:lineRule="atLeast"/>
                    <w:ind w:left="560" w:right="0"/>
                    <w:jc w:val="center"/>
                    <w:rPr>
                      <w:rFonts w:hint="default" w:ascii="Times New Roman" w:hAnsi="Times New Roman" w:eastAsia="仿宋_GB2312" w:cs="Times New Roman"/>
                      <w:bCs/>
                      <w:color w:val="auto"/>
                      <w:sz w:val="21"/>
                    </w:rPr>
                  </w:pPr>
                </w:p>
              </w:tc>
              <w:tc>
                <w:tcPr>
                  <w:tcW w:w="626" w:type="pct"/>
                  <w:vMerge w:val="continue"/>
                  <w:vAlign w:val="center"/>
                </w:tcPr>
                <w:p w14:paraId="5C0FB2D1">
                  <w:pPr>
                    <w:pStyle w:val="51"/>
                    <w:keepNext w:val="0"/>
                    <w:keepLines w:val="0"/>
                    <w:suppressLineNumbers w:val="0"/>
                    <w:adjustRightInd w:val="0"/>
                    <w:snapToGrid w:val="0"/>
                    <w:spacing w:before="0" w:beforeAutospacing="0" w:afterAutospacing="0" w:line="240" w:lineRule="atLeast"/>
                    <w:ind w:left="560" w:right="0"/>
                    <w:jc w:val="center"/>
                    <w:rPr>
                      <w:rFonts w:hint="default" w:ascii="Times New Roman" w:hAnsi="Times New Roman" w:eastAsia="仿宋_GB2312" w:cs="Times New Roman"/>
                      <w:bCs/>
                      <w:color w:val="auto"/>
                      <w:sz w:val="21"/>
                    </w:rPr>
                  </w:pPr>
                </w:p>
              </w:tc>
            </w:tr>
          </w:tbl>
          <w:p w14:paraId="58CC6B06">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（2）监测时间及频率</w:t>
            </w:r>
          </w:p>
          <w:p w14:paraId="6BB8A18E">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监测时间为2024年8月27日至8月29日，水温每天监测4次，其他因子每天监测2次，连续监测3天。</w:t>
            </w:r>
          </w:p>
          <w:p w14:paraId="2EBA0D32">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（3）采样及分析方法</w:t>
            </w:r>
          </w:p>
          <w:p w14:paraId="7AE3987C">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按《地表水和污水监测技术规范》（HJ/T91-2002）中有关规定和《水和废水监测分析方法》（第四版）的进行。</w:t>
            </w:r>
          </w:p>
          <w:p w14:paraId="344079C5">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（4）水质监测结果</w:t>
            </w:r>
          </w:p>
          <w:p w14:paraId="082A8C60">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根据江苏科发检测技术有限公司出具监测报告（JSKF240697001），监测结果见</w:t>
            </w:r>
            <w:r>
              <w:rPr>
                <w:rFonts w:hint="default" w:ascii="Times New Roman" w:hAnsi="Times New Roman" w:eastAsia="仿宋_GB2312" w:cs="Times New Roman"/>
                <w:color w:val="auto"/>
                <w:kern w:val="0"/>
                <w:sz w:val="24"/>
                <w:lang w:eastAsia="zh-CN" w:bidi="ar"/>
              </w:rPr>
              <w:t>下表</w:t>
            </w:r>
            <w:r>
              <w:rPr>
                <w:rFonts w:hint="default" w:ascii="Times New Roman" w:hAnsi="Times New Roman" w:eastAsia="仿宋_GB2312" w:cs="Times New Roman"/>
                <w:color w:val="auto"/>
                <w:kern w:val="0"/>
                <w:sz w:val="24"/>
                <w:lang w:bidi="ar"/>
              </w:rPr>
              <w:t>。</w:t>
            </w:r>
          </w:p>
          <w:p w14:paraId="0E5EA296">
            <w:pPr>
              <w:keepNext/>
              <w:keepLines w:val="0"/>
              <w:widowControl/>
              <w:suppressLineNumbers w:val="0"/>
              <w:spacing w:before="0" w:beforeAutospacing="0" w:after="0" w:afterAutospacing="0" w:line="500" w:lineRule="exact"/>
              <w:ind w:left="0" w:right="0"/>
              <w:contextualSpacing/>
              <w:jc w:val="center"/>
              <w:rPr>
                <w:rFonts w:hint="default" w:ascii="Times New Roman" w:hAnsi="Times New Roman" w:eastAsia="仿宋_GB2312" w:cs="Times New Roman"/>
                <w:b/>
                <w:color w:val="auto"/>
                <w:kern w:val="0"/>
                <w:sz w:val="22"/>
                <w:szCs w:val="22"/>
              </w:rPr>
            </w:pPr>
            <w:r>
              <w:rPr>
                <w:rFonts w:hint="default" w:ascii="Times New Roman" w:hAnsi="Times New Roman" w:eastAsia="仿宋_GB2312" w:cs="Times New Roman"/>
                <w:b/>
                <w:color w:val="auto"/>
                <w:kern w:val="0"/>
                <w:sz w:val="22"/>
                <w:szCs w:val="22"/>
              </w:rPr>
              <w:t>表</w:t>
            </w:r>
            <w:r>
              <w:rPr>
                <w:rFonts w:hint="eastAsia" w:ascii="Times New Roman" w:hAnsi="Times New Roman" w:eastAsia="仿宋_GB2312" w:cs="Times New Roman"/>
                <w:b/>
                <w:color w:val="auto"/>
                <w:kern w:val="0"/>
                <w:sz w:val="22"/>
                <w:szCs w:val="22"/>
                <w:lang w:val="en-US" w:eastAsia="zh-CN"/>
              </w:rPr>
              <w:t>3-</w:t>
            </w:r>
            <w:r>
              <w:rPr>
                <w:rFonts w:hint="eastAsia" w:eastAsia="仿宋_GB2312" w:cs="Times New Roman"/>
                <w:b/>
                <w:color w:val="auto"/>
                <w:kern w:val="0"/>
                <w:sz w:val="22"/>
                <w:szCs w:val="22"/>
                <w:lang w:val="en-US" w:eastAsia="zh-CN"/>
              </w:rPr>
              <w:t>10</w:t>
            </w:r>
            <w:r>
              <w:rPr>
                <w:rFonts w:hint="default" w:ascii="Times New Roman" w:hAnsi="Times New Roman" w:eastAsia="仿宋_GB2312" w:cs="Times New Roman"/>
                <w:b/>
                <w:color w:val="auto"/>
                <w:kern w:val="0"/>
                <w:sz w:val="22"/>
                <w:szCs w:val="22"/>
              </w:rPr>
              <w:t xml:space="preserve">   水环境质量监测结果一览表             单位：mg/L，pH无量纲</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948"/>
              <w:gridCol w:w="1902"/>
              <w:gridCol w:w="1972"/>
              <w:gridCol w:w="1838"/>
              <w:gridCol w:w="1974"/>
            </w:tblGrid>
            <w:tr w14:paraId="3BC14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Align w:val="center"/>
                </w:tcPr>
                <w:p w14:paraId="6B6D6DF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断面</w:t>
                  </w:r>
                </w:p>
              </w:tc>
              <w:tc>
                <w:tcPr>
                  <w:tcW w:w="918" w:type="pct"/>
                  <w:vAlign w:val="center"/>
                </w:tcPr>
                <w:p w14:paraId="20550CF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采样日期</w:t>
                  </w:r>
                </w:p>
              </w:tc>
              <w:tc>
                <w:tcPr>
                  <w:tcW w:w="896" w:type="pct"/>
                  <w:vAlign w:val="center"/>
                </w:tcPr>
                <w:p w14:paraId="38C24E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pH（无量纲）</w:t>
                  </w:r>
                </w:p>
              </w:tc>
              <w:tc>
                <w:tcPr>
                  <w:tcW w:w="929" w:type="pct"/>
                  <w:vAlign w:val="center"/>
                </w:tcPr>
                <w:p w14:paraId="3F86F9E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COD</w:t>
                  </w:r>
                </w:p>
              </w:tc>
              <w:tc>
                <w:tcPr>
                  <w:tcW w:w="866" w:type="pct"/>
                  <w:vAlign w:val="center"/>
                </w:tcPr>
                <w:p w14:paraId="3DEFC1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NH</w:t>
                  </w:r>
                  <w:r>
                    <w:rPr>
                      <w:rFonts w:hint="default" w:ascii="Times New Roman" w:hAnsi="Times New Roman" w:eastAsia="仿宋_GB2312" w:cs="Times New Roman"/>
                      <w:b/>
                      <w:bCs/>
                      <w:color w:val="auto"/>
                      <w:kern w:val="0"/>
                      <w:sz w:val="21"/>
                      <w:vertAlign w:val="subscript"/>
                    </w:rPr>
                    <w:t>3</w:t>
                  </w:r>
                  <w:r>
                    <w:rPr>
                      <w:rFonts w:hint="default" w:ascii="Times New Roman" w:hAnsi="Times New Roman" w:eastAsia="仿宋_GB2312" w:cs="Times New Roman"/>
                      <w:b/>
                      <w:bCs/>
                      <w:color w:val="auto"/>
                      <w:kern w:val="0"/>
                      <w:sz w:val="21"/>
                    </w:rPr>
                    <w:t>-N</w:t>
                  </w:r>
                </w:p>
              </w:tc>
              <w:tc>
                <w:tcPr>
                  <w:tcW w:w="930" w:type="pct"/>
                  <w:vAlign w:val="center"/>
                </w:tcPr>
                <w:p w14:paraId="023EE1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TP</w:t>
                  </w:r>
                </w:p>
              </w:tc>
            </w:tr>
            <w:tr w14:paraId="4F7BB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restart"/>
                  <w:vAlign w:val="center"/>
                </w:tcPr>
                <w:p w14:paraId="6929BA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W1</w:t>
                  </w:r>
                </w:p>
              </w:tc>
              <w:tc>
                <w:tcPr>
                  <w:tcW w:w="918" w:type="pct"/>
                  <w:vMerge w:val="restart"/>
                  <w:vAlign w:val="center"/>
                </w:tcPr>
                <w:p w14:paraId="14DC58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2024.8.27</w:t>
                  </w:r>
                </w:p>
              </w:tc>
              <w:tc>
                <w:tcPr>
                  <w:tcW w:w="896" w:type="pct"/>
                  <w:vAlign w:val="center"/>
                </w:tcPr>
                <w:p w14:paraId="1CC4A78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7.6</w:t>
                  </w:r>
                </w:p>
              </w:tc>
              <w:tc>
                <w:tcPr>
                  <w:tcW w:w="929" w:type="pct"/>
                  <w:vAlign w:val="center"/>
                </w:tcPr>
                <w:p w14:paraId="1699A23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w:t>
                  </w:r>
                </w:p>
              </w:tc>
              <w:tc>
                <w:tcPr>
                  <w:tcW w:w="866" w:type="pct"/>
                  <w:vAlign w:val="center"/>
                </w:tcPr>
                <w:p w14:paraId="4D3DE3F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0.145</w:t>
                  </w:r>
                </w:p>
              </w:tc>
              <w:tc>
                <w:tcPr>
                  <w:tcW w:w="930" w:type="pct"/>
                  <w:vAlign w:val="center"/>
                </w:tcPr>
                <w:p w14:paraId="2B5AA9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0.13</w:t>
                  </w:r>
                </w:p>
              </w:tc>
            </w:tr>
            <w:tr w14:paraId="6A7C9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66A84F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6C0534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264358C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 7.5</w:t>
                  </w:r>
                </w:p>
              </w:tc>
              <w:tc>
                <w:tcPr>
                  <w:tcW w:w="929" w:type="pct"/>
                  <w:vAlign w:val="center"/>
                </w:tcPr>
                <w:p w14:paraId="03F5F4D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w:t>
                  </w:r>
                </w:p>
              </w:tc>
              <w:tc>
                <w:tcPr>
                  <w:tcW w:w="866" w:type="pct"/>
                  <w:vAlign w:val="center"/>
                </w:tcPr>
                <w:p w14:paraId="00BC30C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0.154</w:t>
                  </w:r>
                </w:p>
              </w:tc>
              <w:tc>
                <w:tcPr>
                  <w:tcW w:w="930" w:type="pct"/>
                  <w:vAlign w:val="center"/>
                </w:tcPr>
                <w:p w14:paraId="2BBB5C4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0.13</w:t>
                  </w:r>
                </w:p>
              </w:tc>
            </w:tr>
            <w:tr w14:paraId="44E99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2446160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restart"/>
                  <w:vAlign w:val="center"/>
                </w:tcPr>
                <w:p w14:paraId="1702C3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2024.8.28</w:t>
                  </w:r>
                </w:p>
              </w:tc>
              <w:tc>
                <w:tcPr>
                  <w:tcW w:w="896" w:type="pct"/>
                  <w:vAlign w:val="center"/>
                </w:tcPr>
                <w:p w14:paraId="0D68A49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7.7</w:t>
                  </w:r>
                </w:p>
              </w:tc>
              <w:tc>
                <w:tcPr>
                  <w:tcW w:w="929" w:type="pct"/>
                  <w:vAlign w:val="center"/>
                </w:tcPr>
                <w:p w14:paraId="64F556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12</w:t>
                  </w:r>
                </w:p>
              </w:tc>
              <w:tc>
                <w:tcPr>
                  <w:tcW w:w="866" w:type="pct"/>
                  <w:vAlign w:val="center"/>
                </w:tcPr>
                <w:p w14:paraId="2F77478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0.19</w:t>
                  </w:r>
                </w:p>
              </w:tc>
              <w:tc>
                <w:tcPr>
                  <w:tcW w:w="930" w:type="pct"/>
                  <w:vAlign w:val="center"/>
                </w:tcPr>
                <w:p w14:paraId="29CD263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0.12</w:t>
                  </w:r>
                </w:p>
              </w:tc>
            </w:tr>
            <w:tr w14:paraId="15272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177C3C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3D70EE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24B29A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7.7</w:t>
                  </w:r>
                </w:p>
              </w:tc>
              <w:tc>
                <w:tcPr>
                  <w:tcW w:w="929" w:type="pct"/>
                  <w:vAlign w:val="center"/>
                </w:tcPr>
                <w:p w14:paraId="493E86C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13</w:t>
                  </w:r>
                </w:p>
              </w:tc>
              <w:tc>
                <w:tcPr>
                  <w:tcW w:w="866" w:type="pct"/>
                  <w:vAlign w:val="center"/>
                </w:tcPr>
                <w:p w14:paraId="08D323E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0.26</w:t>
                  </w:r>
                </w:p>
              </w:tc>
              <w:tc>
                <w:tcPr>
                  <w:tcW w:w="930" w:type="pct"/>
                  <w:vAlign w:val="center"/>
                </w:tcPr>
                <w:p w14:paraId="2BA2E0B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0.13</w:t>
                  </w:r>
                </w:p>
              </w:tc>
            </w:tr>
            <w:tr w14:paraId="7EC70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742D2E1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restart"/>
                  <w:vAlign w:val="center"/>
                </w:tcPr>
                <w:p w14:paraId="62A9DDB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2024.8.29</w:t>
                  </w:r>
                </w:p>
              </w:tc>
              <w:tc>
                <w:tcPr>
                  <w:tcW w:w="896" w:type="pct"/>
                  <w:vAlign w:val="center"/>
                </w:tcPr>
                <w:p w14:paraId="697F3EE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7.5</w:t>
                  </w:r>
                </w:p>
              </w:tc>
              <w:tc>
                <w:tcPr>
                  <w:tcW w:w="929" w:type="pct"/>
                  <w:vAlign w:val="center"/>
                </w:tcPr>
                <w:p w14:paraId="6B1358C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w:t>
                  </w:r>
                </w:p>
              </w:tc>
              <w:tc>
                <w:tcPr>
                  <w:tcW w:w="866" w:type="pct"/>
                  <w:vAlign w:val="center"/>
                </w:tcPr>
                <w:p w14:paraId="07E0E4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0.102</w:t>
                  </w:r>
                </w:p>
              </w:tc>
              <w:tc>
                <w:tcPr>
                  <w:tcW w:w="930" w:type="pct"/>
                  <w:vAlign w:val="center"/>
                </w:tcPr>
                <w:p w14:paraId="07BE132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w:t>
                  </w:r>
                </w:p>
              </w:tc>
            </w:tr>
            <w:tr w14:paraId="12322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7B4C5A2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758201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104CC8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7.5</w:t>
                  </w:r>
                </w:p>
              </w:tc>
              <w:tc>
                <w:tcPr>
                  <w:tcW w:w="929" w:type="pct"/>
                  <w:vAlign w:val="center"/>
                </w:tcPr>
                <w:p w14:paraId="792E602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11</w:t>
                  </w:r>
                </w:p>
              </w:tc>
              <w:tc>
                <w:tcPr>
                  <w:tcW w:w="866" w:type="pct"/>
                  <w:vAlign w:val="center"/>
                </w:tcPr>
                <w:p w14:paraId="46E7652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0.081</w:t>
                  </w:r>
                </w:p>
              </w:tc>
              <w:tc>
                <w:tcPr>
                  <w:tcW w:w="930" w:type="pct"/>
                  <w:vAlign w:val="center"/>
                </w:tcPr>
                <w:p w14:paraId="1D6DA25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w:t>
                  </w:r>
                </w:p>
              </w:tc>
            </w:tr>
            <w:tr w14:paraId="19AF0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restart"/>
                  <w:vAlign w:val="center"/>
                </w:tcPr>
                <w:p w14:paraId="3B158A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W2</w:t>
                  </w:r>
                </w:p>
              </w:tc>
              <w:tc>
                <w:tcPr>
                  <w:tcW w:w="918" w:type="pct"/>
                  <w:vMerge w:val="restart"/>
                  <w:vAlign w:val="center"/>
                </w:tcPr>
                <w:p w14:paraId="7920E5E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2024.8.27</w:t>
                  </w:r>
                </w:p>
              </w:tc>
              <w:tc>
                <w:tcPr>
                  <w:tcW w:w="896" w:type="pct"/>
                  <w:vAlign w:val="center"/>
                </w:tcPr>
                <w:p w14:paraId="232C2B1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7.9</w:t>
                  </w:r>
                </w:p>
              </w:tc>
              <w:tc>
                <w:tcPr>
                  <w:tcW w:w="929" w:type="pct"/>
                  <w:vAlign w:val="center"/>
                </w:tcPr>
                <w:p w14:paraId="6BE4B3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8</w:t>
                  </w:r>
                </w:p>
              </w:tc>
              <w:tc>
                <w:tcPr>
                  <w:tcW w:w="866" w:type="pct"/>
                  <w:vAlign w:val="center"/>
                </w:tcPr>
                <w:p w14:paraId="1D69C2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rPr>
                    <w:t>0.084</w:t>
                  </w:r>
                </w:p>
              </w:tc>
              <w:tc>
                <w:tcPr>
                  <w:tcW w:w="930" w:type="pct"/>
                  <w:vAlign w:val="center"/>
                </w:tcPr>
                <w:p w14:paraId="1995B2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0.15</w:t>
                  </w:r>
                </w:p>
              </w:tc>
            </w:tr>
            <w:tr w14:paraId="33848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15432A6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192078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0ADAE65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7.9</w:t>
                  </w:r>
                </w:p>
              </w:tc>
              <w:tc>
                <w:tcPr>
                  <w:tcW w:w="929" w:type="pct"/>
                  <w:vAlign w:val="center"/>
                </w:tcPr>
                <w:p w14:paraId="537E57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w:t>
                  </w:r>
                </w:p>
              </w:tc>
              <w:tc>
                <w:tcPr>
                  <w:tcW w:w="866" w:type="pct"/>
                  <w:vAlign w:val="center"/>
                </w:tcPr>
                <w:p w14:paraId="7BFD0D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0.191</w:t>
                  </w:r>
                </w:p>
              </w:tc>
              <w:tc>
                <w:tcPr>
                  <w:tcW w:w="930" w:type="pct"/>
                  <w:vAlign w:val="center"/>
                </w:tcPr>
                <w:p w14:paraId="2B90E9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0.13</w:t>
                  </w:r>
                </w:p>
              </w:tc>
            </w:tr>
            <w:tr w14:paraId="3AE5B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6319B0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restart"/>
                  <w:vAlign w:val="center"/>
                </w:tcPr>
                <w:p w14:paraId="328D4F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2024.8.28</w:t>
                  </w:r>
                </w:p>
              </w:tc>
              <w:tc>
                <w:tcPr>
                  <w:tcW w:w="896" w:type="pct"/>
                  <w:vAlign w:val="center"/>
                </w:tcPr>
                <w:p w14:paraId="7A9276D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7.7</w:t>
                  </w:r>
                </w:p>
              </w:tc>
              <w:tc>
                <w:tcPr>
                  <w:tcW w:w="929" w:type="pct"/>
                  <w:vAlign w:val="center"/>
                </w:tcPr>
                <w:p w14:paraId="7F5C224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11</w:t>
                  </w:r>
                </w:p>
              </w:tc>
              <w:tc>
                <w:tcPr>
                  <w:tcW w:w="866" w:type="pct"/>
                  <w:vAlign w:val="center"/>
                </w:tcPr>
                <w:p w14:paraId="21F2EC4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0.095</w:t>
                  </w:r>
                </w:p>
              </w:tc>
              <w:tc>
                <w:tcPr>
                  <w:tcW w:w="930" w:type="pct"/>
                  <w:vAlign w:val="center"/>
                </w:tcPr>
                <w:p w14:paraId="12D5C27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0.13</w:t>
                  </w:r>
                </w:p>
              </w:tc>
            </w:tr>
            <w:tr w14:paraId="35BCA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6FAE0AC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67D5025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78A288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7.7</w:t>
                  </w:r>
                </w:p>
              </w:tc>
              <w:tc>
                <w:tcPr>
                  <w:tcW w:w="929" w:type="pct"/>
                  <w:vAlign w:val="center"/>
                </w:tcPr>
                <w:p w14:paraId="12E6131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11</w:t>
                  </w:r>
                </w:p>
              </w:tc>
              <w:tc>
                <w:tcPr>
                  <w:tcW w:w="866" w:type="pct"/>
                  <w:vAlign w:val="center"/>
                </w:tcPr>
                <w:p w14:paraId="4C3B04C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0.136</w:t>
                  </w:r>
                </w:p>
              </w:tc>
              <w:tc>
                <w:tcPr>
                  <w:tcW w:w="930" w:type="pct"/>
                  <w:vAlign w:val="center"/>
                </w:tcPr>
                <w:p w14:paraId="62DD954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0.14</w:t>
                  </w:r>
                </w:p>
              </w:tc>
            </w:tr>
            <w:tr w14:paraId="5A2C7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36367ED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restart"/>
                  <w:vAlign w:val="center"/>
                </w:tcPr>
                <w:p w14:paraId="1D1740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2024.8.29</w:t>
                  </w:r>
                </w:p>
              </w:tc>
              <w:tc>
                <w:tcPr>
                  <w:tcW w:w="896" w:type="pct"/>
                  <w:vAlign w:val="center"/>
                </w:tcPr>
                <w:p w14:paraId="3458242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7.8</w:t>
                  </w:r>
                </w:p>
              </w:tc>
              <w:tc>
                <w:tcPr>
                  <w:tcW w:w="929" w:type="pct"/>
                  <w:vAlign w:val="center"/>
                </w:tcPr>
                <w:p w14:paraId="7BC575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13</w:t>
                  </w:r>
                </w:p>
              </w:tc>
              <w:tc>
                <w:tcPr>
                  <w:tcW w:w="866" w:type="pct"/>
                  <w:vAlign w:val="center"/>
                </w:tcPr>
                <w:p w14:paraId="5E42942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0.119</w:t>
                  </w:r>
                </w:p>
              </w:tc>
              <w:tc>
                <w:tcPr>
                  <w:tcW w:w="930" w:type="pct"/>
                  <w:vAlign w:val="center"/>
                </w:tcPr>
                <w:p w14:paraId="1E4416F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0.11</w:t>
                  </w:r>
                </w:p>
              </w:tc>
            </w:tr>
            <w:tr w14:paraId="3C6B9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473D7E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69FFC35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184A96D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7.8</w:t>
                  </w:r>
                </w:p>
              </w:tc>
              <w:tc>
                <w:tcPr>
                  <w:tcW w:w="929" w:type="pct"/>
                  <w:vAlign w:val="center"/>
                </w:tcPr>
                <w:p w14:paraId="04DA731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12</w:t>
                  </w:r>
                </w:p>
              </w:tc>
              <w:tc>
                <w:tcPr>
                  <w:tcW w:w="866" w:type="pct"/>
                  <w:vAlign w:val="center"/>
                </w:tcPr>
                <w:p w14:paraId="37C604A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0.17</w:t>
                  </w:r>
                </w:p>
              </w:tc>
              <w:tc>
                <w:tcPr>
                  <w:tcW w:w="930" w:type="pct"/>
                  <w:vAlign w:val="center"/>
                </w:tcPr>
                <w:p w14:paraId="3DE746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0.12</w:t>
                  </w:r>
                </w:p>
              </w:tc>
            </w:tr>
            <w:tr w14:paraId="6DCDB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79" w:type="pct"/>
                  <w:gridSpan w:val="2"/>
                  <w:vAlign w:val="center"/>
                </w:tcPr>
                <w:p w14:paraId="7B175BC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Ⅲ类标准</w:t>
                  </w:r>
                </w:p>
              </w:tc>
              <w:tc>
                <w:tcPr>
                  <w:tcW w:w="896" w:type="pct"/>
                  <w:vAlign w:val="center"/>
                </w:tcPr>
                <w:p w14:paraId="20A057F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rPr>
                  </w:pPr>
                  <w:r>
                    <w:rPr>
                      <w:rFonts w:hint="default" w:ascii="Times New Roman" w:hAnsi="Times New Roman" w:eastAsia="仿宋_GB2312" w:cs="Times New Roman"/>
                      <w:bCs/>
                      <w:color w:val="auto"/>
                      <w:kern w:val="0"/>
                      <w:sz w:val="21"/>
                    </w:rPr>
                    <w:t>6～9</w:t>
                  </w:r>
                </w:p>
              </w:tc>
              <w:tc>
                <w:tcPr>
                  <w:tcW w:w="929" w:type="pct"/>
                  <w:vAlign w:val="center"/>
                </w:tcPr>
                <w:p w14:paraId="3FDDE75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rPr>
                  </w:pPr>
                  <w:r>
                    <w:rPr>
                      <w:rFonts w:hint="default" w:ascii="Times New Roman" w:hAnsi="Times New Roman" w:eastAsia="仿宋_GB2312" w:cs="Times New Roman"/>
                      <w:bCs/>
                      <w:color w:val="auto"/>
                      <w:sz w:val="21"/>
                    </w:rPr>
                    <w:t>≤20</w:t>
                  </w:r>
                </w:p>
              </w:tc>
              <w:tc>
                <w:tcPr>
                  <w:tcW w:w="866" w:type="pct"/>
                  <w:vAlign w:val="center"/>
                </w:tcPr>
                <w:p w14:paraId="05CDBB0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rPr>
                  </w:pPr>
                  <w:r>
                    <w:rPr>
                      <w:rFonts w:hint="default" w:ascii="Times New Roman" w:hAnsi="Times New Roman" w:eastAsia="仿宋_GB2312" w:cs="Times New Roman"/>
                      <w:bCs/>
                      <w:color w:val="auto"/>
                      <w:sz w:val="21"/>
                    </w:rPr>
                    <w:t>≤1.0</w:t>
                  </w:r>
                </w:p>
              </w:tc>
              <w:tc>
                <w:tcPr>
                  <w:tcW w:w="930" w:type="pct"/>
                  <w:vAlign w:val="center"/>
                </w:tcPr>
                <w:p w14:paraId="16094A0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kern w:val="0"/>
                      <w:sz w:val="21"/>
                    </w:rPr>
                  </w:pPr>
                  <w:r>
                    <w:rPr>
                      <w:rFonts w:hint="default" w:ascii="Times New Roman" w:hAnsi="Times New Roman" w:eastAsia="仿宋_GB2312" w:cs="Times New Roman"/>
                      <w:bCs/>
                      <w:color w:val="auto"/>
                      <w:sz w:val="21"/>
                    </w:rPr>
                    <w:t>≤0.2</w:t>
                  </w:r>
                </w:p>
              </w:tc>
            </w:tr>
            <w:tr w14:paraId="281D5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Align w:val="center"/>
                </w:tcPr>
                <w:p w14:paraId="27DEFA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断面</w:t>
                  </w:r>
                </w:p>
              </w:tc>
              <w:tc>
                <w:tcPr>
                  <w:tcW w:w="918" w:type="pct"/>
                  <w:vAlign w:val="center"/>
                </w:tcPr>
                <w:p w14:paraId="2ED9F9F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采样日期</w:t>
                  </w:r>
                </w:p>
              </w:tc>
              <w:tc>
                <w:tcPr>
                  <w:tcW w:w="896" w:type="pct"/>
                  <w:vAlign w:val="center"/>
                </w:tcPr>
                <w:p w14:paraId="511503F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高锰酸盐指数</w:t>
                  </w:r>
                </w:p>
              </w:tc>
              <w:tc>
                <w:tcPr>
                  <w:tcW w:w="929" w:type="pct"/>
                  <w:vAlign w:val="center"/>
                </w:tcPr>
                <w:p w14:paraId="2459701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叶绿素a（ug/L）</w:t>
                  </w:r>
                </w:p>
              </w:tc>
              <w:tc>
                <w:tcPr>
                  <w:tcW w:w="866" w:type="pct"/>
                  <w:vAlign w:val="center"/>
                </w:tcPr>
                <w:p w14:paraId="4D10286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b/>
                      <w:bCs/>
                      <w:color w:val="auto"/>
                      <w:kern w:val="0"/>
                      <w:sz w:val="21"/>
                    </w:rPr>
                    <w:t>透明度（cm）</w:t>
                  </w:r>
                </w:p>
              </w:tc>
              <w:tc>
                <w:tcPr>
                  <w:tcW w:w="930" w:type="pct"/>
                  <w:vAlign w:val="center"/>
                </w:tcPr>
                <w:p w14:paraId="75A3F36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C9C2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restart"/>
                  <w:vAlign w:val="center"/>
                </w:tcPr>
                <w:p w14:paraId="76951D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W1</w:t>
                  </w:r>
                </w:p>
              </w:tc>
              <w:tc>
                <w:tcPr>
                  <w:tcW w:w="918" w:type="pct"/>
                  <w:vMerge w:val="restart"/>
                  <w:vAlign w:val="center"/>
                </w:tcPr>
                <w:p w14:paraId="543460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2024.8.27</w:t>
                  </w:r>
                </w:p>
              </w:tc>
              <w:tc>
                <w:tcPr>
                  <w:tcW w:w="896" w:type="pct"/>
                  <w:vAlign w:val="center"/>
                </w:tcPr>
                <w:p w14:paraId="06FD152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4.32</w:t>
                  </w:r>
                </w:p>
              </w:tc>
              <w:tc>
                <w:tcPr>
                  <w:tcW w:w="929" w:type="pct"/>
                  <w:vAlign w:val="center"/>
                </w:tcPr>
                <w:p w14:paraId="187D6EF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w:t>
                  </w:r>
                </w:p>
              </w:tc>
              <w:tc>
                <w:tcPr>
                  <w:tcW w:w="866" w:type="pct"/>
                  <w:vAlign w:val="center"/>
                </w:tcPr>
                <w:p w14:paraId="5905A4E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42</w:t>
                  </w:r>
                </w:p>
              </w:tc>
              <w:tc>
                <w:tcPr>
                  <w:tcW w:w="930" w:type="pct"/>
                  <w:vAlign w:val="center"/>
                </w:tcPr>
                <w:p w14:paraId="55B758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D1C9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7A1CE9D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62F003C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5104C33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4.16</w:t>
                  </w:r>
                </w:p>
              </w:tc>
              <w:tc>
                <w:tcPr>
                  <w:tcW w:w="929" w:type="pct"/>
                  <w:vAlign w:val="center"/>
                </w:tcPr>
                <w:p w14:paraId="6FDD19C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w:t>
                  </w:r>
                </w:p>
              </w:tc>
              <w:tc>
                <w:tcPr>
                  <w:tcW w:w="866" w:type="pct"/>
                  <w:vAlign w:val="center"/>
                </w:tcPr>
                <w:p w14:paraId="337B9BF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41</w:t>
                  </w:r>
                </w:p>
              </w:tc>
              <w:tc>
                <w:tcPr>
                  <w:tcW w:w="930" w:type="pct"/>
                  <w:vAlign w:val="center"/>
                </w:tcPr>
                <w:p w14:paraId="212751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D97C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1B218B1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restart"/>
                  <w:vAlign w:val="center"/>
                </w:tcPr>
                <w:p w14:paraId="6F3F697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2024.8.28</w:t>
                  </w:r>
                </w:p>
              </w:tc>
              <w:tc>
                <w:tcPr>
                  <w:tcW w:w="896" w:type="pct"/>
                  <w:vAlign w:val="center"/>
                </w:tcPr>
                <w:p w14:paraId="2707805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4.62</w:t>
                  </w:r>
                </w:p>
              </w:tc>
              <w:tc>
                <w:tcPr>
                  <w:tcW w:w="929" w:type="pct"/>
                  <w:vAlign w:val="center"/>
                </w:tcPr>
                <w:p w14:paraId="1BBDB3C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w:t>
                  </w:r>
                </w:p>
              </w:tc>
              <w:tc>
                <w:tcPr>
                  <w:tcW w:w="866" w:type="pct"/>
                  <w:vAlign w:val="center"/>
                </w:tcPr>
                <w:p w14:paraId="0A738B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44</w:t>
                  </w:r>
                </w:p>
              </w:tc>
              <w:tc>
                <w:tcPr>
                  <w:tcW w:w="930" w:type="pct"/>
                  <w:vAlign w:val="center"/>
                </w:tcPr>
                <w:p w14:paraId="53DF846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B7DF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7365C9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3FE712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63E9056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5.24</w:t>
                  </w:r>
                </w:p>
              </w:tc>
              <w:tc>
                <w:tcPr>
                  <w:tcW w:w="929" w:type="pct"/>
                  <w:vAlign w:val="center"/>
                </w:tcPr>
                <w:p w14:paraId="10E76A1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w:t>
                  </w:r>
                </w:p>
              </w:tc>
              <w:tc>
                <w:tcPr>
                  <w:tcW w:w="866" w:type="pct"/>
                  <w:vAlign w:val="center"/>
                </w:tcPr>
                <w:p w14:paraId="18D74D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43</w:t>
                  </w:r>
                </w:p>
              </w:tc>
              <w:tc>
                <w:tcPr>
                  <w:tcW w:w="930" w:type="pct"/>
                  <w:vAlign w:val="center"/>
                </w:tcPr>
                <w:p w14:paraId="4A835E0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555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426A1C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restart"/>
                  <w:vAlign w:val="center"/>
                </w:tcPr>
                <w:p w14:paraId="501EE7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2024.8.29</w:t>
                  </w:r>
                </w:p>
              </w:tc>
              <w:tc>
                <w:tcPr>
                  <w:tcW w:w="896" w:type="pct"/>
                  <w:vAlign w:val="center"/>
                </w:tcPr>
                <w:p w14:paraId="26851E9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3.96</w:t>
                  </w:r>
                </w:p>
              </w:tc>
              <w:tc>
                <w:tcPr>
                  <w:tcW w:w="929" w:type="pct"/>
                  <w:vAlign w:val="center"/>
                </w:tcPr>
                <w:p w14:paraId="0EF4CFB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18</w:t>
                  </w:r>
                </w:p>
              </w:tc>
              <w:tc>
                <w:tcPr>
                  <w:tcW w:w="866" w:type="pct"/>
                  <w:vAlign w:val="center"/>
                </w:tcPr>
                <w:p w14:paraId="0AD68B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40</w:t>
                  </w:r>
                </w:p>
              </w:tc>
              <w:tc>
                <w:tcPr>
                  <w:tcW w:w="930" w:type="pct"/>
                  <w:vAlign w:val="center"/>
                </w:tcPr>
                <w:p w14:paraId="5153CBE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F1CA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4F4CD6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66B52E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73850B8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3.73</w:t>
                  </w:r>
                </w:p>
              </w:tc>
              <w:tc>
                <w:tcPr>
                  <w:tcW w:w="929" w:type="pct"/>
                  <w:vAlign w:val="center"/>
                </w:tcPr>
                <w:p w14:paraId="0C88ABE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18</w:t>
                  </w:r>
                </w:p>
              </w:tc>
              <w:tc>
                <w:tcPr>
                  <w:tcW w:w="866" w:type="pct"/>
                  <w:vAlign w:val="center"/>
                </w:tcPr>
                <w:p w14:paraId="060BC7B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44</w:t>
                  </w:r>
                </w:p>
              </w:tc>
              <w:tc>
                <w:tcPr>
                  <w:tcW w:w="930" w:type="pct"/>
                  <w:vAlign w:val="center"/>
                </w:tcPr>
                <w:p w14:paraId="69CC1CF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9492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restart"/>
                  <w:vAlign w:val="center"/>
                </w:tcPr>
                <w:p w14:paraId="5D32C3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W2</w:t>
                  </w:r>
                </w:p>
              </w:tc>
              <w:tc>
                <w:tcPr>
                  <w:tcW w:w="918" w:type="pct"/>
                  <w:vMerge w:val="restart"/>
                  <w:vAlign w:val="center"/>
                </w:tcPr>
                <w:p w14:paraId="0229B90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2024.8.27</w:t>
                  </w:r>
                </w:p>
              </w:tc>
              <w:tc>
                <w:tcPr>
                  <w:tcW w:w="896" w:type="pct"/>
                  <w:vAlign w:val="center"/>
                </w:tcPr>
                <w:p w14:paraId="66EC340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4.74</w:t>
                  </w:r>
                </w:p>
              </w:tc>
              <w:tc>
                <w:tcPr>
                  <w:tcW w:w="929" w:type="pct"/>
                  <w:vAlign w:val="center"/>
                </w:tcPr>
                <w:p w14:paraId="5F89CE5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w:t>
                  </w:r>
                </w:p>
              </w:tc>
              <w:tc>
                <w:tcPr>
                  <w:tcW w:w="866" w:type="pct"/>
                  <w:vAlign w:val="center"/>
                </w:tcPr>
                <w:p w14:paraId="2706FC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39</w:t>
                  </w:r>
                </w:p>
              </w:tc>
              <w:tc>
                <w:tcPr>
                  <w:tcW w:w="930" w:type="pct"/>
                  <w:vAlign w:val="center"/>
                </w:tcPr>
                <w:p w14:paraId="1993986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1142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5A58ECD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6037E55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1601D60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4.42</w:t>
                  </w:r>
                </w:p>
              </w:tc>
              <w:tc>
                <w:tcPr>
                  <w:tcW w:w="929" w:type="pct"/>
                  <w:vAlign w:val="center"/>
                </w:tcPr>
                <w:p w14:paraId="16AF804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w:t>
                  </w:r>
                </w:p>
              </w:tc>
              <w:tc>
                <w:tcPr>
                  <w:tcW w:w="866" w:type="pct"/>
                  <w:vAlign w:val="center"/>
                </w:tcPr>
                <w:p w14:paraId="516AEF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38</w:t>
                  </w:r>
                </w:p>
              </w:tc>
              <w:tc>
                <w:tcPr>
                  <w:tcW w:w="930" w:type="pct"/>
                  <w:vAlign w:val="center"/>
                </w:tcPr>
                <w:p w14:paraId="6266F7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AB27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02A77A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restart"/>
                  <w:vAlign w:val="center"/>
                </w:tcPr>
                <w:p w14:paraId="456BCD8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2024.8.28</w:t>
                  </w:r>
                </w:p>
              </w:tc>
              <w:tc>
                <w:tcPr>
                  <w:tcW w:w="896" w:type="pct"/>
                  <w:vAlign w:val="center"/>
                </w:tcPr>
                <w:p w14:paraId="066BC63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5.32</w:t>
                  </w:r>
                </w:p>
              </w:tc>
              <w:tc>
                <w:tcPr>
                  <w:tcW w:w="929" w:type="pct"/>
                  <w:vAlign w:val="center"/>
                </w:tcPr>
                <w:p w14:paraId="11BE23E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19</w:t>
                  </w:r>
                </w:p>
              </w:tc>
              <w:tc>
                <w:tcPr>
                  <w:tcW w:w="866" w:type="pct"/>
                  <w:vAlign w:val="center"/>
                </w:tcPr>
                <w:p w14:paraId="0649167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42</w:t>
                  </w:r>
                </w:p>
              </w:tc>
              <w:tc>
                <w:tcPr>
                  <w:tcW w:w="930" w:type="pct"/>
                  <w:vAlign w:val="center"/>
                </w:tcPr>
                <w:p w14:paraId="75CFAF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4E1C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09BEFD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10F83E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0E0958E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5.66</w:t>
                  </w:r>
                </w:p>
              </w:tc>
              <w:tc>
                <w:tcPr>
                  <w:tcW w:w="929" w:type="pct"/>
                  <w:vAlign w:val="center"/>
                </w:tcPr>
                <w:p w14:paraId="688408E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w:t>
                  </w:r>
                </w:p>
              </w:tc>
              <w:tc>
                <w:tcPr>
                  <w:tcW w:w="866" w:type="pct"/>
                  <w:vAlign w:val="center"/>
                </w:tcPr>
                <w:p w14:paraId="6BE0DC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41</w:t>
                  </w:r>
                </w:p>
              </w:tc>
              <w:tc>
                <w:tcPr>
                  <w:tcW w:w="930" w:type="pct"/>
                  <w:vAlign w:val="center"/>
                </w:tcPr>
                <w:p w14:paraId="012B7AC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53AB9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103C4CA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restart"/>
                  <w:vAlign w:val="center"/>
                </w:tcPr>
                <w:p w14:paraId="15E2E19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2024.8.29</w:t>
                  </w:r>
                </w:p>
              </w:tc>
              <w:tc>
                <w:tcPr>
                  <w:tcW w:w="896" w:type="pct"/>
                  <w:vAlign w:val="center"/>
                </w:tcPr>
                <w:p w14:paraId="4895C7D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4.3</w:t>
                  </w:r>
                </w:p>
              </w:tc>
              <w:tc>
                <w:tcPr>
                  <w:tcW w:w="929" w:type="pct"/>
                  <w:vAlign w:val="center"/>
                </w:tcPr>
                <w:p w14:paraId="4A09FDF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17</w:t>
                  </w:r>
                </w:p>
              </w:tc>
              <w:tc>
                <w:tcPr>
                  <w:tcW w:w="866" w:type="pct"/>
                  <w:vAlign w:val="center"/>
                </w:tcPr>
                <w:p w14:paraId="016B19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38</w:t>
                  </w:r>
                </w:p>
              </w:tc>
              <w:tc>
                <w:tcPr>
                  <w:tcW w:w="930" w:type="pct"/>
                  <w:vAlign w:val="center"/>
                </w:tcPr>
                <w:p w14:paraId="4A2F86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0707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1" w:type="pct"/>
                  <w:vMerge w:val="continue"/>
                  <w:vAlign w:val="center"/>
                </w:tcPr>
                <w:p w14:paraId="542DB37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8" w:type="pct"/>
                  <w:vMerge w:val="continue"/>
                  <w:vAlign w:val="center"/>
                </w:tcPr>
                <w:p w14:paraId="46F347A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96" w:type="pct"/>
                  <w:vAlign w:val="center"/>
                </w:tcPr>
                <w:p w14:paraId="54ADA77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4.54</w:t>
                  </w:r>
                </w:p>
              </w:tc>
              <w:tc>
                <w:tcPr>
                  <w:tcW w:w="929" w:type="pct"/>
                  <w:vAlign w:val="center"/>
                </w:tcPr>
                <w:p w14:paraId="5F5CBC6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19</w:t>
                  </w:r>
                </w:p>
              </w:tc>
              <w:tc>
                <w:tcPr>
                  <w:tcW w:w="866" w:type="pct"/>
                  <w:vAlign w:val="center"/>
                </w:tcPr>
                <w:p w14:paraId="60DB69B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37</w:t>
                  </w:r>
                </w:p>
              </w:tc>
              <w:tc>
                <w:tcPr>
                  <w:tcW w:w="930" w:type="pct"/>
                  <w:vAlign w:val="center"/>
                </w:tcPr>
                <w:p w14:paraId="0117FEC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26B9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79" w:type="pct"/>
                  <w:gridSpan w:val="2"/>
                  <w:vAlign w:val="center"/>
                </w:tcPr>
                <w:p w14:paraId="685F7D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Ⅲ类标准</w:t>
                  </w:r>
                </w:p>
              </w:tc>
              <w:tc>
                <w:tcPr>
                  <w:tcW w:w="896" w:type="pct"/>
                  <w:vAlign w:val="center"/>
                </w:tcPr>
                <w:p w14:paraId="7BFBF77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w:t>
                  </w:r>
                </w:p>
              </w:tc>
              <w:tc>
                <w:tcPr>
                  <w:tcW w:w="929" w:type="pct"/>
                  <w:vAlign w:val="center"/>
                </w:tcPr>
                <w:p w14:paraId="73A1EBD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w:t>
                  </w:r>
                </w:p>
              </w:tc>
              <w:tc>
                <w:tcPr>
                  <w:tcW w:w="866" w:type="pct"/>
                  <w:vAlign w:val="center"/>
                </w:tcPr>
                <w:p w14:paraId="40C0BDE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930" w:type="pct"/>
                  <w:vAlign w:val="center"/>
                </w:tcPr>
                <w:p w14:paraId="3E6BDE3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bl>
          <w:p w14:paraId="45F86792">
            <w:pPr>
              <w:pStyle w:val="165"/>
              <w:keepNext w:val="0"/>
              <w:keepLines w:val="0"/>
              <w:suppressLineNumbers w:val="0"/>
              <w:spacing w:before="0" w:beforeAutospacing="0" w:after="0" w:afterAutospacing="0" w:line="400" w:lineRule="exact"/>
              <w:ind w:left="0" w:right="0"/>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备注：</w:t>
            </w:r>
            <w:r>
              <w:rPr>
                <w:rFonts w:hint="default" w:ascii="Times New Roman" w:hAnsi="Times New Roman" w:eastAsia="仿宋_GB2312" w:cs="Times New Roman"/>
                <w:color w:val="auto"/>
                <w:szCs w:val="21"/>
                <w:lang w:val="en-US"/>
              </w:rPr>
              <w:t>pH无量纲，叶绿素a单位为ug/L，透明度单位为cm</w:t>
            </w:r>
            <w:r>
              <w:rPr>
                <w:rFonts w:hint="default" w:ascii="Times New Roman" w:hAnsi="Times New Roman" w:eastAsia="仿宋_GB2312" w:cs="Times New Roman"/>
                <w:color w:val="auto"/>
                <w:szCs w:val="21"/>
              </w:rPr>
              <w:t>。</w:t>
            </w:r>
          </w:p>
          <w:p w14:paraId="665107E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color w:val="auto"/>
                <w:kern w:val="0"/>
                <w:sz w:val="22"/>
                <w:szCs w:val="22"/>
              </w:rPr>
            </w:pPr>
            <w:r>
              <w:rPr>
                <w:rFonts w:hint="default" w:ascii="Times New Roman" w:hAnsi="Times New Roman" w:eastAsia="仿宋_GB2312" w:cs="Times New Roman"/>
                <w:b/>
                <w:color w:val="auto"/>
                <w:kern w:val="0"/>
                <w:sz w:val="22"/>
                <w:szCs w:val="22"/>
              </w:rPr>
              <w:t>表</w:t>
            </w:r>
            <w:r>
              <w:rPr>
                <w:rFonts w:hint="eastAsia" w:eastAsia="仿宋_GB2312" w:cs="Times New Roman"/>
                <w:b/>
                <w:color w:val="auto"/>
                <w:kern w:val="0"/>
                <w:sz w:val="22"/>
                <w:szCs w:val="22"/>
                <w:lang w:val="en-US" w:eastAsia="zh-CN"/>
              </w:rPr>
              <w:t>3-11</w:t>
            </w:r>
            <w:r>
              <w:rPr>
                <w:rFonts w:hint="default" w:ascii="Times New Roman" w:hAnsi="Times New Roman" w:eastAsia="仿宋_GB2312" w:cs="Times New Roman"/>
                <w:b/>
                <w:color w:val="auto"/>
                <w:kern w:val="0"/>
                <w:sz w:val="22"/>
                <w:szCs w:val="22"/>
              </w:rPr>
              <w:t xml:space="preserve">   水温监测结果统计表      单位:℃</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951"/>
              <w:gridCol w:w="2223"/>
              <w:gridCol w:w="2227"/>
              <w:gridCol w:w="2230"/>
            </w:tblGrid>
            <w:tr w14:paraId="1AEFD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restart"/>
                  <w:vAlign w:val="center"/>
                </w:tcPr>
                <w:p w14:paraId="557DEC6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断面</w:t>
                  </w:r>
                </w:p>
              </w:tc>
              <w:tc>
                <w:tcPr>
                  <w:tcW w:w="919" w:type="pct"/>
                  <w:vMerge w:val="restart"/>
                  <w:vAlign w:val="center"/>
                </w:tcPr>
                <w:p w14:paraId="29088A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监测频次</w:t>
                  </w:r>
                </w:p>
              </w:tc>
              <w:tc>
                <w:tcPr>
                  <w:tcW w:w="3146" w:type="pct"/>
                  <w:gridSpan w:val="3"/>
                  <w:vAlign w:val="center"/>
                </w:tcPr>
                <w:p w14:paraId="1AA8545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监测日期</w:t>
                  </w:r>
                </w:p>
              </w:tc>
            </w:tr>
            <w:tr w14:paraId="18A69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continue"/>
                  <w:vAlign w:val="center"/>
                </w:tcPr>
                <w:p w14:paraId="733EAB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9" w:type="pct"/>
                  <w:vMerge w:val="continue"/>
                  <w:vAlign w:val="center"/>
                </w:tcPr>
                <w:p w14:paraId="3F00686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47" w:type="pct"/>
                  <w:vAlign w:val="center"/>
                </w:tcPr>
                <w:p w14:paraId="05DDA7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2024.8.27</w:t>
                  </w:r>
                </w:p>
              </w:tc>
              <w:tc>
                <w:tcPr>
                  <w:tcW w:w="1049" w:type="pct"/>
                  <w:vAlign w:val="center"/>
                </w:tcPr>
                <w:p w14:paraId="721ECF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2024.8.28</w:t>
                  </w:r>
                </w:p>
              </w:tc>
              <w:tc>
                <w:tcPr>
                  <w:tcW w:w="1050" w:type="pct"/>
                  <w:vAlign w:val="center"/>
                </w:tcPr>
                <w:p w14:paraId="0A355C4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2024.8.29</w:t>
                  </w:r>
                </w:p>
              </w:tc>
            </w:tr>
            <w:tr w14:paraId="711E3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restart"/>
                  <w:vAlign w:val="center"/>
                </w:tcPr>
                <w:p w14:paraId="2AA434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W1</w:t>
                  </w:r>
                </w:p>
              </w:tc>
              <w:tc>
                <w:tcPr>
                  <w:tcW w:w="919" w:type="pct"/>
                  <w:vAlign w:val="center"/>
                </w:tcPr>
                <w:p w14:paraId="1533D9D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第一次</w:t>
                  </w:r>
                </w:p>
              </w:tc>
              <w:tc>
                <w:tcPr>
                  <w:tcW w:w="1047" w:type="pct"/>
                  <w:vAlign w:val="center"/>
                </w:tcPr>
                <w:p w14:paraId="6B2399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29.8</w:t>
                  </w:r>
                </w:p>
              </w:tc>
              <w:tc>
                <w:tcPr>
                  <w:tcW w:w="1049" w:type="pct"/>
                  <w:vAlign w:val="center"/>
                </w:tcPr>
                <w:p w14:paraId="4137F71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29.2</w:t>
                  </w:r>
                </w:p>
              </w:tc>
              <w:tc>
                <w:tcPr>
                  <w:tcW w:w="1050" w:type="pct"/>
                  <w:vAlign w:val="center"/>
                </w:tcPr>
                <w:p w14:paraId="6A6C47C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26.4</w:t>
                  </w:r>
                </w:p>
              </w:tc>
            </w:tr>
            <w:tr w14:paraId="610E6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continue"/>
                  <w:vAlign w:val="center"/>
                </w:tcPr>
                <w:p w14:paraId="0297AC2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9" w:type="pct"/>
                  <w:vAlign w:val="center"/>
                </w:tcPr>
                <w:p w14:paraId="2DC26FF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第二次</w:t>
                  </w:r>
                </w:p>
              </w:tc>
              <w:tc>
                <w:tcPr>
                  <w:tcW w:w="1047" w:type="pct"/>
                  <w:vAlign w:val="center"/>
                </w:tcPr>
                <w:p w14:paraId="447F1A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30.6</w:t>
                  </w:r>
                </w:p>
              </w:tc>
              <w:tc>
                <w:tcPr>
                  <w:tcW w:w="1049" w:type="pct"/>
                  <w:vAlign w:val="center"/>
                </w:tcPr>
                <w:p w14:paraId="65A3C44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30.0</w:t>
                  </w:r>
                </w:p>
              </w:tc>
              <w:tc>
                <w:tcPr>
                  <w:tcW w:w="1050" w:type="pct"/>
                  <w:vAlign w:val="center"/>
                </w:tcPr>
                <w:p w14:paraId="54D3A4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30.4</w:t>
                  </w:r>
                </w:p>
              </w:tc>
            </w:tr>
            <w:tr w14:paraId="79418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continue"/>
                  <w:vAlign w:val="center"/>
                </w:tcPr>
                <w:p w14:paraId="055BE0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9" w:type="pct"/>
                  <w:vAlign w:val="center"/>
                </w:tcPr>
                <w:p w14:paraId="7CF8019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第三次</w:t>
                  </w:r>
                </w:p>
              </w:tc>
              <w:tc>
                <w:tcPr>
                  <w:tcW w:w="1047" w:type="pct"/>
                  <w:vAlign w:val="center"/>
                </w:tcPr>
                <w:p w14:paraId="7B36C87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30.4</w:t>
                  </w:r>
                </w:p>
              </w:tc>
              <w:tc>
                <w:tcPr>
                  <w:tcW w:w="1049" w:type="pct"/>
                  <w:vAlign w:val="center"/>
                </w:tcPr>
                <w:p w14:paraId="47E54EA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29.6</w:t>
                  </w:r>
                </w:p>
              </w:tc>
              <w:tc>
                <w:tcPr>
                  <w:tcW w:w="1050" w:type="pct"/>
                  <w:vAlign w:val="center"/>
                </w:tcPr>
                <w:p w14:paraId="126636A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29.2</w:t>
                  </w:r>
                </w:p>
              </w:tc>
            </w:tr>
            <w:tr w14:paraId="69EF3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continue"/>
                  <w:vAlign w:val="center"/>
                </w:tcPr>
                <w:p w14:paraId="4733EDF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9" w:type="pct"/>
                  <w:vAlign w:val="center"/>
                </w:tcPr>
                <w:p w14:paraId="5436C97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第四次</w:t>
                  </w:r>
                </w:p>
              </w:tc>
              <w:tc>
                <w:tcPr>
                  <w:tcW w:w="1047" w:type="pct"/>
                  <w:vAlign w:val="center"/>
                </w:tcPr>
                <w:p w14:paraId="4A8ED9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30.0</w:t>
                  </w:r>
                </w:p>
              </w:tc>
              <w:tc>
                <w:tcPr>
                  <w:tcW w:w="1049" w:type="pct"/>
                  <w:vAlign w:val="center"/>
                </w:tcPr>
                <w:p w14:paraId="5E59C4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29.0</w:t>
                  </w:r>
                </w:p>
              </w:tc>
              <w:tc>
                <w:tcPr>
                  <w:tcW w:w="1050" w:type="pct"/>
                  <w:vAlign w:val="center"/>
                </w:tcPr>
                <w:p w14:paraId="4E3EECE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27.2</w:t>
                  </w:r>
                </w:p>
              </w:tc>
            </w:tr>
            <w:tr w14:paraId="59A96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restart"/>
                  <w:vAlign w:val="center"/>
                </w:tcPr>
                <w:p w14:paraId="05274C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W2</w:t>
                  </w:r>
                </w:p>
              </w:tc>
              <w:tc>
                <w:tcPr>
                  <w:tcW w:w="919" w:type="pct"/>
                  <w:vAlign w:val="center"/>
                </w:tcPr>
                <w:p w14:paraId="1B6C299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第一次</w:t>
                  </w:r>
                </w:p>
              </w:tc>
              <w:tc>
                <w:tcPr>
                  <w:tcW w:w="1047" w:type="pct"/>
                  <w:vAlign w:val="center"/>
                </w:tcPr>
                <w:p w14:paraId="7B0B887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29.2</w:t>
                  </w:r>
                </w:p>
              </w:tc>
              <w:tc>
                <w:tcPr>
                  <w:tcW w:w="1049" w:type="pct"/>
                  <w:vAlign w:val="center"/>
                </w:tcPr>
                <w:p w14:paraId="7FDB8AD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29.0</w:t>
                  </w:r>
                </w:p>
              </w:tc>
              <w:tc>
                <w:tcPr>
                  <w:tcW w:w="1050" w:type="pct"/>
                  <w:vAlign w:val="center"/>
                </w:tcPr>
                <w:p w14:paraId="5F5803D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26.2</w:t>
                  </w:r>
                </w:p>
              </w:tc>
            </w:tr>
            <w:tr w14:paraId="648ED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continue"/>
                  <w:vAlign w:val="center"/>
                </w:tcPr>
                <w:p w14:paraId="1DF06FA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9" w:type="pct"/>
                  <w:vAlign w:val="center"/>
                </w:tcPr>
                <w:p w14:paraId="1B4FE4E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第二次</w:t>
                  </w:r>
                </w:p>
              </w:tc>
              <w:tc>
                <w:tcPr>
                  <w:tcW w:w="1047" w:type="pct"/>
                  <w:vAlign w:val="center"/>
                </w:tcPr>
                <w:p w14:paraId="425A59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30.0</w:t>
                  </w:r>
                </w:p>
              </w:tc>
              <w:tc>
                <w:tcPr>
                  <w:tcW w:w="1049" w:type="pct"/>
                  <w:vAlign w:val="center"/>
                </w:tcPr>
                <w:p w14:paraId="5A36F20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29.8</w:t>
                  </w:r>
                </w:p>
              </w:tc>
              <w:tc>
                <w:tcPr>
                  <w:tcW w:w="1050" w:type="pct"/>
                  <w:vAlign w:val="center"/>
                </w:tcPr>
                <w:p w14:paraId="288B15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30.2</w:t>
                  </w:r>
                </w:p>
              </w:tc>
            </w:tr>
            <w:tr w14:paraId="239D1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continue"/>
                  <w:vAlign w:val="center"/>
                </w:tcPr>
                <w:p w14:paraId="7E1AABA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9" w:type="pct"/>
                  <w:vAlign w:val="center"/>
                </w:tcPr>
                <w:p w14:paraId="1B80E1E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第三次</w:t>
                  </w:r>
                </w:p>
              </w:tc>
              <w:tc>
                <w:tcPr>
                  <w:tcW w:w="1047" w:type="pct"/>
                  <w:vAlign w:val="center"/>
                </w:tcPr>
                <w:p w14:paraId="4E0EA7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29.8</w:t>
                  </w:r>
                </w:p>
              </w:tc>
              <w:tc>
                <w:tcPr>
                  <w:tcW w:w="1049" w:type="pct"/>
                  <w:vAlign w:val="center"/>
                </w:tcPr>
                <w:p w14:paraId="714CCC6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29.6</w:t>
                  </w:r>
                </w:p>
              </w:tc>
              <w:tc>
                <w:tcPr>
                  <w:tcW w:w="1050" w:type="pct"/>
                  <w:vAlign w:val="center"/>
                </w:tcPr>
                <w:p w14:paraId="6FA2FB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29.4</w:t>
                  </w:r>
                </w:p>
              </w:tc>
            </w:tr>
            <w:tr w14:paraId="73BFD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5" w:type="pct"/>
                  <w:vMerge w:val="continue"/>
                  <w:vAlign w:val="center"/>
                </w:tcPr>
                <w:p w14:paraId="079FB7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919" w:type="pct"/>
                  <w:vAlign w:val="center"/>
                </w:tcPr>
                <w:p w14:paraId="4384153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第四次</w:t>
                  </w:r>
                </w:p>
              </w:tc>
              <w:tc>
                <w:tcPr>
                  <w:tcW w:w="1047" w:type="pct"/>
                  <w:vAlign w:val="center"/>
                </w:tcPr>
                <w:p w14:paraId="50C3EF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29.4</w:t>
                  </w:r>
                </w:p>
              </w:tc>
              <w:tc>
                <w:tcPr>
                  <w:tcW w:w="1049" w:type="pct"/>
                  <w:vAlign w:val="center"/>
                </w:tcPr>
                <w:p w14:paraId="0FB2A8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28.8</w:t>
                  </w:r>
                </w:p>
              </w:tc>
              <w:tc>
                <w:tcPr>
                  <w:tcW w:w="1050" w:type="pct"/>
                  <w:vAlign w:val="center"/>
                </w:tcPr>
                <w:p w14:paraId="67FA80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27.4</w:t>
                  </w:r>
                </w:p>
              </w:tc>
            </w:tr>
          </w:tbl>
          <w:p w14:paraId="0E3F22E7">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eastAsia" w:ascii="Times New Roman" w:hAnsi="Times New Roman" w:eastAsia="仿宋_GB2312" w:cs="Times New Roman"/>
                <w:color w:val="auto"/>
                <w:kern w:val="0"/>
                <w:sz w:val="24"/>
                <w:lang w:bidi="ar"/>
              </w:rPr>
              <w:t>3、声环境质量现状</w:t>
            </w:r>
          </w:p>
          <w:p w14:paraId="250D90B0">
            <w:pPr>
              <w:keepNext w:val="0"/>
              <w:keepLines w:val="0"/>
              <w:suppressLineNumbers w:val="0"/>
              <w:spacing w:before="0" w:beforeAutospacing="0" w:after="0" w:afterAutospacing="0" w:line="500" w:lineRule="exact"/>
              <w:ind w:left="0" w:right="0" w:firstLine="480" w:firstLineChars="200"/>
              <w:contextualSpacing/>
              <w:rPr>
                <w:rFonts w:hint="default" w:ascii="Times New Roman" w:hAnsi="Times New Roman" w:eastAsia="仿宋_GB2312" w:cs="Times New Roman"/>
                <w:color w:val="auto"/>
                <w:kern w:val="0"/>
                <w:sz w:val="24"/>
                <w:lang w:bidi="ar"/>
              </w:rPr>
            </w:pPr>
            <w:r>
              <w:rPr>
                <w:rFonts w:hint="eastAsia" w:ascii="Times New Roman" w:hAnsi="Times New Roman" w:eastAsia="仿宋_GB2312" w:cs="Times New Roman"/>
                <w:color w:val="auto"/>
                <w:kern w:val="0"/>
                <w:sz w:val="24"/>
                <w:lang w:bidi="ar"/>
              </w:rPr>
              <w:t>根据江苏科发检测技术有限公司出具的监测报告（2</w:t>
            </w:r>
            <w:r>
              <w:rPr>
                <w:rFonts w:hint="default" w:ascii="Times New Roman" w:hAnsi="Times New Roman" w:eastAsia="仿宋_GB2312" w:cs="Times New Roman"/>
                <w:color w:val="auto"/>
                <w:kern w:val="0"/>
                <w:sz w:val="24"/>
                <w:lang w:bidi="ar"/>
              </w:rPr>
              <w:t>024</w:t>
            </w:r>
            <w:r>
              <w:rPr>
                <w:rFonts w:hint="eastAsia" w:ascii="Times New Roman" w:hAnsi="Times New Roman" w:eastAsia="仿宋_GB2312" w:cs="Times New Roman"/>
                <w:color w:val="auto"/>
                <w:kern w:val="0"/>
                <w:sz w:val="24"/>
                <w:lang w:bidi="ar"/>
              </w:rPr>
              <w:t>）科检（环）字第（C</w:t>
            </w:r>
            <w:r>
              <w:rPr>
                <w:rFonts w:hint="default" w:ascii="Times New Roman" w:hAnsi="Times New Roman" w:eastAsia="仿宋_GB2312" w:cs="Times New Roman"/>
                <w:color w:val="auto"/>
                <w:kern w:val="0"/>
                <w:sz w:val="24"/>
                <w:lang w:bidi="ar"/>
              </w:rPr>
              <w:t>-118</w:t>
            </w:r>
            <w:r>
              <w:rPr>
                <w:rFonts w:hint="eastAsia" w:ascii="Times New Roman" w:hAnsi="Times New Roman" w:eastAsia="仿宋_GB2312" w:cs="Times New Roman"/>
                <w:color w:val="auto"/>
                <w:kern w:val="0"/>
                <w:sz w:val="24"/>
                <w:lang w:bidi="ar"/>
              </w:rPr>
              <w:t>）号，监测结果见下表。</w:t>
            </w:r>
          </w:p>
          <w:p w14:paraId="3DCBA2D2">
            <w:pPr>
              <w:keepNext/>
              <w:keepLines w:val="0"/>
              <w:widowControl/>
              <w:suppressLineNumbers w:val="0"/>
              <w:spacing w:before="0" w:beforeAutospacing="0" w:after="0" w:afterAutospacing="0" w:line="500" w:lineRule="exact"/>
              <w:ind w:left="0" w:right="0"/>
              <w:contextualSpacing/>
              <w:jc w:val="center"/>
              <w:rPr>
                <w:rFonts w:hint="default" w:ascii="Times New Roman" w:hAnsi="Times New Roman" w:eastAsia="仿宋_GB2312" w:cs="Times New Roman"/>
                <w:b/>
                <w:color w:val="auto"/>
                <w:kern w:val="0"/>
                <w:sz w:val="22"/>
                <w:szCs w:val="22"/>
              </w:rPr>
            </w:pPr>
            <w:r>
              <w:rPr>
                <w:rFonts w:hint="eastAsia" w:ascii="Times New Roman" w:hAnsi="Times New Roman" w:eastAsia="仿宋_GB2312" w:cs="Times New Roman"/>
                <w:b/>
                <w:color w:val="auto"/>
                <w:kern w:val="0"/>
                <w:sz w:val="22"/>
                <w:szCs w:val="22"/>
              </w:rPr>
              <w:t>表</w:t>
            </w:r>
            <w:r>
              <w:rPr>
                <w:rFonts w:hint="eastAsia" w:eastAsia="仿宋_GB2312" w:cs="Times New Roman"/>
                <w:b/>
                <w:color w:val="auto"/>
                <w:kern w:val="0"/>
                <w:sz w:val="22"/>
                <w:szCs w:val="22"/>
                <w:lang w:val="en-US" w:eastAsia="zh-CN"/>
              </w:rPr>
              <w:t>3-12</w:t>
            </w:r>
            <w:r>
              <w:rPr>
                <w:rFonts w:hint="default" w:ascii="Times New Roman" w:hAnsi="Times New Roman" w:eastAsia="仿宋_GB2312" w:cs="Times New Roman"/>
                <w:b/>
                <w:color w:val="auto"/>
                <w:kern w:val="0"/>
                <w:sz w:val="22"/>
                <w:szCs w:val="22"/>
              </w:rPr>
              <w:t xml:space="preserve">    </w:t>
            </w:r>
            <w:r>
              <w:rPr>
                <w:rFonts w:hint="eastAsia" w:ascii="Times New Roman" w:hAnsi="Times New Roman" w:eastAsia="仿宋_GB2312" w:cs="Times New Roman"/>
                <w:b/>
                <w:color w:val="auto"/>
                <w:kern w:val="0"/>
                <w:sz w:val="22"/>
                <w:szCs w:val="22"/>
              </w:rPr>
              <w:t xml:space="preserve">噪声监测结果 </w:t>
            </w:r>
            <w:r>
              <w:rPr>
                <w:rFonts w:hint="default" w:ascii="Times New Roman" w:hAnsi="Times New Roman" w:eastAsia="仿宋_GB2312" w:cs="Times New Roman"/>
                <w:b/>
                <w:color w:val="auto"/>
                <w:kern w:val="0"/>
                <w:sz w:val="22"/>
                <w:szCs w:val="22"/>
              </w:rPr>
              <w:t xml:space="preserve">       </w:t>
            </w:r>
            <w:r>
              <w:rPr>
                <w:rFonts w:hint="eastAsia" w:ascii="Times New Roman" w:hAnsi="Times New Roman" w:eastAsia="仿宋_GB2312" w:cs="Times New Roman"/>
                <w:b/>
                <w:color w:val="auto"/>
                <w:kern w:val="0"/>
                <w:sz w:val="22"/>
                <w:szCs w:val="22"/>
              </w:rPr>
              <w:t>单位：dB(A)</w:t>
            </w:r>
          </w:p>
          <w:tbl>
            <w:tblPr>
              <w:tblStyle w:val="1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489"/>
              <w:gridCol w:w="2653"/>
              <w:gridCol w:w="1936"/>
              <w:gridCol w:w="1527"/>
              <w:gridCol w:w="1539"/>
            </w:tblGrid>
            <w:tr w14:paraId="7D5B7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Align w:val="center"/>
                </w:tcPr>
                <w:p w14:paraId="3A1A6CA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监测点位</w:t>
                  </w:r>
                </w:p>
              </w:tc>
              <w:tc>
                <w:tcPr>
                  <w:tcW w:w="4142" w:type="dxa"/>
                  <w:gridSpan w:val="2"/>
                  <w:vAlign w:val="center"/>
                </w:tcPr>
                <w:p w14:paraId="36EF5BA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监测阶段</w:t>
                  </w:r>
                </w:p>
              </w:tc>
              <w:tc>
                <w:tcPr>
                  <w:tcW w:w="1936" w:type="dxa"/>
                  <w:vAlign w:val="center"/>
                </w:tcPr>
                <w:p w14:paraId="32ADDD7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监测值</w:t>
                  </w:r>
                </w:p>
              </w:tc>
              <w:tc>
                <w:tcPr>
                  <w:tcW w:w="1527" w:type="dxa"/>
                  <w:vAlign w:val="center"/>
                </w:tcPr>
                <w:p w14:paraId="274B20A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标准值</w:t>
                  </w:r>
                </w:p>
              </w:tc>
              <w:tc>
                <w:tcPr>
                  <w:tcW w:w="1539" w:type="dxa"/>
                  <w:vAlign w:val="center"/>
                </w:tcPr>
                <w:p w14:paraId="0E8C2F8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达标情况</w:t>
                  </w:r>
                </w:p>
              </w:tc>
            </w:tr>
            <w:tr w14:paraId="6C190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restart"/>
                  <w:vAlign w:val="center"/>
                </w:tcPr>
                <w:p w14:paraId="0925837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南厂界</w:t>
                  </w:r>
                </w:p>
                <w:p w14:paraId="0CDEE14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（N1）</w:t>
                  </w:r>
                </w:p>
              </w:tc>
              <w:tc>
                <w:tcPr>
                  <w:tcW w:w="1489" w:type="dxa"/>
                  <w:vMerge w:val="restart"/>
                  <w:vAlign w:val="center"/>
                </w:tcPr>
                <w:p w14:paraId="59679CF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昼间</w:t>
                  </w:r>
                </w:p>
              </w:tc>
              <w:tc>
                <w:tcPr>
                  <w:tcW w:w="2653" w:type="dxa"/>
                  <w:vAlign w:val="center"/>
                </w:tcPr>
                <w:p w14:paraId="1EECBF4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7</w:t>
                  </w:r>
                  <w:r>
                    <w:rPr>
                      <w:rFonts w:hint="eastAsia" w:ascii="Times New Roman" w:hAnsi="Times New Roman"/>
                      <w:color w:val="auto"/>
                      <w:szCs w:val="21"/>
                    </w:rPr>
                    <w:t>日</w:t>
                  </w:r>
                </w:p>
              </w:tc>
              <w:tc>
                <w:tcPr>
                  <w:tcW w:w="1936" w:type="dxa"/>
                  <w:vAlign w:val="center"/>
                </w:tcPr>
                <w:p w14:paraId="71327EE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szCs w:val="21"/>
                    </w:rPr>
                    <w:t>62</w:t>
                  </w:r>
                </w:p>
              </w:tc>
              <w:tc>
                <w:tcPr>
                  <w:tcW w:w="1527" w:type="dxa"/>
                  <w:vMerge w:val="restart"/>
                  <w:vAlign w:val="center"/>
                </w:tcPr>
                <w:p w14:paraId="3EBF1F2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7</w:t>
                  </w:r>
                  <w:r>
                    <w:rPr>
                      <w:rFonts w:hint="default" w:ascii="Times New Roman" w:hAnsi="Times New Roman"/>
                      <w:color w:val="auto"/>
                      <w:szCs w:val="21"/>
                    </w:rPr>
                    <w:t>0</w:t>
                  </w:r>
                </w:p>
              </w:tc>
              <w:tc>
                <w:tcPr>
                  <w:tcW w:w="1539" w:type="dxa"/>
                  <w:vAlign w:val="center"/>
                </w:tcPr>
                <w:p w14:paraId="2136A75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0BC26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3C111A0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continue"/>
                  <w:vAlign w:val="center"/>
                </w:tcPr>
                <w:p w14:paraId="0F13BB7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2653" w:type="dxa"/>
                  <w:vAlign w:val="center"/>
                </w:tcPr>
                <w:p w14:paraId="6D011D4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8</w:t>
                  </w:r>
                  <w:r>
                    <w:rPr>
                      <w:rFonts w:hint="eastAsia" w:ascii="Times New Roman" w:hAnsi="Times New Roman"/>
                      <w:color w:val="auto"/>
                      <w:szCs w:val="21"/>
                    </w:rPr>
                    <w:t>日</w:t>
                  </w:r>
                </w:p>
              </w:tc>
              <w:tc>
                <w:tcPr>
                  <w:tcW w:w="1936" w:type="dxa"/>
                  <w:vAlign w:val="center"/>
                </w:tcPr>
                <w:p w14:paraId="75F2CC6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6</w:t>
                  </w:r>
                  <w:r>
                    <w:rPr>
                      <w:rFonts w:hint="default" w:ascii="Times New Roman" w:hAnsi="Times New Roman"/>
                      <w:color w:val="auto"/>
                      <w:szCs w:val="21"/>
                    </w:rPr>
                    <w:t>3</w:t>
                  </w:r>
                </w:p>
              </w:tc>
              <w:tc>
                <w:tcPr>
                  <w:tcW w:w="1527" w:type="dxa"/>
                  <w:vMerge w:val="continue"/>
                  <w:vAlign w:val="center"/>
                </w:tcPr>
                <w:p w14:paraId="05D1E34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539" w:type="dxa"/>
                  <w:vAlign w:val="center"/>
                </w:tcPr>
                <w:p w14:paraId="6278DED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79BB3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3D609C0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restart"/>
                  <w:vAlign w:val="center"/>
                </w:tcPr>
                <w:p w14:paraId="1E1A9CC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夜间</w:t>
                  </w:r>
                </w:p>
              </w:tc>
              <w:tc>
                <w:tcPr>
                  <w:tcW w:w="2653" w:type="dxa"/>
                  <w:vAlign w:val="center"/>
                </w:tcPr>
                <w:p w14:paraId="63631D5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7</w:t>
                  </w:r>
                  <w:r>
                    <w:rPr>
                      <w:rFonts w:hint="eastAsia" w:ascii="Times New Roman" w:hAnsi="Times New Roman"/>
                      <w:color w:val="auto"/>
                      <w:szCs w:val="21"/>
                    </w:rPr>
                    <w:t>日</w:t>
                  </w:r>
                </w:p>
              </w:tc>
              <w:tc>
                <w:tcPr>
                  <w:tcW w:w="1936" w:type="dxa"/>
                  <w:vAlign w:val="center"/>
                </w:tcPr>
                <w:p w14:paraId="7247BBA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0</w:t>
                  </w:r>
                </w:p>
              </w:tc>
              <w:tc>
                <w:tcPr>
                  <w:tcW w:w="1527" w:type="dxa"/>
                  <w:vMerge w:val="restart"/>
                  <w:vAlign w:val="center"/>
                </w:tcPr>
                <w:p w14:paraId="2A88F75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5</w:t>
                  </w:r>
                </w:p>
              </w:tc>
              <w:tc>
                <w:tcPr>
                  <w:tcW w:w="1539" w:type="dxa"/>
                  <w:vAlign w:val="center"/>
                </w:tcPr>
                <w:p w14:paraId="450EAA0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02BB4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2D9162C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continue"/>
                  <w:vAlign w:val="center"/>
                </w:tcPr>
                <w:p w14:paraId="6D02409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2653" w:type="dxa"/>
                  <w:vAlign w:val="center"/>
                </w:tcPr>
                <w:p w14:paraId="77F67B4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8</w:t>
                  </w:r>
                  <w:r>
                    <w:rPr>
                      <w:rFonts w:hint="eastAsia" w:ascii="Times New Roman" w:hAnsi="Times New Roman"/>
                      <w:color w:val="auto"/>
                      <w:szCs w:val="21"/>
                    </w:rPr>
                    <w:t>日</w:t>
                  </w:r>
                </w:p>
              </w:tc>
              <w:tc>
                <w:tcPr>
                  <w:tcW w:w="1936" w:type="dxa"/>
                  <w:vAlign w:val="center"/>
                </w:tcPr>
                <w:p w14:paraId="6AB00E9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1</w:t>
                  </w:r>
                </w:p>
              </w:tc>
              <w:tc>
                <w:tcPr>
                  <w:tcW w:w="1527" w:type="dxa"/>
                  <w:vMerge w:val="continue"/>
                  <w:vAlign w:val="center"/>
                </w:tcPr>
                <w:p w14:paraId="0978F24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539" w:type="dxa"/>
                  <w:vAlign w:val="center"/>
                </w:tcPr>
                <w:p w14:paraId="37DF556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118E3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restart"/>
                  <w:vAlign w:val="center"/>
                </w:tcPr>
                <w:p w14:paraId="7B5150F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西厂界</w:t>
                  </w:r>
                </w:p>
                <w:p w14:paraId="30CAC40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（N</w:t>
                  </w:r>
                  <w:r>
                    <w:rPr>
                      <w:rFonts w:hint="default" w:ascii="Times New Roman" w:hAnsi="Times New Roman"/>
                      <w:color w:val="auto"/>
                      <w:szCs w:val="21"/>
                    </w:rPr>
                    <w:t>2</w:t>
                  </w:r>
                  <w:r>
                    <w:rPr>
                      <w:rFonts w:hint="eastAsia" w:ascii="Times New Roman" w:hAnsi="Times New Roman"/>
                      <w:color w:val="auto"/>
                      <w:szCs w:val="21"/>
                    </w:rPr>
                    <w:t>）</w:t>
                  </w:r>
                </w:p>
              </w:tc>
              <w:tc>
                <w:tcPr>
                  <w:tcW w:w="1489" w:type="dxa"/>
                  <w:vMerge w:val="restart"/>
                  <w:vAlign w:val="center"/>
                </w:tcPr>
                <w:p w14:paraId="1F4DAD1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昼间</w:t>
                  </w:r>
                </w:p>
              </w:tc>
              <w:tc>
                <w:tcPr>
                  <w:tcW w:w="2653" w:type="dxa"/>
                  <w:vAlign w:val="center"/>
                </w:tcPr>
                <w:p w14:paraId="706465E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7</w:t>
                  </w:r>
                  <w:r>
                    <w:rPr>
                      <w:rFonts w:hint="eastAsia" w:ascii="Times New Roman" w:hAnsi="Times New Roman"/>
                      <w:color w:val="auto"/>
                      <w:szCs w:val="21"/>
                    </w:rPr>
                    <w:t>日</w:t>
                  </w:r>
                </w:p>
              </w:tc>
              <w:tc>
                <w:tcPr>
                  <w:tcW w:w="1936" w:type="dxa"/>
                  <w:vAlign w:val="center"/>
                </w:tcPr>
                <w:p w14:paraId="5B5F6FE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6</w:t>
                  </w:r>
                </w:p>
              </w:tc>
              <w:tc>
                <w:tcPr>
                  <w:tcW w:w="1527" w:type="dxa"/>
                  <w:vMerge w:val="restart"/>
                  <w:vAlign w:val="center"/>
                </w:tcPr>
                <w:p w14:paraId="7903E34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6</w:t>
                  </w:r>
                  <w:r>
                    <w:rPr>
                      <w:rFonts w:hint="default" w:ascii="Times New Roman" w:hAnsi="Times New Roman"/>
                      <w:color w:val="auto"/>
                      <w:szCs w:val="21"/>
                    </w:rPr>
                    <w:t>5</w:t>
                  </w:r>
                </w:p>
              </w:tc>
              <w:tc>
                <w:tcPr>
                  <w:tcW w:w="1539" w:type="dxa"/>
                  <w:vAlign w:val="center"/>
                </w:tcPr>
                <w:p w14:paraId="57A2F12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5CFB2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2E860F3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continue"/>
                  <w:vAlign w:val="center"/>
                </w:tcPr>
                <w:p w14:paraId="132059D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2653" w:type="dxa"/>
                  <w:vAlign w:val="center"/>
                </w:tcPr>
                <w:p w14:paraId="411A4CF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8</w:t>
                  </w:r>
                  <w:r>
                    <w:rPr>
                      <w:rFonts w:hint="eastAsia" w:ascii="Times New Roman" w:hAnsi="Times New Roman"/>
                      <w:color w:val="auto"/>
                      <w:szCs w:val="21"/>
                    </w:rPr>
                    <w:t>日</w:t>
                  </w:r>
                </w:p>
              </w:tc>
              <w:tc>
                <w:tcPr>
                  <w:tcW w:w="1936" w:type="dxa"/>
                  <w:vAlign w:val="center"/>
                </w:tcPr>
                <w:p w14:paraId="069530E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7</w:t>
                  </w:r>
                </w:p>
              </w:tc>
              <w:tc>
                <w:tcPr>
                  <w:tcW w:w="1527" w:type="dxa"/>
                  <w:vMerge w:val="continue"/>
                  <w:vAlign w:val="center"/>
                </w:tcPr>
                <w:p w14:paraId="12FB462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539" w:type="dxa"/>
                  <w:vAlign w:val="center"/>
                </w:tcPr>
                <w:p w14:paraId="4B741F9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41566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17779A7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restart"/>
                  <w:vAlign w:val="center"/>
                </w:tcPr>
                <w:p w14:paraId="6EFA959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夜间</w:t>
                  </w:r>
                </w:p>
              </w:tc>
              <w:tc>
                <w:tcPr>
                  <w:tcW w:w="2653" w:type="dxa"/>
                  <w:vAlign w:val="center"/>
                </w:tcPr>
                <w:p w14:paraId="59CB326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7</w:t>
                  </w:r>
                  <w:r>
                    <w:rPr>
                      <w:rFonts w:hint="eastAsia" w:ascii="Times New Roman" w:hAnsi="Times New Roman"/>
                      <w:color w:val="auto"/>
                      <w:szCs w:val="21"/>
                    </w:rPr>
                    <w:t>日</w:t>
                  </w:r>
                </w:p>
              </w:tc>
              <w:tc>
                <w:tcPr>
                  <w:tcW w:w="1936" w:type="dxa"/>
                  <w:vAlign w:val="center"/>
                </w:tcPr>
                <w:p w14:paraId="2AF6079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4</w:t>
                  </w:r>
                  <w:r>
                    <w:rPr>
                      <w:rFonts w:hint="default" w:ascii="Times New Roman" w:hAnsi="Times New Roman"/>
                      <w:color w:val="auto"/>
                      <w:szCs w:val="21"/>
                    </w:rPr>
                    <w:t>9</w:t>
                  </w:r>
                </w:p>
              </w:tc>
              <w:tc>
                <w:tcPr>
                  <w:tcW w:w="1527" w:type="dxa"/>
                  <w:vMerge w:val="restart"/>
                  <w:vAlign w:val="center"/>
                </w:tcPr>
                <w:p w14:paraId="7356FF9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5</w:t>
                  </w:r>
                </w:p>
              </w:tc>
              <w:tc>
                <w:tcPr>
                  <w:tcW w:w="1539" w:type="dxa"/>
                  <w:vAlign w:val="center"/>
                </w:tcPr>
                <w:p w14:paraId="59FBEDA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5F77C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7484271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continue"/>
                  <w:vAlign w:val="center"/>
                </w:tcPr>
                <w:p w14:paraId="4D5F88D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2653" w:type="dxa"/>
                  <w:vAlign w:val="center"/>
                </w:tcPr>
                <w:p w14:paraId="4D80097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8</w:t>
                  </w:r>
                  <w:r>
                    <w:rPr>
                      <w:rFonts w:hint="eastAsia" w:ascii="Times New Roman" w:hAnsi="Times New Roman"/>
                      <w:color w:val="auto"/>
                      <w:szCs w:val="21"/>
                    </w:rPr>
                    <w:t>日</w:t>
                  </w:r>
                </w:p>
              </w:tc>
              <w:tc>
                <w:tcPr>
                  <w:tcW w:w="1936" w:type="dxa"/>
                  <w:vAlign w:val="center"/>
                </w:tcPr>
                <w:p w14:paraId="348A7CB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4</w:t>
                  </w:r>
                  <w:r>
                    <w:rPr>
                      <w:rFonts w:hint="default" w:ascii="Times New Roman" w:hAnsi="Times New Roman"/>
                      <w:color w:val="auto"/>
                      <w:szCs w:val="21"/>
                    </w:rPr>
                    <w:t>8</w:t>
                  </w:r>
                </w:p>
              </w:tc>
              <w:tc>
                <w:tcPr>
                  <w:tcW w:w="1527" w:type="dxa"/>
                  <w:vMerge w:val="continue"/>
                  <w:vAlign w:val="center"/>
                </w:tcPr>
                <w:p w14:paraId="062D754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539" w:type="dxa"/>
                  <w:vAlign w:val="center"/>
                </w:tcPr>
                <w:p w14:paraId="5A01403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517B0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restart"/>
                  <w:vAlign w:val="center"/>
                </w:tcPr>
                <w:p w14:paraId="67331F2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北厂界</w:t>
                  </w:r>
                </w:p>
                <w:p w14:paraId="0E05265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（N</w:t>
                  </w:r>
                  <w:r>
                    <w:rPr>
                      <w:rFonts w:hint="default" w:ascii="Times New Roman" w:hAnsi="Times New Roman"/>
                      <w:color w:val="auto"/>
                      <w:szCs w:val="21"/>
                    </w:rPr>
                    <w:t>3</w:t>
                  </w:r>
                  <w:r>
                    <w:rPr>
                      <w:rFonts w:hint="eastAsia" w:ascii="Times New Roman" w:hAnsi="Times New Roman"/>
                      <w:color w:val="auto"/>
                      <w:szCs w:val="21"/>
                    </w:rPr>
                    <w:t>）</w:t>
                  </w:r>
                </w:p>
              </w:tc>
              <w:tc>
                <w:tcPr>
                  <w:tcW w:w="1489" w:type="dxa"/>
                  <w:vMerge w:val="restart"/>
                  <w:vAlign w:val="center"/>
                </w:tcPr>
                <w:p w14:paraId="2C76D6C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昼间</w:t>
                  </w:r>
                </w:p>
              </w:tc>
              <w:tc>
                <w:tcPr>
                  <w:tcW w:w="2653" w:type="dxa"/>
                  <w:vAlign w:val="center"/>
                </w:tcPr>
                <w:p w14:paraId="0C63BA0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7</w:t>
                  </w:r>
                  <w:r>
                    <w:rPr>
                      <w:rFonts w:hint="eastAsia" w:ascii="Times New Roman" w:hAnsi="Times New Roman"/>
                      <w:color w:val="auto"/>
                      <w:szCs w:val="21"/>
                    </w:rPr>
                    <w:t>日</w:t>
                  </w:r>
                </w:p>
              </w:tc>
              <w:tc>
                <w:tcPr>
                  <w:tcW w:w="1936" w:type="dxa"/>
                  <w:vAlign w:val="center"/>
                </w:tcPr>
                <w:p w14:paraId="2D30A10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6</w:t>
                  </w:r>
                </w:p>
              </w:tc>
              <w:tc>
                <w:tcPr>
                  <w:tcW w:w="1527" w:type="dxa"/>
                  <w:vMerge w:val="restart"/>
                  <w:vAlign w:val="center"/>
                </w:tcPr>
                <w:p w14:paraId="3B8DF79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6</w:t>
                  </w:r>
                  <w:r>
                    <w:rPr>
                      <w:rFonts w:hint="default" w:ascii="Times New Roman" w:hAnsi="Times New Roman"/>
                      <w:color w:val="auto"/>
                      <w:szCs w:val="21"/>
                    </w:rPr>
                    <w:t>5</w:t>
                  </w:r>
                </w:p>
              </w:tc>
              <w:tc>
                <w:tcPr>
                  <w:tcW w:w="1539" w:type="dxa"/>
                  <w:vAlign w:val="center"/>
                </w:tcPr>
                <w:p w14:paraId="5D20DFA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7C2F1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2E220B6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continue"/>
                  <w:vAlign w:val="center"/>
                </w:tcPr>
                <w:p w14:paraId="4F4C275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2653" w:type="dxa"/>
                  <w:vAlign w:val="center"/>
                </w:tcPr>
                <w:p w14:paraId="3494041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8</w:t>
                  </w:r>
                  <w:r>
                    <w:rPr>
                      <w:rFonts w:hint="eastAsia" w:ascii="Times New Roman" w:hAnsi="Times New Roman"/>
                      <w:color w:val="auto"/>
                      <w:szCs w:val="21"/>
                    </w:rPr>
                    <w:t>日</w:t>
                  </w:r>
                </w:p>
              </w:tc>
              <w:tc>
                <w:tcPr>
                  <w:tcW w:w="1936" w:type="dxa"/>
                  <w:vAlign w:val="center"/>
                </w:tcPr>
                <w:p w14:paraId="5727678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5</w:t>
                  </w:r>
                </w:p>
              </w:tc>
              <w:tc>
                <w:tcPr>
                  <w:tcW w:w="1527" w:type="dxa"/>
                  <w:vMerge w:val="continue"/>
                  <w:vAlign w:val="center"/>
                </w:tcPr>
                <w:p w14:paraId="671795B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539" w:type="dxa"/>
                  <w:vAlign w:val="center"/>
                </w:tcPr>
                <w:p w14:paraId="64B442E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7AB13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5184753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restart"/>
                  <w:vAlign w:val="center"/>
                </w:tcPr>
                <w:p w14:paraId="35F4132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夜间</w:t>
                  </w:r>
                </w:p>
              </w:tc>
              <w:tc>
                <w:tcPr>
                  <w:tcW w:w="2653" w:type="dxa"/>
                  <w:vAlign w:val="center"/>
                </w:tcPr>
                <w:p w14:paraId="325376C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7</w:t>
                  </w:r>
                  <w:r>
                    <w:rPr>
                      <w:rFonts w:hint="eastAsia" w:ascii="Times New Roman" w:hAnsi="Times New Roman"/>
                      <w:color w:val="auto"/>
                      <w:szCs w:val="21"/>
                    </w:rPr>
                    <w:t>日</w:t>
                  </w:r>
                </w:p>
              </w:tc>
              <w:tc>
                <w:tcPr>
                  <w:tcW w:w="1936" w:type="dxa"/>
                  <w:vAlign w:val="center"/>
                </w:tcPr>
                <w:p w14:paraId="0898F8D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4</w:t>
                  </w:r>
                  <w:r>
                    <w:rPr>
                      <w:rFonts w:hint="default" w:ascii="Times New Roman" w:hAnsi="Times New Roman"/>
                      <w:color w:val="auto"/>
                      <w:szCs w:val="21"/>
                    </w:rPr>
                    <w:t>8</w:t>
                  </w:r>
                </w:p>
              </w:tc>
              <w:tc>
                <w:tcPr>
                  <w:tcW w:w="1527" w:type="dxa"/>
                  <w:vMerge w:val="restart"/>
                  <w:vAlign w:val="center"/>
                </w:tcPr>
                <w:p w14:paraId="1E1BD19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5</w:t>
                  </w:r>
                </w:p>
              </w:tc>
              <w:tc>
                <w:tcPr>
                  <w:tcW w:w="1539" w:type="dxa"/>
                  <w:vAlign w:val="center"/>
                </w:tcPr>
                <w:p w14:paraId="4BF5ECE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0B085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5D25400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continue"/>
                  <w:vAlign w:val="center"/>
                </w:tcPr>
                <w:p w14:paraId="6F6F54C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2653" w:type="dxa"/>
                  <w:vAlign w:val="center"/>
                </w:tcPr>
                <w:p w14:paraId="0EA64C8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8</w:t>
                  </w:r>
                  <w:r>
                    <w:rPr>
                      <w:rFonts w:hint="eastAsia" w:ascii="Times New Roman" w:hAnsi="Times New Roman"/>
                      <w:color w:val="auto"/>
                      <w:szCs w:val="21"/>
                    </w:rPr>
                    <w:t>日</w:t>
                  </w:r>
                </w:p>
              </w:tc>
              <w:tc>
                <w:tcPr>
                  <w:tcW w:w="1936" w:type="dxa"/>
                  <w:vAlign w:val="center"/>
                </w:tcPr>
                <w:p w14:paraId="4491585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4</w:t>
                  </w:r>
                  <w:r>
                    <w:rPr>
                      <w:rFonts w:hint="default" w:ascii="Times New Roman" w:hAnsi="Times New Roman"/>
                      <w:color w:val="auto"/>
                      <w:szCs w:val="21"/>
                    </w:rPr>
                    <w:t>8</w:t>
                  </w:r>
                </w:p>
              </w:tc>
              <w:tc>
                <w:tcPr>
                  <w:tcW w:w="1527" w:type="dxa"/>
                  <w:vMerge w:val="continue"/>
                  <w:vAlign w:val="center"/>
                </w:tcPr>
                <w:p w14:paraId="2BE7F8B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539" w:type="dxa"/>
                  <w:vAlign w:val="center"/>
                </w:tcPr>
                <w:p w14:paraId="0A67549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18EB5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restart"/>
                  <w:vAlign w:val="center"/>
                </w:tcPr>
                <w:p w14:paraId="4C7036D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东厂界</w:t>
                  </w:r>
                </w:p>
                <w:p w14:paraId="29C6FD3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（N</w:t>
                  </w:r>
                  <w:r>
                    <w:rPr>
                      <w:rFonts w:hint="default" w:ascii="Times New Roman" w:hAnsi="Times New Roman"/>
                      <w:color w:val="auto"/>
                      <w:szCs w:val="21"/>
                    </w:rPr>
                    <w:t>4</w:t>
                  </w:r>
                  <w:r>
                    <w:rPr>
                      <w:rFonts w:hint="eastAsia" w:ascii="Times New Roman" w:hAnsi="Times New Roman"/>
                      <w:color w:val="auto"/>
                      <w:szCs w:val="21"/>
                    </w:rPr>
                    <w:t>）</w:t>
                  </w:r>
                </w:p>
              </w:tc>
              <w:tc>
                <w:tcPr>
                  <w:tcW w:w="1489" w:type="dxa"/>
                  <w:vMerge w:val="restart"/>
                  <w:vAlign w:val="center"/>
                </w:tcPr>
                <w:p w14:paraId="0D010F4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昼间</w:t>
                  </w:r>
                </w:p>
              </w:tc>
              <w:tc>
                <w:tcPr>
                  <w:tcW w:w="2653" w:type="dxa"/>
                  <w:vAlign w:val="center"/>
                </w:tcPr>
                <w:p w14:paraId="251D13C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7</w:t>
                  </w:r>
                  <w:r>
                    <w:rPr>
                      <w:rFonts w:hint="eastAsia" w:ascii="Times New Roman" w:hAnsi="Times New Roman"/>
                      <w:color w:val="auto"/>
                      <w:szCs w:val="21"/>
                    </w:rPr>
                    <w:t>日</w:t>
                  </w:r>
                </w:p>
              </w:tc>
              <w:tc>
                <w:tcPr>
                  <w:tcW w:w="1936" w:type="dxa"/>
                  <w:vAlign w:val="center"/>
                </w:tcPr>
                <w:p w14:paraId="48BF368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3</w:t>
                  </w:r>
                </w:p>
              </w:tc>
              <w:tc>
                <w:tcPr>
                  <w:tcW w:w="1527" w:type="dxa"/>
                  <w:vMerge w:val="restart"/>
                  <w:vAlign w:val="center"/>
                </w:tcPr>
                <w:p w14:paraId="01D1095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6</w:t>
                  </w:r>
                  <w:r>
                    <w:rPr>
                      <w:rFonts w:hint="default" w:ascii="Times New Roman" w:hAnsi="Times New Roman"/>
                      <w:color w:val="auto"/>
                      <w:szCs w:val="21"/>
                    </w:rPr>
                    <w:t>5</w:t>
                  </w:r>
                </w:p>
              </w:tc>
              <w:tc>
                <w:tcPr>
                  <w:tcW w:w="1539" w:type="dxa"/>
                  <w:vAlign w:val="center"/>
                </w:tcPr>
                <w:p w14:paraId="18E7BBF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7C19A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3647C6F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continue"/>
                  <w:vAlign w:val="center"/>
                </w:tcPr>
                <w:p w14:paraId="6C85A03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2653" w:type="dxa"/>
                  <w:vAlign w:val="center"/>
                </w:tcPr>
                <w:p w14:paraId="25383E9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8</w:t>
                  </w:r>
                  <w:r>
                    <w:rPr>
                      <w:rFonts w:hint="eastAsia" w:ascii="Times New Roman" w:hAnsi="Times New Roman"/>
                      <w:color w:val="auto"/>
                      <w:szCs w:val="21"/>
                    </w:rPr>
                    <w:t>日</w:t>
                  </w:r>
                </w:p>
              </w:tc>
              <w:tc>
                <w:tcPr>
                  <w:tcW w:w="1936" w:type="dxa"/>
                  <w:vAlign w:val="center"/>
                </w:tcPr>
                <w:p w14:paraId="0B5CD3B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3</w:t>
                  </w:r>
                </w:p>
              </w:tc>
              <w:tc>
                <w:tcPr>
                  <w:tcW w:w="1527" w:type="dxa"/>
                  <w:vMerge w:val="continue"/>
                  <w:vAlign w:val="center"/>
                </w:tcPr>
                <w:p w14:paraId="28F8A64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539" w:type="dxa"/>
                  <w:vAlign w:val="center"/>
                </w:tcPr>
                <w:p w14:paraId="72DA91A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15B12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272312E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restart"/>
                  <w:vAlign w:val="center"/>
                </w:tcPr>
                <w:p w14:paraId="51573CC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夜间</w:t>
                  </w:r>
                </w:p>
              </w:tc>
              <w:tc>
                <w:tcPr>
                  <w:tcW w:w="2653" w:type="dxa"/>
                  <w:vAlign w:val="center"/>
                </w:tcPr>
                <w:p w14:paraId="399A9B6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7</w:t>
                  </w:r>
                  <w:r>
                    <w:rPr>
                      <w:rFonts w:hint="eastAsia" w:ascii="Times New Roman" w:hAnsi="Times New Roman"/>
                      <w:color w:val="auto"/>
                      <w:szCs w:val="21"/>
                    </w:rPr>
                    <w:t>日</w:t>
                  </w:r>
                </w:p>
              </w:tc>
              <w:tc>
                <w:tcPr>
                  <w:tcW w:w="1936" w:type="dxa"/>
                  <w:vAlign w:val="center"/>
                </w:tcPr>
                <w:p w14:paraId="51ED0DB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4</w:t>
                  </w:r>
                  <w:r>
                    <w:rPr>
                      <w:rFonts w:hint="default" w:ascii="Times New Roman" w:hAnsi="Times New Roman"/>
                      <w:color w:val="auto"/>
                      <w:szCs w:val="21"/>
                    </w:rPr>
                    <w:t>7</w:t>
                  </w:r>
                </w:p>
              </w:tc>
              <w:tc>
                <w:tcPr>
                  <w:tcW w:w="1527" w:type="dxa"/>
                  <w:vMerge w:val="restart"/>
                  <w:vAlign w:val="center"/>
                </w:tcPr>
                <w:p w14:paraId="7739BC4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5</w:t>
                  </w:r>
                  <w:r>
                    <w:rPr>
                      <w:rFonts w:hint="default" w:ascii="Times New Roman" w:hAnsi="Times New Roman"/>
                      <w:color w:val="auto"/>
                      <w:szCs w:val="21"/>
                    </w:rPr>
                    <w:t>5</w:t>
                  </w:r>
                </w:p>
              </w:tc>
              <w:tc>
                <w:tcPr>
                  <w:tcW w:w="1539" w:type="dxa"/>
                  <w:vAlign w:val="center"/>
                </w:tcPr>
                <w:p w14:paraId="6866C00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r w14:paraId="1E0D1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2" w:type="dxa"/>
                  <w:vMerge w:val="continue"/>
                  <w:vAlign w:val="center"/>
                </w:tcPr>
                <w:p w14:paraId="50E6EFF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489" w:type="dxa"/>
                  <w:vMerge w:val="continue"/>
                  <w:vAlign w:val="center"/>
                </w:tcPr>
                <w:p w14:paraId="31E05BD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2653" w:type="dxa"/>
                  <w:vAlign w:val="center"/>
                </w:tcPr>
                <w:p w14:paraId="7B57C2A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2</w:t>
                  </w:r>
                  <w:r>
                    <w:rPr>
                      <w:rFonts w:hint="default" w:ascii="Times New Roman" w:hAnsi="Times New Roman"/>
                      <w:color w:val="auto"/>
                      <w:szCs w:val="21"/>
                    </w:rPr>
                    <w:t>024</w:t>
                  </w:r>
                  <w:r>
                    <w:rPr>
                      <w:rFonts w:hint="eastAsia" w:ascii="Times New Roman" w:hAnsi="Times New Roman"/>
                      <w:color w:val="auto"/>
                      <w:szCs w:val="21"/>
                    </w:rPr>
                    <w:t>年8月2</w:t>
                  </w:r>
                  <w:r>
                    <w:rPr>
                      <w:rFonts w:hint="default" w:ascii="Times New Roman" w:hAnsi="Times New Roman"/>
                      <w:color w:val="auto"/>
                      <w:szCs w:val="21"/>
                    </w:rPr>
                    <w:t>8</w:t>
                  </w:r>
                  <w:r>
                    <w:rPr>
                      <w:rFonts w:hint="eastAsia" w:ascii="Times New Roman" w:hAnsi="Times New Roman"/>
                      <w:color w:val="auto"/>
                      <w:szCs w:val="21"/>
                    </w:rPr>
                    <w:t>日</w:t>
                  </w:r>
                </w:p>
              </w:tc>
              <w:tc>
                <w:tcPr>
                  <w:tcW w:w="1936" w:type="dxa"/>
                  <w:vAlign w:val="center"/>
                </w:tcPr>
                <w:p w14:paraId="3419B62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4</w:t>
                  </w:r>
                  <w:r>
                    <w:rPr>
                      <w:rFonts w:hint="default" w:ascii="Times New Roman" w:hAnsi="Times New Roman"/>
                      <w:color w:val="auto"/>
                      <w:szCs w:val="21"/>
                    </w:rPr>
                    <w:t>7</w:t>
                  </w:r>
                </w:p>
              </w:tc>
              <w:tc>
                <w:tcPr>
                  <w:tcW w:w="1527" w:type="dxa"/>
                  <w:vMerge w:val="continue"/>
                  <w:vAlign w:val="center"/>
                </w:tcPr>
                <w:p w14:paraId="46631CF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p>
              </w:tc>
              <w:tc>
                <w:tcPr>
                  <w:tcW w:w="1539" w:type="dxa"/>
                  <w:vAlign w:val="center"/>
                </w:tcPr>
                <w:p w14:paraId="46AD553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w:t>
                  </w:r>
                </w:p>
              </w:tc>
            </w:tr>
          </w:tbl>
          <w:p w14:paraId="1839A10E">
            <w:pPr>
              <w:keepNext w:val="0"/>
              <w:keepLines w:val="0"/>
              <w:suppressLineNumbers w:val="0"/>
              <w:spacing w:before="0" w:beforeAutospacing="0" w:after="0" w:afterAutospacing="0" w:line="500" w:lineRule="exact"/>
              <w:ind w:left="0" w:right="0" w:firstLine="480" w:firstLineChars="200"/>
              <w:contextualSpacing/>
              <w:rPr>
                <w:rFonts w:hint="default" w:eastAsia="宋体"/>
                <w:color w:val="1D35AD"/>
                <w:highlight w:val="none"/>
                <w:lang w:val="en-US" w:eastAsia="zh-CN"/>
              </w:rPr>
            </w:pPr>
            <w:r>
              <w:rPr>
                <w:rFonts w:hint="eastAsia" w:ascii="Times New Roman" w:hAnsi="Times New Roman" w:eastAsia="仿宋_GB2312" w:cs="Times New Roman"/>
                <w:color w:val="auto"/>
                <w:kern w:val="0"/>
                <w:sz w:val="24"/>
                <w:lang w:bidi="ar"/>
              </w:rPr>
              <w:t>本项目已按《环境影响评价技术导则 声环境》（HJ2.4-2021）中现状监测要求在厂界进行现状监测，监测数据采集与处理分析方法符合导则要求。监测结果表明，项目所在地南厂界符合《声环境质量标准》（GB3096-2008）中4a类功能区环境噪声限值标准，东、西、北厂界符合《声环境质量标准》（GB3096-2008）中3类功能区环境噪声限值标准</w:t>
            </w:r>
            <w:r>
              <w:rPr>
                <w:rFonts w:hint="eastAsia" w:eastAsia="仿宋_GB2312" w:cs="Times New Roman"/>
                <w:color w:val="auto"/>
                <w:kern w:val="0"/>
                <w:sz w:val="24"/>
                <w:lang w:eastAsia="zh-CN" w:bidi="ar"/>
              </w:rPr>
              <w:t>。</w:t>
            </w:r>
            <w:r>
              <w:rPr>
                <w:rFonts w:hint="eastAsia" w:ascii="Times New Roman" w:hAnsi="Times New Roman" w:eastAsia="仿宋_GB2312" w:cs="Times New Roman"/>
                <w:color w:val="1D35AD"/>
                <w:kern w:val="0"/>
                <w:sz w:val="24"/>
                <w:highlight w:val="none"/>
                <w:lang w:bidi="ar"/>
              </w:rPr>
              <w:t>元巷村</w:t>
            </w:r>
            <w:r>
              <w:rPr>
                <w:rFonts w:hint="eastAsia" w:eastAsia="仿宋_GB2312" w:cs="Times New Roman"/>
                <w:color w:val="1D35AD"/>
                <w:kern w:val="0"/>
                <w:sz w:val="24"/>
                <w:highlight w:val="none"/>
                <w:lang w:eastAsia="zh-CN" w:bidi="ar"/>
              </w:rPr>
              <w:t>（</w:t>
            </w:r>
            <w:r>
              <w:rPr>
                <w:rFonts w:hint="eastAsia" w:eastAsia="仿宋_GB2312" w:cs="Times New Roman"/>
                <w:color w:val="1D35AD"/>
                <w:kern w:val="0"/>
                <w:sz w:val="24"/>
                <w:highlight w:val="none"/>
                <w:lang w:val="en-US" w:eastAsia="zh-CN" w:bidi="ar"/>
              </w:rPr>
              <w:t>110米</w:t>
            </w:r>
            <w:r>
              <w:rPr>
                <w:rFonts w:hint="eastAsia" w:eastAsia="仿宋_GB2312" w:cs="Times New Roman"/>
                <w:color w:val="1D35AD"/>
                <w:kern w:val="0"/>
                <w:sz w:val="24"/>
                <w:highlight w:val="none"/>
                <w:lang w:eastAsia="zh-CN" w:bidi="ar"/>
              </w:rPr>
              <w:t>）</w:t>
            </w:r>
            <w:r>
              <w:rPr>
                <w:rFonts w:hint="eastAsia" w:ascii="Times New Roman" w:hAnsi="Times New Roman" w:eastAsia="仿宋_GB2312" w:cs="Times New Roman"/>
                <w:color w:val="1D35AD"/>
                <w:kern w:val="0"/>
                <w:sz w:val="24"/>
                <w:highlight w:val="none"/>
                <w:lang w:eastAsia="zh-CN" w:bidi="ar"/>
              </w:rPr>
              <w:t>、</w:t>
            </w:r>
            <w:r>
              <w:rPr>
                <w:rFonts w:hint="eastAsia" w:eastAsia="仿宋_GB2312" w:cs="Times New Roman"/>
                <w:color w:val="1D35AD"/>
                <w:kern w:val="0"/>
                <w:sz w:val="24"/>
                <w:highlight w:val="none"/>
                <w:lang w:eastAsia="zh-CN" w:bidi="ar"/>
              </w:rPr>
              <w:t>宋庄（</w:t>
            </w:r>
            <w:r>
              <w:rPr>
                <w:rFonts w:hint="eastAsia" w:eastAsia="仿宋_GB2312" w:cs="Times New Roman"/>
                <w:color w:val="1D35AD"/>
                <w:kern w:val="0"/>
                <w:sz w:val="24"/>
                <w:highlight w:val="none"/>
                <w:lang w:val="en-US" w:eastAsia="zh-CN" w:bidi="ar"/>
              </w:rPr>
              <w:t>301米</w:t>
            </w:r>
            <w:r>
              <w:rPr>
                <w:rFonts w:hint="eastAsia" w:eastAsia="仿宋_GB2312" w:cs="Times New Roman"/>
                <w:color w:val="1D35AD"/>
                <w:kern w:val="0"/>
                <w:sz w:val="24"/>
                <w:highlight w:val="none"/>
                <w:lang w:eastAsia="zh-CN" w:bidi="ar"/>
              </w:rPr>
              <w:t>）均不在厂界</w:t>
            </w:r>
            <w:r>
              <w:rPr>
                <w:rFonts w:hint="eastAsia" w:eastAsia="仿宋_GB2312" w:cs="Times New Roman"/>
                <w:color w:val="1D35AD"/>
                <w:kern w:val="0"/>
                <w:sz w:val="24"/>
                <w:highlight w:val="none"/>
                <w:lang w:val="en-US" w:eastAsia="zh-CN" w:bidi="ar"/>
              </w:rPr>
              <w:t>50米范围内，因此本项目厂界周边50m范围内无声环境敏感目标。</w:t>
            </w:r>
          </w:p>
          <w:p w14:paraId="09591C37">
            <w:pPr>
              <w:keepNext w:val="0"/>
              <w:keepLines w:val="0"/>
              <w:suppressLineNumbers w:val="0"/>
              <w:spacing w:before="0" w:beforeAutospacing="0" w:after="0" w:afterAutospacing="0" w:line="500" w:lineRule="exact"/>
              <w:ind w:left="0" w:right="0" w:firstLine="420" w:firstLineChars="200"/>
              <w:contextualSpacing/>
              <w:rPr>
                <w:rFonts w:hint="default"/>
              </w:rPr>
            </w:pPr>
          </w:p>
          <w:p w14:paraId="5BEDD97A">
            <w:pPr>
              <w:pStyle w:val="2"/>
              <w:keepNext w:val="0"/>
              <w:keepLines w:val="0"/>
              <w:suppressLineNumbers w:val="0"/>
              <w:spacing w:beforeAutospacing="0" w:afterAutospacing="0"/>
              <w:ind w:left="0"/>
              <w:rPr>
                <w:rFonts w:hint="default" w:ascii="Times New Roman" w:hAnsi="Times New Roman" w:eastAsia="仿宋_GB2312" w:cs="Times New Roman"/>
                <w:color w:val="auto"/>
              </w:rPr>
            </w:pPr>
          </w:p>
        </w:tc>
      </w:tr>
    </w:tbl>
    <w:p w14:paraId="7EDBDB4D">
      <w:pPr>
        <w:rPr>
          <w:color w:val="auto"/>
        </w:rPr>
      </w:pPr>
    </w:p>
    <w:p w14:paraId="40BC85D5">
      <w:pPr>
        <w:rPr>
          <w:color w:val="auto"/>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tbl>
      <w:tblPr>
        <w:tblStyle w:val="87"/>
        <w:tblW w:w="53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05"/>
      </w:tblGrid>
      <w:tr w14:paraId="30040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56" w:type="dxa"/>
            <w:vAlign w:val="center"/>
          </w:tcPr>
          <w:p w14:paraId="56D23FAA">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环境</w:t>
            </w:r>
          </w:p>
          <w:p w14:paraId="76E6C5AF">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保护</w:t>
            </w:r>
          </w:p>
          <w:p w14:paraId="75EDF8AA">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目标</w:t>
            </w:r>
          </w:p>
        </w:tc>
        <w:tc>
          <w:tcPr>
            <w:tcW w:w="9205" w:type="dxa"/>
            <w:vAlign w:val="center"/>
          </w:tcPr>
          <w:p w14:paraId="2031599F">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经现场实地调查，本项目环境保护目标见下表。</w:t>
            </w:r>
          </w:p>
          <w:p w14:paraId="4E3BD7C2">
            <w:pPr>
              <w:keepNext w:val="0"/>
              <w:keepLines w:val="0"/>
              <w:widowControl/>
              <w:suppressLineNumbers w:val="0"/>
              <w:spacing w:before="0" w:beforeAutospacing="0" w:after="0" w:afterAutospacing="0" w:line="460" w:lineRule="exact"/>
              <w:ind w:left="0" w:right="0"/>
              <w:jc w:val="center"/>
              <w:rPr>
                <w:rFonts w:hint="default" w:eastAsia="仿宋_GB2312"/>
                <w:b/>
                <w:color w:val="auto"/>
                <w:kern w:val="0"/>
                <w:sz w:val="22"/>
                <w:szCs w:val="22"/>
              </w:rPr>
            </w:pPr>
            <w:r>
              <w:rPr>
                <w:rFonts w:hint="default" w:eastAsia="仿宋_GB2312"/>
                <w:b/>
                <w:color w:val="auto"/>
                <w:kern w:val="0"/>
                <w:sz w:val="22"/>
                <w:szCs w:val="22"/>
              </w:rPr>
              <w:t>表</w:t>
            </w:r>
            <w:r>
              <w:rPr>
                <w:rFonts w:hint="eastAsia" w:eastAsia="仿宋_GB2312"/>
                <w:b/>
                <w:color w:val="auto"/>
                <w:kern w:val="0"/>
                <w:sz w:val="22"/>
                <w:szCs w:val="22"/>
                <w:lang w:val="en-US" w:eastAsia="zh-CN"/>
              </w:rPr>
              <w:t>3-13</w:t>
            </w:r>
            <w:r>
              <w:rPr>
                <w:rFonts w:hint="default" w:eastAsia="仿宋_GB2312"/>
                <w:b/>
                <w:color w:val="auto"/>
                <w:kern w:val="0"/>
                <w:sz w:val="22"/>
                <w:szCs w:val="22"/>
              </w:rPr>
              <w:t xml:space="preserve">  大气环境保护目标表</w:t>
            </w:r>
          </w:p>
          <w:tbl>
            <w:tblPr>
              <w:tblStyle w:val="16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47"/>
              <w:gridCol w:w="826"/>
              <w:gridCol w:w="876"/>
              <w:gridCol w:w="1453"/>
              <w:gridCol w:w="1165"/>
              <w:gridCol w:w="873"/>
              <w:gridCol w:w="1020"/>
              <w:gridCol w:w="1094"/>
            </w:tblGrid>
            <w:tr w14:paraId="3553BD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919" w:type="pct"/>
                  <w:vMerge w:val="restart"/>
                  <w:tcBorders>
                    <w:tl2br w:val="nil"/>
                    <w:tr2bl w:val="nil"/>
                  </w:tcBorders>
                  <w:vAlign w:val="center"/>
                </w:tcPr>
                <w:p w14:paraId="54602A2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bookmarkStart w:id="44" w:name="_Hlk104233318"/>
                  <w:r>
                    <w:rPr>
                      <w:rFonts w:hint="eastAsia" w:ascii="Times New Roman" w:hAnsi="Times New Roman"/>
                      <w:b/>
                      <w:bCs/>
                      <w:color w:val="auto"/>
                    </w:rPr>
                    <w:t>名称</w:t>
                  </w:r>
                </w:p>
              </w:tc>
              <w:tc>
                <w:tcPr>
                  <w:tcW w:w="950" w:type="pct"/>
                  <w:gridSpan w:val="2"/>
                  <w:tcBorders>
                    <w:tl2br w:val="nil"/>
                    <w:tr2bl w:val="nil"/>
                  </w:tcBorders>
                  <w:vAlign w:val="center"/>
                </w:tcPr>
                <w:p w14:paraId="2D28B8E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b/>
                      <w:bCs/>
                      <w:color w:val="auto"/>
                      <w:kern w:val="0"/>
                      <w:sz w:val="21"/>
                    </w:rPr>
                  </w:pPr>
                  <w:r>
                    <w:rPr>
                      <w:rFonts w:hint="eastAsia" w:ascii="Times New Roman" w:hAnsi="Times New Roman"/>
                      <w:b/>
                      <w:bCs/>
                      <w:color w:val="auto"/>
                      <w:kern w:val="0"/>
                      <w:sz w:val="21"/>
                    </w:rPr>
                    <w:t>坐标/m</w:t>
                  </w:r>
                  <w:r>
                    <w:rPr>
                      <w:rFonts w:hint="eastAsia" w:ascii="Times New Roman" w:hAnsi="Times New Roman"/>
                      <w:b/>
                      <w:bCs/>
                      <w:color w:val="auto"/>
                      <w:sz w:val="21"/>
                      <w:vertAlign w:val="superscript"/>
                    </w:rPr>
                    <w:t>①</w:t>
                  </w:r>
                </w:p>
              </w:tc>
              <w:tc>
                <w:tcPr>
                  <w:tcW w:w="811" w:type="pct"/>
                  <w:vMerge w:val="restart"/>
                  <w:tcBorders>
                    <w:tl2br w:val="nil"/>
                    <w:tr2bl w:val="nil"/>
                  </w:tcBorders>
                  <w:vAlign w:val="center"/>
                </w:tcPr>
                <w:p w14:paraId="09E924E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保护</w:t>
                  </w:r>
                </w:p>
                <w:p w14:paraId="320736F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对象</w:t>
                  </w:r>
                </w:p>
              </w:tc>
              <w:tc>
                <w:tcPr>
                  <w:tcW w:w="650" w:type="pct"/>
                  <w:vMerge w:val="restart"/>
                  <w:tcBorders>
                    <w:tl2br w:val="nil"/>
                    <w:tr2bl w:val="nil"/>
                  </w:tcBorders>
                  <w:vAlign w:val="center"/>
                </w:tcPr>
                <w:p w14:paraId="373147E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保护</w:t>
                  </w:r>
                </w:p>
                <w:p w14:paraId="2C84E1B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内容/</w:t>
                  </w:r>
                  <w:r>
                    <w:rPr>
                      <w:rFonts w:hint="eastAsia" w:ascii="Times New Roman" w:hAnsi="Times New Roman"/>
                      <w:color w:val="auto"/>
                    </w:rPr>
                    <w:t>人</w:t>
                  </w:r>
                </w:p>
              </w:tc>
              <w:tc>
                <w:tcPr>
                  <w:tcW w:w="487" w:type="pct"/>
                  <w:vMerge w:val="restart"/>
                  <w:tcBorders>
                    <w:tl2br w:val="nil"/>
                    <w:tr2bl w:val="nil"/>
                  </w:tcBorders>
                  <w:vAlign w:val="center"/>
                </w:tcPr>
                <w:p w14:paraId="4E88B23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环境功能区</w:t>
                  </w:r>
                </w:p>
              </w:tc>
              <w:tc>
                <w:tcPr>
                  <w:tcW w:w="569" w:type="pct"/>
                  <w:vMerge w:val="restart"/>
                  <w:tcBorders>
                    <w:tl2br w:val="nil"/>
                    <w:tr2bl w:val="nil"/>
                  </w:tcBorders>
                  <w:vAlign w:val="center"/>
                </w:tcPr>
                <w:p w14:paraId="34DEB0E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相对厂址方位</w:t>
                  </w:r>
                </w:p>
              </w:tc>
              <w:tc>
                <w:tcPr>
                  <w:tcW w:w="610" w:type="pct"/>
                  <w:vMerge w:val="restart"/>
                  <w:tcBorders>
                    <w:tl2br w:val="nil"/>
                    <w:tr2bl w:val="nil"/>
                  </w:tcBorders>
                  <w:vAlign w:val="center"/>
                </w:tcPr>
                <w:p w14:paraId="44566FF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相对本项目</w:t>
                  </w:r>
                  <w:r>
                    <w:rPr>
                      <w:rFonts w:hint="eastAsia" w:ascii="Times New Roman" w:hAnsi="Times New Roman"/>
                      <w:b/>
                      <w:bCs/>
                      <w:color w:val="auto"/>
                      <w:lang w:val="en-US"/>
                    </w:rPr>
                    <w:t>最近</w:t>
                  </w:r>
                  <w:r>
                    <w:rPr>
                      <w:rFonts w:hint="eastAsia" w:ascii="Times New Roman" w:hAnsi="Times New Roman"/>
                      <w:b/>
                      <w:bCs/>
                      <w:color w:val="auto"/>
                    </w:rPr>
                    <w:t>距</w:t>
                  </w:r>
                </w:p>
                <w:p w14:paraId="3245738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离</w:t>
                  </w:r>
                  <w:r>
                    <w:rPr>
                      <w:rFonts w:hint="default" w:ascii="Times New Roman" w:hAnsi="Times New Roman"/>
                      <w:b/>
                      <w:bCs/>
                      <w:color w:val="auto"/>
                    </w:rPr>
                    <w:t>/m</w:t>
                  </w:r>
                </w:p>
              </w:tc>
            </w:tr>
            <w:tr w14:paraId="76D69B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 w:hRule="atLeast"/>
                <w:tblHeader/>
                <w:jc w:val="center"/>
              </w:trPr>
              <w:tc>
                <w:tcPr>
                  <w:tcW w:w="919" w:type="pct"/>
                  <w:vMerge w:val="continue"/>
                  <w:tcBorders>
                    <w:tl2br w:val="nil"/>
                    <w:tr2bl w:val="nil"/>
                  </w:tcBorders>
                  <w:vAlign w:val="center"/>
                </w:tcPr>
                <w:p w14:paraId="66FA09E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p>
              </w:tc>
              <w:tc>
                <w:tcPr>
                  <w:tcW w:w="461" w:type="pct"/>
                  <w:tcBorders>
                    <w:tl2br w:val="nil"/>
                    <w:tr2bl w:val="nil"/>
                  </w:tcBorders>
                  <w:vAlign w:val="center"/>
                </w:tcPr>
                <w:p w14:paraId="104C787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b/>
                      <w:bCs/>
                      <w:color w:val="auto"/>
                      <w:sz w:val="21"/>
                    </w:rPr>
                  </w:pPr>
                  <w:r>
                    <w:rPr>
                      <w:rFonts w:hint="eastAsia" w:ascii="Times New Roman" w:hAnsi="Times New Roman"/>
                      <w:b/>
                      <w:bCs/>
                      <w:color w:val="auto"/>
                      <w:sz w:val="21"/>
                    </w:rPr>
                    <w:t>X</w:t>
                  </w:r>
                </w:p>
              </w:tc>
              <w:tc>
                <w:tcPr>
                  <w:tcW w:w="489" w:type="pct"/>
                  <w:tcBorders>
                    <w:tl2br w:val="nil"/>
                    <w:tr2bl w:val="nil"/>
                  </w:tcBorders>
                  <w:vAlign w:val="center"/>
                </w:tcPr>
                <w:p w14:paraId="4862EE7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b/>
                      <w:bCs/>
                      <w:color w:val="auto"/>
                      <w:sz w:val="21"/>
                    </w:rPr>
                  </w:pPr>
                  <w:r>
                    <w:rPr>
                      <w:rFonts w:hint="eastAsia" w:ascii="Times New Roman" w:hAnsi="Times New Roman"/>
                      <w:b/>
                      <w:bCs/>
                      <w:color w:val="auto"/>
                      <w:sz w:val="21"/>
                    </w:rPr>
                    <w:t>Y</w:t>
                  </w:r>
                </w:p>
              </w:tc>
              <w:tc>
                <w:tcPr>
                  <w:tcW w:w="811" w:type="pct"/>
                  <w:vMerge w:val="continue"/>
                  <w:tcBorders>
                    <w:tl2br w:val="nil"/>
                    <w:tr2bl w:val="nil"/>
                  </w:tcBorders>
                  <w:vAlign w:val="center"/>
                </w:tcPr>
                <w:p w14:paraId="5F9E8A0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p>
              </w:tc>
              <w:tc>
                <w:tcPr>
                  <w:tcW w:w="650" w:type="pct"/>
                  <w:vMerge w:val="continue"/>
                  <w:tcBorders>
                    <w:tl2br w:val="nil"/>
                    <w:tr2bl w:val="nil"/>
                  </w:tcBorders>
                  <w:vAlign w:val="center"/>
                </w:tcPr>
                <w:p w14:paraId="6D04A7E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p>
              </w:tc>
              <w:tc>
                <w:tcPr>
                  <w:tcW w:w="487" w:type="pct"/>
                  <w:vMerge w:val="continue"/>
                  <w:tcBorders>
                    <w:tl2br w:val="nil"/>
                    <w:tr2bl w:val="nil"/>
                  </w:tcBorders>
                  <w:vAlign w:val="center"/>
                </w:tcPr>
                <w:p w14:paraId="2DD8177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p>
              </w:tc>
              <w:tc>
                <w:tcPr>
                  <w:tcW w:w="569" w:type="pct"/>
                  <w:vMerge w:val="continue"/>
                  <w:tcBorders>
                    <w:tl2br w:val="nil"/>
                    <w:tr2bl w:val="nil"/>
                  </w:tcBorders>
                  <w:vAlign w:val="center"/>
                </w:tcPr>
                <w:p w14:paraId="1E6306D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p>
              </w:tc>
              <w:tc>
                <w:tcPr>
                  <w:tcW w:w="610" w:type="pct"/>
                  <w:vMerge w:val="continue"/>
                  <w:tcBorders>
                    <w:tl2br w:val="nil"/>
                    <w:tr2bl w:val="nil"/>
                  </w:tcBorders>
                  <w:vAlign w:val="center"/>
                </w:tcPr>
                <w:p w14:paraId="1A3F5D0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p>
              </w:tc>
            </w:tr>
            <w:tr w14:paraId="315581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9" w:type="pct"/>
                  <w:tcBorders>
                    <w:tl2br w:val="nil"/>
                    <w:tr2bl w:val="nil"/>
                  </w:tcBorders>
                  <w:vAlign w:val="center"/>
                </w:tcPr>
                <w:p w14:paraId="0411BBB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olor w:val="auto"/>
                      <w:szCs w:val="21"/>
                      <w:lang w:val="en-US"/>
                    </w:rPr>
                    <w:t>宋庄</w:t>
                  </w:r>
                </w:p>
              </w:tc>
              <w:tc>
                <w:tcPr>
                  <w:tcW w:w="461" w:type="pct"/>
                  <w:tcBorders>
                    <w:tl2br w:val="nil"/>
                    <w:tr2bl w:val="nil"/>
                  </w:tcBorders>
                  <w:vAlign w:val="center"/>
                </w:tcPr>
                <w:p w14:paraId="346F25F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-193</w:t>
                  </w:r>
                </w:p>
              </w:tc>
              <w:tc>
                <w:tcPr>
                  <w:tcW w:w="489" w:type="pct"/>
                  <w:tcBorders>
                    <w:tl2br w:val="nil"/>
                    <w:tr2bl w:val="nil"/>
                  </w:tcBorders>
                  <w:vAlign w:val="center"/>
                </w:tcPr>
                <w:p w14:paraId="243CE4D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423</w:t>
                  </w:r>
                </w:p>
              </w:tc>
              <w:tc>
                <w:tcPr>
                  <w:tcW w:w="811" w:type="pct"/>
                  <w:tcBorders>
                    <w:tl2br w:val="nil"/>
                    <w:tr2bl w:val="nil"/>
                  </w:tcBorders>
                  <w:vAlign w:val="center"/>
                </w:tcPr>
                <w:p w14:paraId="692BF49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rPr>
                    <w:t>居民区</w:t>
                  </w:r>
                </w:p>
              </w:tc>
              <w:tc>
                <w:tcPr>
                  <w:tcW w:w="650" w:type="pct"/>
                  <w:tcBorders>
                    <w:tl2br w:val="nil"/>
                    <w:tr2bl w:val="nil"/>
                  </w:tcBorders>
                  <w:vAlign w:val="center"/>
                </w:tcPr>
                <w:p w14:paraId="40584A2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rPr>
                    <w:t>880</w:t>
                  </w:r>
                </w:p>
              </w:tc>
              <w:tc>
                <w:tcPr>
                  <w:tcW w:w="487" w:type="pct"/>
                  <w:tcBorders>
                    <w:tl2br w:val="nil"/>
                    <w:tr2bl w:val="nil"/>
                  </w:tcBorders>
                  <w:vAlign w:val="center"/>
                </w:tcPr>
                <w:p w14:paraId="3E0E5C2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color w:val="auto"/>
                      <w:szCs w:val="21"/>
                    </w:rPr>
                    <w:t>二类</w:t>
                  </w:r>
                </w:p>
              </w:tc>
              <w:tc>
                <w:tcPr>
                  <w:tcW w:w="569" w:type="pct"/>
                  <w:tcBorders>
                    <w:tl2br w:val="nil"/>
                    <w:tr2bl w:val="nil"/>
                  </w:tcBorders>
                  <w:vAlign w:val="center"/>
                </w:tcPr>
                <w:p w14:paraId="75711C1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rPr>
                    <w:t>NW</w:t>
                  </w:r>
                </w:p>
              </w:tc>
              <w:tc>
                <w:tcPr>
                  <w:tcW w:w="610" w:type="pct"/>
                  <w:tcBorders>
                    <w:tl2br w:val="nil"/>
                    <w:tr2bl w:val="nil"/>
                  </w:tcBorders>
                  <w:vAlign w:val="center"/>
                </w:tcPr>
                <w:p w14:paraId="4703B94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lang w:val="en-US"/>
                    </w:rPr>
                    <w:t>301</w:t>
                  </w:r>
                </w:p>
              </w:tc>
            </w:tr>
            <w:tr w14:paraId="3B1F26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19" w:type="pct"/>
                  <w:tcBorders>
                    <w:tl2br w:val="nil"/>
                    <w:tr2bl w:val="nil"/>
                  </w:tcBorders>
                  <w:vAlign w:val="center"/>
                </w:tcPr>
                <w:p w14:paraId="6B8CCEB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olor w:val="auto"/>
                      <w:szCs w:val="21"/>
                      <w:lang w:val="en-US"/>
                    </w:rPr>
                    <w:t>元巷村</w:t>
                  </w:r>
                </w:p>
              </w:tc>
              <w:tc>
                <w:tcPr>
                  <w:tcW w:w="461" w:type="pct"/>
                  <w:tcBorders>
                    <w:tl2br w:val="nil"/>
                    <w:tr2bl w:val="nil"/>
                  </w:tcBorders>
                  <w:vAlign w:val="center"/>
                </w:tcPr>
                <w:p w14:paraId="1A82D04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183</w:t>
                  </w:r>
                </w:p>
              </w:tc>
              <w:tc>
                <w:tcPr>
                  <w:tcW w:w="489" w:type="pct"/>
                  <w:tcBorders>
                    <w:tl2br w:val="nil"/>
                    <w:tr2bl w:val="nil"/>
                  </w:tcBorders>
                  <w:vAlign w:val="center"/>
                </w:tcPr>
                <w:p w14:paraId="30FD298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-232</w:t>
                  </w:r>
                </w:p>
              </w:tc>
              <w:tc>
                <w:tcPr>
                  <w:tcW w:w="811" w:type="pct"/>
                  <w:tcBorders>
                    <w:tl2br w:val="nil"/>
                    <w:tr2bl w:val="nil"/>
                  </w:tcBorders>
                  <w:vAlign w:val="center"/>
                </w:tcPr>
                <w:p w14:paraId="58F1384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rPr>
                    <w:t>居民区</w:t>
                  </w:r>
                </w:p>
              </w:tc>
              <w:tc>
                <w:tcPr>
                  <w:tcW w:w="650" w:type="pct"/>
                  <w:tcBorders>
                    <w:tl2br w:val="nil"/>
                    <w:tr2bl w:val="nil"/>
                  </w:tcBorders>
                  <w:vAlign w:val="center"/>
                </w:tcPr>
                <w:p w14:paraId="76CAB6A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rPr>
                    <w:t>400</w:t>
                  </w:r>
                </w:p>
              </w:tc>
              <w:tc>
                <w:tcPr>
                  <w:tcW w:w="487" w:type="pct"/>
                  <w:tcBorders>
                    <w:tl2br w:val="nil"/>
                    <w:tr2bl w:val="nil"/>
                  </w:tcBorders>
                  <w:vAlign w:val="center"/>
                </w:tcPr>
                <w:p w14:paraId="1949179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color w:val="auto"/>
                      <w:szCs w:val="21"/>
                    </w:rPr>
                    <w:t>二类</w:t>
                  </w:r>
                </w:p>
              </w:tc>
              <w:tc>
                <w:tcPr>
                  <w:tcW w:w="569" w:type="pct"/>
                  <w:tcBorders>
                    <w:tl2br w:val="nil"/>
                    <w:tr2bl w:val="nil"/>
                  </w:tcBorders>
                  <w:vAlign w:val="center"/>
                </w:tcPr>
                <w:p w14:paraId="10C0DC1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rPr>
                    <w:t>S</w:t>
                  </w:r>
                </w:p>
              </w:tc>
              <w:tc>
                <w:tcPr>
                  <w:tcW w:w="610" w:type="pct"/>
                  <w:tcBorders>
                    <w:tl2br w:val="nil"/>
                    <w:tr2bl w:val="nil"/>
                  </w:tcBorders>
                  <w:vAlign w:val="center"/>
                </w:tcPr>
                <w:p w14:paraId="283E6C2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rPr>
                    <w:t>1</w:t>
                  </w:r>
                  <w:r>
                    <w:rPr>
                      <w:rFonts w:hint="default" w:ascii="Times New Roman" w:hAnsi="Times New Roman"/>
                      <w:color w:val="auto"/>
                    </w:rPr>
                    <w:t>10</w:t>
                  </w:r>
                </w:p>
              </w:tc>
            </w:tr>
            <w:bookmarkEnd w:id="44"/>
          </w:tbl>
          <w:p w14:paraId="6459CD8D">
            <w:pPr>
              <w:keepNext w:val="0"/>
              <w:keepLines w:val="0"/>
              <w:widowControl w:val="0"/>
              <w:suppressLineNumbers w:val="0"/>
              <w:snapToGrid w:val="0"/>
              <w:spacing w:before="0" w:beforeAutospacing="0" w:after="0" w:afterAutospacing="0" w:line="320" w:lineRule="exact"/>
              <w:ind w:left="0" w:right="0"/>
              <w:rPr>
                <w:rFonts w:hint="eastAsia" w:ascii="仿宋_GB2312" w:hAnsi="仿宋_GB2312" w:eastAsia="仿宋_GB2312" w:cs="仿宋_GB2312"/>
                <w:color w:val="auto"/>
                <w:sz w:val="21"/>
              </w:rPr>
            </w:pPr>
            <w:r>
              <w:rPr>
                <w:rFonts w:hint="eastAsia" w:ascii="仿宋_GB2312" w:hAnsi="仿宋_GB2312" w:eastAsia="仿宋_GB2312" w:cs="仿宋_GB2312"/>
                <w:color w:val="auto"/>
                <w:sz w:val="21"/>
              </w:rPr>
              <w:t>备注：以本项目所在地西南角为原点建立模型坐标系，取东西向为X坐标轴、南北向为Y坐标轴。</w:t>
            </w:r>
          </w:p>
          <w:p w14:paraId="52ABE7F7">
            <w:pPr>
              <w:keepNext w:val="0"/>
              <w:keepLines w:val="0"/>
              <w:suppressLineNumbers w:val="0"/>
              <w:spacing w:before="0" w:beforeAutospacing="0" w:after="0" w:afterAutospacing="0" w:line="460" w:lineRule="exact"/>
              <w:ind w:left="0" w:right="0"/>
              <w:jc w:val="center"/>
              <w:rPr>
                <w:rFonts w:hint="default" w:eastAsia="仿宋_GB2312"/>
                <w:b/>
                <w:color w:val="auto"/>
                <w:sz w:val="22"/>
                <w:szCs w:val="22"/>
              </w:rPr>
            </w:pPr>
            <w:r>
              <w:rPr>
                <w:rFonts w:hint="default" w:eastAsia="仿宋_GB2312"/>
                <w:b/>
                <w:color w:val="auto"/>
                <w:sz w:val="22"/>
                <w:szCs w:val="22"/>
              </w:rPr>
              <w:t>表3-</w:t>
            </w:r>
            <w:r>
              <w:rPr>
                <w:rFonts w:hint="eastAsia" w:eastAsia="仿宋_GB2312"/>
                <w:b/>
                <w:color w:val="auto"/>
                <w:sz w:val="22"/>
                <w:szCs w:val="22"/>
                <w:lang w:val="en-US" w:eastAsia="zh-CN"/>
              </w:rPr>
              <w:t>14</w:t>
            </w:r>
            <w:r>
              <w:rPr>
                <w:rFonts w:hint="default" w:eastAsia="仿宋_GB2312"/>
                <w:b/>
                <w:color w:val="auto"/>
                <w:sz w:val="22"/>
                <w:szCs w:val="22"/>
              </w:rPr>
              <w:t xml:space="preserve">  其他环境保护目标表</w:t>
            </w:r>
          </w:p>
          <w:tbl>
            <w:tblPr>
              <w:tblStyle w:val="167"/>
              <w:tblW w:w="503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1110"/>
              <w:gridCol w:w="1687"/>
              <w:gridCol w:w="1287"/>
              <w:gridCol w:w="1949"/>
              <w:gridCol w:w="2987"/>
            </w:tblGrid>
            <w:tr w14:paraId="1C074C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tblHeader/>
                <w:jc w:val="center"/>
              </w:trPr>
              <w:tc>
                <w:tcPr>
                  <w:tcW w:w="615" w:type="pct"/>
                  <w:tcBorders>
                    <w:tl2br w:val="nil"/>
                    <w:tr2bl w:val="nil"/>
                  </w:tcBorders>
                  <w:vAlign w:val="center"/>
                </w:tcPr>
                <w:p w14:paraId="5025DFA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类别</w:t>
                  </w:r>
                </w:p>
              </w:tc>
              <w:tc>
                <w:tcPr>
                  <w:tcW w:w="935" w:type="pct"/>
                  <w:tcBorders>
                    <w:tl2br w:val="nil"/>
                    <w:tr2bl w:val="nil"/>
                  </w:tcBorders>
                  <w:vAlign w:val="center"/>
                </w:tcPr>
                <w:p w14:paraId="3111865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环境保护目标</w:t>
                  </w:r>
                </w:p>
                <w:p w14:paraId="6BB0BDB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名称</w:t>
                  </w:r>
                </w:p>
              </w:tc>
              <w:tc>
                <w:tcPr>
                  <w:tcW w:w="713" w:type="pct"/>
                  <w:tcBorders>
                    <w:tl2br w:val="nil"/>
                    <w:tr2bl w:val="nil"/>
                  </w:tcBorders>
                  <w:vAlign w:val="center"/>
                </w:tcPr>
                <w:p w14:paraId="0CD4C2D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相对</w:t>
                  </w:r>
                  <w:r>
                    <w:rPr>
                      <w:rFonts w:hint="eastAsia" w:ascii="Times New Roman" w:hAnsi="Times New Roman" w:cs="Times New Roman"/>
                      <w:b/>
                      <w:bCs/>
                      <w:color w:val="auto"/>
                      <w:lang w:val="en-US" w:eastAsia="zh-CN"/>
                    </w:rPr>
                    <w:t>出租方</w:t>
                  </w:r>
                  <w:r>
                    <w:rPr>
                      <w:rFonts w:hint="default" w:ascii="Times New Roman" w:hAnsi="Times New Roman" w:eastAsia="仿宋_GB2312" w:cs="Times New Roman"/>
                      <w:b/>
                      <w:bCs/>
                      <w:color w:val="auto"/>
                    </w:rPr>
                    <w:t>厂址方位</w:t>
                  </w:r>
                </w:p>
              </w:tc>
              <w:tc>
                <w:tcPr>
                  <w:tcW w:w="1080" w:type="pct"/>
                  <w:tcBorders>
                    <w:tl2br w:val="nil"/>
                    <w:tr2bl w:val="nil"/>
                  </w:tcBorders>
                  <w:vAlign w:val="center"/>
                </w:tcPr>
                <w:p w14:paraId="11B741D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lang w:val="en-US"/>
                    </w:rPr>
                  </w:pPr>
                  <w:r>
                    <w:rPr>
                      <w:rFonts w:hint="default" w:ascii="Times New Roman" w:hAnsi="Times New Roman" w:eastAsia="仿宋_GB2312" w:cs="Times New Roman"/>
                      <w:b/>
                      <w:bCs/>
                      <w:color w:val="auto"/>
                      <w:lang w:val="en-US"/>
                    </w:rPr>
                    <w:t>相对</w:t>
                  </w:r>
                  <w:r>
                    <w:rPr>
                      <w:rFonts w:hint="eastAsia" w:ascii="Times New Roman" w:hAnsi="Times New Roman" w:cs="Times New Roman"/>
                      <w:b/>
                      <w:bCs/>
                      <w:color w:val="auto"/>
                      <w:lang w:val="en-US" w:eastAsia="zh-CN"/>
                    </w:rPr>
                    <w:t>出租方</w:t>
                  </w:r>
                  <w:r>
                    <w:rPr>
                      <w:rFonts w:hint="default" w:ascii="Times New Roman" w:hAnsi="Times New Roman" w:eastAsia="仿宋_GB2312" w:cs="Times New Roman"/>
                      <w:b/>
                      <w:bCs/>
                      <w:color w:val="auto"/>
                      <w:lang w:val="en-US"/>
                    </w:rPr>
                    <w:t>厂界距离/m</w:t>
                  </w:r>
                </w:p>
              </w:tc>
              <w:tc>
                <w:tcPr>
                  <w:tcW w:w="1655" w:type="pct"/>
                  <w:tcBorders>
                    <w:tl2br w:val="nil"/>
                    <w:tr2bl w:val="nil"/>
                  </w:tcBorders>
                  <w:vAlign w:val="center"/>
                </w:tcPr>
                <w:p w14:paraId="7C06861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环境保护内容</w:t>
                  </w:r>
                </w:p>
              </w:tc>
            </w:tr>
            <w:tr w14:paraId="131643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15" w:type="pct"/>
                  <w:vMerge w:val="restart"/>
                  <w:tcBorders>
                    <w:tl2br w:val="nil"/>
                    <w:tr2bl w:val="nil"/>
                  </w:tcBorders>
                  <w:vAlign w:val="center"/>
                </w:tcPr>
                <w:p w14:paraId="156BA99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地表水环境</w:t>
                  </w:r>
                </w:p>
              </w:tc>
              <w:tc>
                <w:tcPr>
                  <w:tcW w:w="935" w:type="pct"/>
                  <w:tcBorders>
                    <w:tl2br w:val="nil"/>
                    <w:tr2bl w:val="nil"/>
                  </w:tcBorders>
                  <w:vAlign w:val="center"/>
                </w:tcPr>
                <w:p w14:paraId="18EB3AA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尧塘河</w:t>
                  </w:r>
                </w:p>
              </w:tc>
              <w:tc>
                <w:tcPr>
                  <w:tcW w:w="713" w:type="pct"/>
                  <w:tcBorders>
                    <w:tl2br w:val="nil"/>
                    <w:tr2bl w:val="nil"/>
                  </w:tcBorders>
                  <w:vAlign w:val="center"/>
                </w:tcPr>
                <w:p w14:paraId="125DB2A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E</w:t>
                  </w:r>
                </w:p>
              </w:tc>
              <w:tc>
                <w:tcPr>
                  <w:tcW w:w="1080" w:type="pct"/>
                  <w:tcBorders>
                    <w:tl2br w:val="nil"/>
                    <w:tr2bl w:val="nil"/>
                  </w:tcBorders>
                  <w:vAlign w:val="center"/>
                </w:tcPr>
                <w:p w14:paraId="6463943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1890</w:t>
                  </w:r>
                </w:p>
              </w:tc>
              <w:tc>
                <w:tcPr>
                  <w:tcW w:w="1655" w:type="pct"/>
                  <w:tcBorders>
                    <w:tl2br w:val="nil"/>
                    <w:tr2bl w:val="nil"/>
                  </w:tcBorders>
                  <w:vAlign w:val="center"/>
                </w:tcPr>
                <w:p w14:paraId="7BB8A58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《地表水环境质量标准》GB3838-2002Ⅲ类</w:t>
                  </w:r>
                </w:p>
              </w:tc>
            </w:tr>
            <w:tr w14:paraId="2994BE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15" w:type="pct"/>
                  <w:vMerge w:val="continue"/>
                  <w:tcBorders>
                    <w:tl2br w:val="nil"/>
                    <w:tr2bl w:val="nil"/>
                  </w:tcBorders>
                  <w:vAlign w:val="center"/>
                </w:tcPr>
                <w:p w14:paraId="1C19B50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c>
                <w:tcPr>
                  <w:tcW w:w="935" w:type="pct"/>
                  <w:tcBorders>
                    <w:tl2br w:val="nil"/>
                    <w:tr2bl w:val="nil"/>
                  </w:tcBorders>
                  <w:vAlign w:val="center"/>
                </w:tcPr>
                <w:p w14:paraId="4B2C247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城西中心河</w:t>
                  </w:r>
                </w:p>
              </w:tc>
              <w:tc>
                <w:tcPr>
                  <w:tcW w:w="713" w:type="pct"/>
                  <w:tcBorders>
                    <w:tl2br w:val="nil"/>
                    <w:tr2bl w:val="nil"/>
                  </w:tcBorders>
                  <w:vAlign w:val="center"/>
                </w:tcPr>
                <w:p w14:paraId="416EE86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N</w:t>
                  </w:r>
                </w:p>
              </w:tc>
              <w:tc>
                <w:tcPr>
                  <w:tcW w:w="1080" w:type="pct"/>
                  <w:tcBorders>
                    <w:tl2br w:val="nil"/>
                    <w:tr2bl w:val="nil"/>
                  </w:tcBorders>
                  <w:vAlign w:val="center"/>
                </w:tcPr>
                <w:p w14:paraId="0B1701C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250</w:t>
                  </w:r>
                </w:p>
              </w:tc>
              <w:tc>
                <w:tcPr>
                  <w:tcW w:w="1655" w:type="pct"/>
                  <w:tcBorders>
                    <w:tl2br w:val="nil"/>
                    <w:tr2bl w:val="nil"/>
                  </w:tcBorders>
                  <w:vAlign w:val="center"/>
                </w:tcPr>
                <w:p w14:paraId="2BEE5A0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《地表水环境质量标准》GB3838-2002Ⅳ类</w:t>
                  </w:r>
                </w:p>
              </w:tc>
            </w:tr>
            <w:tr w14:paraId="1A24C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15" w:type="pct"/>
                  <w:vMerge w:val="restart"/>
                  <w:tcBorders>
                    <w:tl2br w:val="nil"/>
                    <w:tr2bl w:val="nil"/>
                  </w:tcBorders>
                  <w:vAlign w:val="center"/>
                </w:tcPr>
                <w:p w14:paraId="3B208AE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生态环境</w:t>
                  </w:r>
                </w:p>
              </w:tc>
              <w:tc>
                <w:tcPr>
                  <w:tcW w:w="935" w:type="pct"/>
                  <w:tcBorders>
                    <w:tl2br w:val="nil"/>
                    <w:tr2bl w:val="nil"/>
                  </w:tcBorders>
                  <w:vAlign w:val="center"/>
                </w:tcPr>
                <w:p w14:paraId="4B505F4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丹金溧漕河（金坛区）洪水调蓄区</w:t>
                  </w:r>
                </w:p>
              </w:tc>
              <w:tc>
                <w:tcPr>
                  <w:tcW w:w="713" w:type="pct"/>
                  <w:tcBorders>
                    <w:tl2br w:val="nil"/>
                    <w:tr2bl w:val="nil"/>
                  </w:tcBorders>
                  <w:vAlign w:val="center"/>
                </w:tcPr>
                <w:p w14:paraId="69A9871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N</w:t>
                  </w:r>
                </w:p>
              </w:tc>
              <w:tc>
                <w:tcPr>
                  <w:tcW w:w="1080" w:type="pct"/>
                  <w:tcBorders>
                    <w:tl2br w:val="nil"/>
                    <w:tr2bl w:val="nil"/>
                  </w:tcBorders>
                  <w:vAlign w:val="center"/>
                </w:tcPr>
                <w:p w14:paraId="2F3BD24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2650</w:t>
                  </w:r>
                </w:p>
              </w:tc>
              <w:tc>
                <w:tcPr>
                  <w:tcW w:w="1655" w:type="pct"/>
                  <w:tcBorders>
                    <w:tl2br w:val="nil"/>
                    <w:tr2bl w:val="nil"/>
                  </w:tcBorders>
                  <w:vAlign w:val="center"/>
                </w:tcPr>
                <w:p w14:paraId="7E9687C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0"/>
                    </w:rPr>
                  </w:pPr>
                  <w:r>
                    <w:rPr>
                      <w:rFonts w:hint="default" w:ascii="Times New Roman" w:hAnsi="Times New Roman" w:eastAsia="仿宋_GB2312" w:cs="Times New Roman"/>
                      <w:color w:val="auto"/>
                      <w:kern w:val="0"/>
                      <w:sz w:val="21"/>
                      <w:szCs w:val="20"/>
                    </w:rPr>
                    <w:t>洪水调蓄</w:t>
                  </w:r>
                </w:p>
              </w:tc>
            </w:tr>
            <w:tr w14:paraId="472DE3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15" w:type="pct"/>
                  <w:vMerge w:val="continue"/>
                  <w:tcBorders>
                    <w:tl2br w:val="nil"/>
                    <w:tr2bl w:val="nil"/>
                  </w:tcBorders>
                  <w:vAlign w:val="center"/>
                </w:tcPr>
                <w:p w14:paraId="595975A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p>
              </w:tc>
              <w:tc>
                <w:tcPr>
                  <w:tcW w:w="935" w:type="pct"/>
                  <w:tcBorders>
                    <w:tl2br w:val="nil"/>
                    <w:tr2bl w:val="nil"/>
                  </w:tcBorders>
                  <w:vAlign w:val="center"/>
                </w:tcPr>
                <w:p w14:paraId="3DBD4B1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天荒湖重要渔业水域</w:t>
                  </w:r>
                </w:p>
              </w:tc>
              <w:tc>
                <w:tcPr>
                  <w:tcW w:w="713" w:type="pct"/>
                  <w:tcBorders>
                    <w:tl2br w:val="nil"/>
                    <w:tr2bl w:val="nil"/>
                  </w:tcBorders>
                  <w:vAlign w:val="center"/>
                </w:tcPr>
                <w:p w14:paraId="35B49CE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NW</w:t>
                  </w:r>
                </w:p>
              </w:tc>
              <w:tc>
                <w:tcPr>
                  <w:tcW w:w="1080" w:type="pct"/>
                  <w:tcBorders>
                    <w:tl2br w:val="nil"/>
                    <w:tr2bl w:val="nil"/>
                  </w:tcBorders>
                  <w:vAlign w:val="center"/>
                </w:tcPr>
                <w:p w14:paraId="6BB3DE1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3100</w:t>
                  </w:r>
                </w:p>
              </w:tc>
              <w:tc>
                <w:tcPr>
                  <w:tcW w:w="1655" w:type="pct"/>
                  <w:tcBorders>
                    <w:tl2br w:val="nil"/>
                    <w:tr2bl w:val="nil"/>
                  </w:tcBorders>
                  <w:vAlign w:val="center"/>
                </w:tcPr>
                <w:p w14:paraId="53DAAA1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0"/>
                      <w:lang w:val="zh-CN"/>
                    </w:rPr>
                  </w:pPr>
                  <w:r>
                    <w:rPr>
                      <w:rFonts w:hint="default" w:ascii="Times New Roman" w:hAnsi="Times New Roman" w:eastAsia="仿宋_GB2312" w:cs="Times New Roman"/>
                      <w:color w:val="auto"/>
                      <w:kern w:val="0"/>
                      <w:sz w:val="21"/>
                      <w:szCs w:val="20"/>
                    </w:rPr>
                    <w:t>根据《江苏省生态空间管控区域保护规划》，主要生态功能为</w:t>
                  </w:r>
                  <w:r>
                    <w:rPr>
                      <w:rFonts w:hint="default" w:ascii="Times New Roman" w:hAnsi="Times New Roman" w:eastAsia="仿宋_GB2312" w:cs="Times New Roman"/>
                      <w:color w:val="auto"/>
                      <w:kern w:val="0"/>
                      <w:sz w:val="21"/>
                      <w:szCs w:val="20"/>
                      <w:lang w:val="zh-CN"/>
                    </w:rPr>
                    <w:t>渔业资源保护</w:t>
                  </w:r>
                </w:p>
              </w:tc>
            </w:tr>
            <w:tr w14:paraId="1B2EC8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15" w:type="pct"/>
                  <w:vMerge w:val="continue"/>
                  <w:tcBorders>
                    <w:tl2br w:val="nil"/>
                    <w:tr2bl w:val="nil"/>
                  </w:tcBorders>
                  <w:vAlign w:val="center"/>
                </w:tcPr>
                <w:p w14:paraId="3719C9A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c>
                <w:tcPr>
                  <w:tcW w:w="935" w:type="pct"/>
                  <w:tcBorders>
                    <w:tl2br w:val="nil"/>
                    <w:tr2bl w:val="nil"/>
                  </w:tcBorders>
                  <w:vAlign w:val="center"/>
                </w:tcPr>
                <w:p w14:paraId="1FEB6C6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钱资荡重要湿地</w:t>
                  </w:r>
                </w:p>
              </w:tc>
              <w:tc>
                <w:tcPr>
                  <w:tcW w:w="713" w:type="pct"/>
                  <w:tcBorders>
                    <w:tl2br w:val="nil"/>
                    <w:tr2bl w:val="nil"/>
                  </w:tcBorders>
                  <w:vAlign w:val="center"/>
                </w:tcPr>
                <w:p w14:paraId="75C76F7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E</w:t>
                  </w:r>
                </w:p>
              </w:tc>
              <w:tc>
                <w:tcPr>
                  <w:tcW w:w="1080" w:type="pct"/>
                  <w:tcBorders>
                    <w:tl2br w:val="nil"/>
                    <w:tr2bl w:val="nil"/>
                  </w:tcBorders>
                  <w:vAlign w:val="center"/>
                </w:tcPr>
                <w:p w14:paraId="48AA3B8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highlight w:val="yellow"/>
                      <w:lang w:val="en-US"/>
                    </w:rPr>
                  </w:pPr>
                  <w:r>
                    <w:rPr>
                      <w:rFonts w:hint="default" w:ascii="Times New Roman" w:hAnsi="Times New Roman" w:eastAsia="仿宋_GB2312" w:cs="Times New Roman"/>
                      <w:color w:val="auto"/>
                      <w:lang w:val="en-US"/>
                    </w:rPr>
                    <w:t>5390</w:t>
                  </w:r>
                </w:p>
              </w:tc>
              <w:tc>
                <w:tcPr>
                  <w:tcW w:w="1655" w:type="pct"/>
                  <w:tcBorders>
                    <w:tl2br w:val="nil"/>
                    <w:tr2bl w:val="nil"/>
                  </w:tcBorders>
                  <w:vAlign w:val="center"/>
                </w:tcPr>
                <w:p w14:paraId="61F941C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0"/>
                      <w:highlight w:val="yellow"/>
                    </w:rPr>
                  </w:pPr>
                  <w:r>
                    <w:rPr>
                      <w:rFonts w:hint="default" w:ascii="Times New Roman" w:hAnsi="Times New Roman" w:eastAsia="仿宋_GB2312" w:cs="Times New Roman"/>
                      <w:color w:val="auto"/>
                      <w:kern w:val="0"/>
                      <w:sz w:val="21"/>
                      <w:szCs w:val="20"/>
                    </w:rPr>
                    <w:t>根据《江苏省生态空间管控区域保护规划》，主要生态功能为</w:t>
                  </w:r>
                  <w:r>
                    <w:rPr>
                      <w:rFonts w:hint="default" w:ascii="Times New Roman" w:hAnsi="Times New Roman" w:eastAsia="仿宋_GB2312" w:cs="Times New Roman"/>
                      <w:color w:val="auto"/>
                      <w:kern w:val="0"/>
                      <w:sz w:val="21"/>
                      <w:szCs w:val="20"/>
                      <w:lang w:val="zh-CN"/>
                    </w:rPr>
                    <w:t>湿地生态系统保护</w:t>
                  </w:r>
                </w:p>
              </w:tc>
            </w:tr>
          </w:tbl>
          <w:p w14:paraId="51E5E28C">
            <w:pPr>
              <w:pStyle w:val="2"/>
              <w:keepNext w:val="0"/>
              <w:keepLines w:val="0"/>
              <w:suppressLineNumbers w:val="0"/>
              <w:spacing w:beforeAutospacing="0" w:afterAutospacing="0"/>
              <w:ind w:left="0"/>
              <w:rPr>
                <w:rFonts w:hint="default" w:eastAsia="仿宋_GB2312"/>
                <w:b/>
                <w:color w:val="auto"/>
                <w:sz w:val="22"/>
                <w:szCs w:val="22"/>
              </w:rPr>
            </w:pPr>
          </w:p>
          <w:p w14:paraId="3A72A823">
            <w:pPr>
              <w:pStyle w:val="3"/>
              <w:keepNext w:val="0"/>
              <w:keepLines w:val="0"/>
              <w:suppressLineNumbers w:val="0"/>
              <w:spacing w:before="0" w:beforeAutospacing="0" w:after="0" w:afterAutospacing="0"/>
              <w:ind w:right="0"/>
              <w:rPr>
                <w:rFonts w:hint="default" w:eastAsia="仿宋_GB2312"/>
                <w:b/>
                <w:color w:val="auto"/>
                <w:sz w:val="22"/>
                <w:szCs w:val="22"/>
              </w:rPr>
            </w:pPr>
          </w:p>
          <w:p w14:paraId="06C590FD">
            <w:pPr>
              <w:pStyle w:val="3"/>
              <w:keepNext w:val="0"/>
              <w:keepLines w:val="0"/>
              <w:suppressLineNumbers w:val="0"/>
              <w:spacing w:before="0" w:beforeAutospacing="0" w:after="0" w:afterAutospacing="0"/>
              <w:ind w:right="0"/>
              <w:rPr>
                <w:rFonts w:hint="default" w:eastAsia="仿宋_GB2312"/>
                <w:b/>
                <w:color w:val="auto"/>
                <w:sz w:val="22"/>
                <w:szCs w:val="22"/>
              </w:rPr>
            </w:pPr>
          </w:p>
          <w:p w14:paraId="0DD82843">
            <w:pPr>
              <w:pStyle w:val="3"/>
              <w:keepNext w:val="0"/>
              <w:keepLines w:val="0"/>
              <w:suppressLineNumbers w:val="0"/>
              <w:spacing w:before="0" w:beforeAutospacing="0" w:after="0" w:afterAutospacing="0"/>
              <w:ind w:right="0"/>
              <w:rPr>
                <w:rFonts w:hint="default" w:eastAsia="仿宋_GB2312"/>
                <w:b/>
                <w:color w:val="auto"/>
                <w:sz w:val="22"/>
                <w:szCs w:val="22"/>
              </w:rPr>
            </w:pPr>
          </w:p>
          <w:p w14:paraId="72392AEC">
            <w:pPr>
              <w:pStyle w:val="3"/>
              <w:keepNext w:val="0"/>
              <w:keepLines w:val="0"/>
              <w:suppressLineNumbers w:val="0"/>
              <w:spacing w:before="0" w:beforeAutospacing="0" w:after="0" w:afterAutospacing="0"/>
              <w:ind w:right="0"/>
              <w:rPr>
                <w:rFonts w:hint="default" w:eastAsia="仿宋_GB2312"/>
                <w:b/>
                <w:color w:val="auto"/>
                <w:sz w:val="22"/>
                <w:szCs w:val="22"/>
              </w:rPr>
            </w:pPr>
          </w:p>
          <w:p w14:paraId="25F20F6D">
            <w:pPr>
              <w:pStyle w:val="3"/>
              <w:keepNext w:val="0"/>
              <w:keepLines w:val="0"/>
              <w:suppressLineNumbers w:val="0"/>
              <w:spacing w:before="0" w:beforeAutospacing="0" w:after="0" w:afterAutospacing="0"/>
              <w:ind w:right="0"/>
              <w:rPr>
                <w:rFonts w:hint="default" w:eastAsia="仿宋_GB2312"/>
                <w:b/>
                <w:color w:val="auto"/>
                <w:sz w:val="22"/>
                <w:szCs w:val="22"/>
              </w:rPr>
            </w:pPr>
          </w:p>
          <w:p w14:paraId="480DE54C">
            <w:pPr>
              <w:pStyle w:val="3"/>
              <w:keepNext w:val="0"/>
              <w:keepLines w:val="0"/>
              <w:suppressLineNumbers w:val="0"/>
              <w:spacing w:before="0" w:beforeAutospacing="0" w:after="0" w:afterAutospacing="0"/>
              <w:ind w:right="0"/>
              <w:rPr>
                <w:rFonts w:hint="default" w:eastAsia="仿宋_GB2312"/>
                <w:b/>
                <w:color w:val="auto"/>
                <w:sz w:val="22"/>
                <w:szCs w:val="22"/>
              </w:rPr>
            </w:pPr>
          </w:p>
          <w:p w14:paraId="0C9C989D">
            <w:pPr>
              <w:pStyle w:val="3"/>
              <w:keepNext w:val="0"/>
              <w:keepLines w:val="0"/>
              <w:suppressLineNumbers w:val="0"/>
              <w:spacing w:before="0" w:beforeAutospacing="0" w:after="0" w:afterAutospacing="0"/>
              <w:ind w:right="0"/>
              <w:rPr>
                <w:rFonts w:hint="default" w:eastAsia="仿宋_GB2312"/>
                <w:b/>
                <w:color w:val="auto"/>
                <w:sz w:val="22"/>
                <w:szCs w:val="22"/>
              </w:rPr>
            </w:pPr>
          </w:p>
          <w:p w14:paraId="52E9E724">
            <w:pPr>
              <w:pStyle w:val="3"/>
              <w:keepNext w:val="0"/>
              <w:keepLines w:val="0"/>
              <w:suppressLineNumbers w:val="0"/>
              <w:spacing w:before="0" w:beforeAutospacing="0" w:after="0" w:afterAutospacing="0"/>
              <w:ind w:right="0"/>
              <w:rPr>
                <w:rFonts w:hint="default" w:eastAsia="仿宋_GB2312"/>
                <w:b/>
                <w:color w:val="auto"/>
                <w:sz w:val="22"/>
                <w:szCs w:val="22"/>
              </w:rPr>
            </w:pPr>
          </w:p>
          <w:p w14:paraId="47A03842">
            <w:pPr>
              <w:pStyle w:val="3"/>
              <w:keepNext w:val="0"/>
              <w:keepLines w:val="0"/>
              <w:suppressLineNumbers w:val="0"/>
              <w:spacing w:before="0" w:beforeAutospacing="0" w:after="0" w:afterAutospacing="0"/>
              <w:ind w:right="0"/>
              <w:rPr>
                <w:rFonts w:hint="default" w:eastAsia="仿宋_GB2312"/>
                <w:b/>
                <w:color w:val="auto"/>
                <w:sz w:val="22"/>
                <w:szCs w:val="22"/>
              </w:rPr>
            </w:pPr>
          </w:p>
          <w:p w14:paraId="775D522A">
            <w:pPr>
              <w:pStyle w:val="3"/>
              <w:keepNext w:val="0"/>
              <w:keepLines w:val="0"/>
              <w:suppressLineNumbers w:val="0"/>
              <w:spacing w:before="0" w:beforeAutospacing="0" w:after="0" w:afterAutospacing="0"/>
              <w:ind w:right="0"/>
              <w:rPr>
                <w:rFonts w:hint="default" w:eastAsia="仿宋_GB2312"/>
                <w:b/>
                <w:color w:val="auto"/>
                <w:sz w:val="22"/>
                <w:szCs w:val="22"/>
              </w:rPr>
            </w:pPr>
          </w:p>
          <w:p w14:paraId="6789313C">
            <w:pPr>
              <w:pStyle w:val="3"/>
              <w:keepNext w:val="0"/>
              <w:keepLines w:val="0"/>
              <w:suppressLineNumbers w:val="0"/>
              <w:spacing w:before="0" w:beforeAutospacing="0" w:after="0" w:afterAutospacing="0"/>
              <w:ind w:right="0"/>
              <w:rPr>
                <w:rFonts w:hint="default" w:eastAsia="仿宋_GB2312"/>
                <w:b/>
                <w:color w:val="auto"/>
                <w:sz w:val="22"/>
                <w:szCs w:val="22"/>
              </w:rPr>
            </w:pPr>
          </w:p>
          <w:p w14:paraId="03C4E473">
            <w:pPr>
              <w:pStyle w:val="3"/>
              <w:keepNext w:val="0"/>
              <w:keepLines w:val="0"/>
              <w:suppressLineNumbers w:val="0"/>
              <w:spacing w:before="0" w:beforeAutospacing="0" w:after="0" w:afterAutospacing="0"/>
              <w:ind w:right="0"/>
              <w:rPr>
                <w:rFonts w:hint="default" w:eastAsia="仿宋_GB2312"/>
                <w:b/>
                <w:color w:val="auto"/>
                <w:sz w:val="22"/>
                <w:szCs w:val="22"/>
              </w:rPr>
            </w:pPr>
          </w:p>
          <w:p w14:paraId="0E790D3A">
            <w:pPr>
              <w:pStyle w:val="3"/>
              <w:keepNext w:val="0"/>
              <w:keepLines w:val="0"/>
              <w:suppressLineNumbers w:val="0"/>
              <w:spacing w:before="0" w:beforeAutospacing="0" w:after="0" w:afterAutospacing="0"/>
              <w:ind w:right="0"/>
              <w:rPr>
                <w:rFonts w:hint="default" w:eastAsia="仿宋_GB2312"/>
                <w:b/>
                <w:color w:val="auto"/>
                <w:sz w:val="22"/>
                <w:szCs w:val="22"/>
              </w:rPr>
            </w:pPr>
          </w:p>
          <w:p w14:paraId="4F0DA034">
            <w:pPr>
              <w:pStyle w:val="3"/>
              <w:keepNext w:val="0"/>
              <w:keepLines w:val="0"/>
              <w:suppressLineNumbers w:val="0"/>
              <w:spacing w:before="0" w:beforeAutospacing="0" w:after="0" w:afterAutospacing="0"/>
              <w:ind w:right="0"/>
              <w:rPr>
                <w:rFonts w:hint="default" w:eastAsia="仿宋_GB2312"/>
                <w:b/>
                <w:color w:val="auto"/>
                <w:sz w:val="22"/>
                <w:szCs w:val="22"/>
              </w:rPr>
            </w:pPr>
          </w:p>
          <w:p w14:paraId="31E75360">
            <w:pPr>
              <w:pStyle w:val="3"/>
              <w:keepNext w:val="0"/>
              <w:keepLines w:val="0"/>
              <w:suppressLineNumbers w:val="0"/>
              <w:spacing w:before="0" w:beforeAutospacing="0" w:after="0" w:afterAutospacing="0"/>
              <w:ind w:right="0"/>
              <w:rPr>
                <w:rFonts w:hint="default" w:eastAsia="仿宋_GB2312"/>
                <w:b/>
                <w:color w:val="auto"/>
                <w:sz w:val="22"/>
                <w:szCs w:val="22"/>
              </w:rPr>
            </w:pPr>
          </w:p>
          <w:p w14:paraId="75FC5CFD">
            <w:pPr>
              <w:keepNext w:val="0"/>
              <w:keepLines w:val="0"/>
              <w:suppressLineNumbers w:val="0"/>
              <w:spacing w:before="0" w:beforeAutospacing="0" w:after="0" w:afterAutospacing="0"/>
              <w:ind w:left="0" w:right="0"/>
              <w:rPr>
                <w:rFonts w:hint="default" w:eastAsia="仿宋_GB2312"/>
                <w:color w:val="auto"/>
                <w:sz w:val="18"/>
                <w:szCs w:val="18"/>
              </w:rPr>
            </w:pPr>
          </w:p>
        </w:tc>
      </w:tr>
    </w:tbl>
    <w:p w14:paraId="1B87F160">
      <w:pPr>
        <w:rPr>
          <w:color w:val="auto"/>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tbl>
      <w:tblPr>
        <w:tblStyle w:val="87"/>
        <w:tblW w:w="53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06"/>
      </w:tblGrid>
      <w:tr w14:paraId="067DE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56" w:type="dxa"/>
            <w:tcMar>
              <w:left w:w="28" w:type="dxa"/>
              <w:right w:w="28" w:type="dxa"/>
            </w:tcMar>
            <w:vAlign w:val="center"/>
          </w:tcPr>
          <w:p w14:paraId="1F208B32">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污染</w:t>
            </w:r>
          </w:p>
          <w:p w14:paraId="12270D72">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物排</w:t>
            </w:r>
          </w:p>
          <w:p w14:paraId="26A04AF5">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放控</w:t>
            </w:r>
          </w:p>
          <w:p w14:paraId="6E045EC9">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制标</w:t>
            </w:r>
          </w:p>
          <w:p w14:paraId="00ACA2B5">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准</w:t>
            </w:r>
          </w:p>
        </w:tc>
        <w:tc>
          <w:tcPr>
            <w:tcW w:w="9206" w:type="dxa"/>
            <w:tcBorders>
              <w:top w:val="single" w:color="auto" w:sz="4" w:space="0"/>
              <w:bottom w:val="single" w:color="auto" w:sz="4" w:space="0"/>
              <w:right w:val="single" w:color="auto" w:sz="4" w:space="0"/>
            </w:tcBorders>
            <w:vAlign w:val="center"/>
          </w:tcPr>
          <w:p w14:paraId="6BD8722C">
            <w:pPr>
              <w:keepNext w:val="0"/>
              <w:keepLines w:val="0"/>
              <w:suppressLineNumbers w:val="0"/>
              <w:snapToGrid w:val="0"/>
              <w:spacing w:before="0" w:beforeAutospacing="0" w:after="0" w:afterAutospacing="0" w:line="500" w:lineRule="exact"/>
              <w:ind w:left="0" w:right="0"/>
              <w:rPr>
                <w:rFonts w:hint="default" w:eastAsia="仿宋_GB2312"/>
                <w:b/>
                <w:bCs/>
                <w:color w:val="auto"/>
                <w:sz w:val="24"/>
              </w:rPr>
            </w:pPr>
            <w:r>
              <w:rPr>
                <w:rFonts w:hint="default" w:eastAsia="仿宋_GB2312"/>
                <w:b/>
                <w:bCs/>
                <w:color w:val="auto"/>
                <w:sz w:val="24"/>
              </w:rPr>
              <w:t>1、废气</w:t>
            </w:r>
          </w:p>
          <w:p w14:paraId="2BBEE8A0">
            <w:pPr>
              <w:keepNext w:val="0"/>
              <w:keepLines w:val="0"/>
              <w:suppressLineNumbers w:val="0"/>
              <w:tabs>
                <w:tab w:val="left" w:pos="5098"/>
              </w:tabs>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本项目大气污染物排放标准具体见下表。</w:t>
            </w:r>
          </w:p>
          <w:p w14:paraId="23484B1E">
            <w:pPr>
              <w:keepNext w:val="0"/>
              <w:keepLines w:val="0"/>
              <w:suppressLineNumbers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表3-</w:t>
            </w:r>
            <w:r>
              <w:rPr>
                <w:rFonts w:hint="eastAsia" w:eastAsia="仿宋_GB2312"/>
                <w:b/>
                <w:color w:val="auto"/>
                <w:sz w:val="22"/>
                <w:szCs w:val="22"/>
                <w:lang w:val="en-US" w:eastAsia="zh-CN"/>
              </w:rPr>
              <w:t>15</w:t>
            </w:r>
            <w:r>
              <w:rPr>
                <w:rFonts w:hint="default" w:eastAsia="仿宋_GB2312"/>
                <w:b/>
                <w:color w:val="auto"/>
                <w:sz w:val="22"/>
                <w:szCs w:val="22"/>
              </w:rPr>
              <w:t xml:space="preserve">  有组织废气排放标准</w:t>
            </w:r>
          </w:p>
          <w:tbl>
            <w:tblPr>
              <w:tblStyle w:val="8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45" w:type="dxa"/>
                <w:bottom w:w="0" w:type="dxa"/>
                <w:right w:w="45" w:type="dxa"/>
              </w:tblCellMar>
            </w:tblPr>
            <w:tblGrid>
              <w:gridCol w:w="1621"/>
              <w:gridCol w:w="1312"/>
              <w:gridCol w:w="1453"/>
              <w:gridCol w:w="871"/>
              <w:gridCol w:w="1161"/>
              <w:gridCol w:w="2537"/>
            </w:tblGrid>
            <w:tr w14:paraId="3E3B35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tcBorders>
                    <w:tl2br w:val="nil"/>
                    <w:tr2bl w:val="nil"/>
                  </w:tcBorders>
                  <w:vAlign w:val="center"/>
                </w:tcPr>
                <w:p w14:paraId="00DF0D2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排气筒名称</w:t>
                  </w:r>
                </w:p>
              </w:tc>
              <w:tc>
                <w:tcPr>
                  <w:tcW w:w="732" w:type="pct"/>
                  <w:tcBorders>
                    <w:tl2br w:val="nil"/>
                    <w:tr2bl w:val="nil"/>
                  </w:tcBorders>
                  <w:vAlign w:val="center"/>
                </w:tcPr>
                <w:p w14:paraId="1D736F4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污染物名称</w:t>
                  </w:r>
                </w:p>
              </w:tc>
              <w:tc>
                <w:tcPr>
                  <w:tcW w:w="811" w:type="pct"/>
                  <w:tcBorders>
                    <w:tl2br w:val="nil"/>
                    <w:tr2bl w:val="nil"/>
                  </w:tcBorders>
                  <w:vAlign w:val="center"/>
                </w:tcPr>
                <w:p w14:paraId="7B20211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最高允许排放浓度(mg/m</w:t>
                  </w:r>
                  <w:r>
                    <w:rPr>
                      <w:rFonts w:hint="default" w:ascii="Times New Roman" w:hAnsi="Times New Roman" w:eastAsia="仿宋_GB2312" w:cs="Times New Roman"/>
                      <w:b/>
                      <w:color w:val="auto"/>
                      <w:sz w:val="21"/>
                      <w:szCs w:val="21"/>
                      <w:vertAlign w:val="superscript"/>
                    </w:rPr>
                    <w:t>3</w:t>
                  </w:r>
                  <w:r>
                    <w:rPr>
                      <w:rFonts w:hint="default" w:ascii="Times New Roman" w:hAnsi="Times New Roman" w:eastAsia="仿宋_GB2312" w:cs="Times New Roman"/>
                      <w:b/>
                      <w:color w:val="auto"/>
                      <w:sz w:val="21"/>
                      <w:szCs w:val="21"/>
                    </w:rPr>
                    <w:t>)</w:t>
                  </w:r>
                </w:p>
              </w:tc>
              <w:tc>
                <w:tcPr>
                  <w:tcW w:w="486" w:type="pct"/>
                  <w:tcBorders>
                    <w:tl2br w:val="nil"/>
                    <w:tr2bl w:val="nil"/>
                  </w:tcBorders>
                  <w:vAlign w:val="center"/>
                </w:tcPr>
                <w:p w14:paraId="650181D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排气筒高度(m)</w:t>
                  </w:r>
                </w:p>
              </w:tc>
              <w:tc>
                <w:tcPr>
                  <w:tcW w:w="648" w:type="pct"/>
                  <w:tcBorders>
                    <w:tl2br w:val="nil"/>
                    <w:tr2bl w:val="nil"/>
                  </w:tcBorders>
                  <w:vAlign w:val="center"/>
                </w:tcPr>
                <w:p w14:paraId="74B0812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排放速率(kg/h)</w:t>
                  </w:r>
                </w:p>
              </w:tc>
              <w:tc>
                <w:tcPr>
                  <w:tcW w:w="1416" w:type="pct"/>
                  <w:tcBorders>
                    <w:tl2br w:val="nil"/>
                    <w:tr2bl w:val="nil"/>
                  </w:tcBorders>
                  <w:vAlign w:val="center"/>
                </w:tcPr>
                <w:p w14:paraId="18C02EA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标准来源</w:t>
                  </w:r>
                </w:p>
              </w:tc>
            </w:tr>
            <w:tr w14:paraId="2122EB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tcBorders>
                    <w:tl2br w:val="nil"/>
                    <w:tr2bl w:val="nil"/>
                  </w:tcBorders>
                  <w:vAlign w:val="center"/>
                </w:tcPr>
                <w:p w14:paraId="0F73EB7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DA001</w:t>
                  </w:r>
                </w:p>
              </w:tc>
              <w:tc>
                <w:tcPr>
                  <w:tcW w:w="732" w:type="pct"/>
                  <w:tcBorders>
                    <w:tl2br w:val="nil"/>
                    <w:tr2bl w:val="nil"/>
                  </w:tcBorders>
                  <w:vAlign w:val="center"/>
                </w:tcPr>
                <w:p w14:paraId="41208E3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颗粒物</w:t>
                  </w:r>
                </w:p>
              </w:tc>
              <w:tc>
                <w:tcPr>
                  <w:tcW w:w="811" w:type="pct"/>
                  <w:tcBorders>
                    <w:tl2br w:val="nil"/>
                    <w:tr2bl w:val="nil"/>
                  </w:tcBorders>
                  <w:vAlign w:val="center"/>
                </w:tcPr>
                <w:p w14:paraId="0B25285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20</w:t>
                  </w:r>
                </w:p>
              </w:tc>
              <w:tc>
                <w:tcPr>
                  <w:tcW w:w="486" w:type="pct"/>
                  <w:tcBorders>
                    <w:tl2br w:val="nil"/>
                    <w:tr2bl w:val="nil"/>
                  </w:tcBorders>
                  <w:vAlign w:val="center"/>
                </w:tcPr>
                <w:p w14:paraId="0254482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15</w:t>
                  </w:r>
                </w:p>
              </w:tc>
              <w:tc>
                <w:tcPr>
                  <w:tcW w:w="648" w:type="pct"/>
                  <w:tcBorders>
                    <w:tl2br w:val="nil"/>
                    <w:tr2bl w:val="nil"/>
                  </w:tcBorders>
                  <w:vAlign w:val="center"/>
                </w:tcPr>
                <w:p w14:paraId="09502D5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highlight w:val="yellow"/>
                    </w:rPr>
                  </w:pPr>
                  <w:r>
                    <w:rPr>
                      <w:rFonts w:hint="default" w:ascii="Times New Roman" w:hAnsi="Times New Roman" w:eastAsia="仿宋_GB2312" w:cs="Times New Roman"/>
                      <w:bCs/>
                      <w:color w:val="auto"/>
                      <w:sz w:val="21"/>
                      <w:szCs w:val="21"/>
                    </w:rPr>
                    <w:t>1</w:t>
                  </w:r>
                </w:p>
              </w:tc>
              <w:tc>
                <w:tcPr>
                  <w:tcW w:w="1416" w:type="pct"/>
                  <w:vMerge w:val="restart"/>
                  <w:tcBorders>
                    <w:tl2br w:val="nil"/>
                    <w:tr2bl w:val="nil"/>
                  </w:tcBorders>
                  <w:vAlign w:val="center"/>
                </w:tcPr>
                <w:p w14:paraId="32195EB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《大气污染物综合排放标准》（DB32/4041—2021）</w:t>
                  </w:r>
                </w:p>
              </w:tc>
            </w:tr>
            <w:tr w14:paraId="67E1CE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restart"/>
                  <w:tcBorders>
                    <w:tl2br w:val="nil"/>
                    <w:tr2bl w:val="nil"/>
                  </w:tcBorders>
                  <w:vAlign w:val="center"/>
                </w:tcPr>
                <w:p w14:paraId="354855C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DA002</w:t>
                  </w:r>
                </w:p>
              </w:tc>
              <w:tc>
                <w:tcPr>
                  <w:tcW w:w="732" w:type="pct"/>
                  <w:tcBorders>
                    <w:tl2br w:val="nil"/>
                    <w:tr2bl w:val="nil"/>
                  </w:tcBorders>
                  <w:vAlign w:val="center"/>
                </w:tcPr>
                <w:p w14:paraId="62F22AF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非甲烷总烃</w:t>
                  </w:r>
                </w:p>
              </w:tc>
              <w:tc>
                <w:tcPr>
                  <w:tcW w:w="811" w:type="pct"/>
                  <w:tcBorders>
                    <w:tl2br w:val="nil"/>
                    <w:tr2bl w:val="nil"/>
                  </w:tcBorders>
                  <w:vAlign w:val="center"/>
                </w:tcPr>
                <w:p w14:paraId="5313D6D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60</w:t>
                  </w:r>
                </w:p>
              </w:tc>
              <w:tc>
                <w:tcPr>
                  <w:tcW w:w="486" w:type="pct"/>
                  <w:vMerge w:val="restart"/>
                  <w:tcBorders>
                    <w:tl2br w:val="nil"/>
                    <w:tr2bl w:val="nil"/>
                  </w:tcBorders>
                  <w:vAlign w:val="center"/>
                </w:tcPr>
                <w:p w14:paraId="65CD0D6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15</w:t>
                  </w:r>
                </w:p>
              </w:tc>
              <w:tc>
                <w:tcPr>
                  <w:tcW w:w="648" w:type="pct"/>
                  <w:tcBorders>
                    <w:tl2br w:val="nil"/>
                    <w:tr2bl w:val="nil"/>
                  </w:tcBorders>
                  <w:vAlign w:val="center"/>
                </w:tcPr>
                <w:p w14:paraId="4CD9F95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highlight w:val="yellow"/>
                    </w:rPr>
                  </w:pPr>
                  <w:r>
                    <w:rPr>
                      <w:rFonts w:hint="default" w:ascii="Times New Roman" w:hAnsi="Times New Roman" w:eastAsia="仿宋_GB2312" w:cs="Times New Roman"/>
                      <w:bCs/>
                      <w:color w:val="auto"/>
                      <w:sz w:val="21"/>
                      <w:szCs w:val="21"/>
                    </w:rPr>
                    <w:t>3</w:t>
                  </w:r>
                </w:p>
              </w:tc>
              <w:tc>
                <w:tcPr>
                  <w:tcW w:w="1416" w:type="pct"/>
                  <w:vMerge w:val="continue"/>
                  <w:tcBorders>
                    <w:tl2br w:val="nil"/>
                    <w:tr2bl w:val="nil"/>
                  </w:tcBorders>
                  <w:vAlign w:val="center"/>
                </w:tcPr>
                <w:p w14:paraId="50D3FD6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r>
            <w:tr w14:paraId="069E2C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continue"/>
                  <w:tcBorders>
                    <w:tl2br w:val="nil"/>
                    <w:tr2bl w:val="nil"/>
                  </w:tcBorders>
                  <w:vAlign w:val="center"/>
                </w:tcPr>
                <w:p w14:paraId="4BE96B3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732" w:type="pct"/>
                  <w:tcBorders>
                    <w:tl2br w:val="nil"/>
                    <w:tr2bl w:val="nil"/>
                  </w:tcBorders>
                  <w:vAlign w:val="center"/>
                </w:tcPr>
                <w:p w14:paraId="3724034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氯化氢</w:t>
                  </w:r>
                </w:p>
              </w:tc>
              <w:tc>
                <w:tcPr>
                  <w:tcW w:w="811" w:type="pct"/>
                  <w:tcBorders>
                    <w:tl2br w:val="nil"/>
                    <w:tr2bl w:val="nil"/>
                  </w:tcBorders>
                  <w:vAlign w:val="center"/>
                </w:tcPr>
                <w:p w14:paraId="2EFE892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10</w:t>
                  </w:r>
                </w:p>
              </w:tc>
              <w:tc>
                <w:tcPr>
                  <w:tcW w:w="486" w:type="pct"/>
                  <w:vMerge w:val="continue"/>
                  <w:tcBorders>
                    <w:tl2br w:val="nil"/>
                    <w:tr2bl w:val="nil"/>
                  </w:tcBorders>
                  <w:vAlign w:val="center"/>
                </w:tcPr>
                <w:p w14:paraId="49931DA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648" w:type="pct"/>
                  <w:tcBorders>
                    <w:tl2br w:val="nil"/>
                    <w:tr2bl w:val="nil"/>
                  </w:tcBorders>
                  <w:vAlign w:val="center"/>
                </w:tcPr>
                <w:p w14:paraId="09FFE3D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highlight w:val="yellow"/>
                    </w:rPr>
                  </w:pPr>
                  <w:r>
                    <w:rPr>
                      <w:rFonts w:hint="default" w:ascii="Times New Roman" w:hAnsi="Times New Roman" w:eastAsia="仿宋_GB2312" w:cs="Times New Roman"/>
                      <w:bCs/>
                      <w:color w:val="auto"/>
                      <w:sz w:val="21"/>
                      <w:szCs w:val="21"/>
                    </w:rPr>
                    <w:t>0.18</w:t>
                  </w:r>
                </w:p>
              </w:tc>
              <w:tc>
                <w:tcPr>
                  <w:tcW w:w="1416" w:type="pct"/>
                  <w:vMerge w:val="continue"/>
                  <w:tcBorders>
                    <w:tl2br w:val="nil"/>
                    <w:tr2bl w:val="nil"/>
                  </w:tcBorders>
                  <w:vAlign w:val="center"/>
                </w:tcPr>
                <w:p w14:paraId="5A05468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r>
            <w:tr w14:paraId="2C8E5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continue"/>
                  <w:tcBorders>
                    <w:tl2br w:val="nil"/>
                    <w:tr2bl w:val="nil"/>
                  </w:tcBorders>
                  <w:vAlign w:val="center"/>
                </w:tcPr>
                <w:p w14:paraId="640AA5E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732" w:type="pct"/>
                  <w:tcBorders>
                    <w:tl2br w:val="nil"/>
                    <w:tr2bl w:val="nil"/>
                  </w:tcBorders>
                  <w:vAlign w:val="center"/>
                </w:tcPr>
                <w:p w14:paraId="21A3DD4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H</w:t>
                  </w:r>
                  <w:r>
                    <w:rPr>
                      <w:rFonts w:hint="default" w:ascii="Times New Roman" w:hAnsi="Times New Roman" w:eastAsia="仿宋_GB2312" w:cs="Times New Roman"/>
                      <w:bCs/>
                      <w:color w:val="auto"/>
                      <w:sz w:val="21"/>
                      <w:szCs w:val="21"/>
                      <w:vertAlign w:val="subscript"/>
                    </w:rPr>
                    <w:t>2</w:t>
                  </w:r>
                  <w:r>
                    <w:rPr>
                      <w:rFonts w:hint="default" w:ascii="Times New Roman" w:hAnsi="Times New Roman" w:eastAsia="仿宋_GB2312" w:cs="Times New Roman"/>
                      <w:bCs/>
                      <w:color w:val="auto"/>
                      <w:sz w:val="21"/>
                      <w:szCs w:val="21"/>
                    </w:rPr>
                    <w:t>S</w:t>
                  </w:r>
                </w:p>
              </w:tc>
              <w:tc>
                <w:tcPr>
                  <w:tcW w:w="811" w:type="pct"/>
                  <w:tcBorders>
                    <w:tl2br w:val="nil"/>
                    <w:tr2bl w:val="nil"/>
                  </w:tcBorders>
                  <w:vAlign w:val="center"/>
                </w:tcPr>
                <w:p w14:paraId="1D05439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486" w:type="pct"/>
                  <w:vMerge w:val="continue"/>
                  <w:tcBorders>
                    <w:tl2br w:val="nil"/>
                    <w:tr2bl w:val="nil"/>
                  </w:tcBorders>
                  <w:vAlign w:val="center"/>
                </w:tcPr>
                <w:p w14:paraId="15838AB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648" w:type="pct"/>
                  <w:tcBorders>
                    <w:tl2br w:val="nil"/>
                    <w:tr2bl w:val="nil"/>
                  </w:tcBorders>
                  <w:vAlign w:val="center"/>
                </w:tcPr>
                <w:p w14:paraId="192FC46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0.33</w:t>
                  </w:r>
                </w:p>
              </w:tc>
              <w:tc>
                <w:tcPr>
                  <w:tcW w:w="1416" w:type="pct"/>
                  <w:vMerge w:val="restart"/>
                  <w:tcBorders>
                    <w:tl2br w:val="nil"/>
                    <w:tr2bl w:val="nil"/>
                  </w:tcBorders>
                  <w:vAlign w:val="center"/>
                </w:tcPr>
                <w:p w14:paraId="7571BEF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《恶臭污染物排放标准》(GB14554-93)</w:t>
                  </w:r>
                </w:p>
              </w:tc>
            </w:tr>
            <w:tr w14:paraId="7BC182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continue"/>
                  <w:tcBorders>
                    <w:tl2br w:val="nil"/>
                    <w:tr2bl w:val="nil"/>
                  </w:tcBorders>
                  <w:vAlign w:val="center"/>
                </w:tcPr>
                <w:p w14:paraId="42FA92F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732" w:type="pct"/>
                  <w:tcBorders>
                    <w:tl2br w:val="nil"/>
                    <w:tr2bl w:val="nil"/>
                  </w:tcBorders>
                  <w:vAlign w:val="center"/>
                </w:tcPr>
                <w:p w14:paraId="5C81D64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NH</w:t>
                  </w:r>
                  <w:r>
                    <w:rPr>
                      <w:rFonts w:hint="default" w:ascii="Times New Roman" w:hAnsi="Times New Roman" w:eastAsia="仿宋_GB2312" w:cs="Times New Roman"/>
                      <w:bCs/>
                      <w:color w:val="auto"/>
                      <w:sz w:val="21"/>
                      <w:szCs w:val="21"/>
                      <w:vertAlign w:val="subscript"/>
                    </w:rPr>
                    <w:t>3</w:t>
                  </w:r>
                </w:p>
              </w:tc>
              <w:tc>
                <w:tcPr>
                  <w:tcW w:w="811" w:type="pct"/>
                  <w:tcBorders>
                    <w:tl2br w:val="nil"/>
                    <w:tr2bl w:val="nil"/>
                  </w:tcBorders>
                  <w:vAlign w:val="center"/>
                </w:tcPr>
                <w:p w14:paraId="4B6DDDD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486" w:type="pct"/>
                  <w:vMerge w:val="continue"/>
                  <w:tcBorders>
                    <w:tl2br w:val="nil"/>
                    <w:tr2bl w:val="nil"/>
                  </w:tcBorders>
                  <w:vAlign w:val="center"/>
                </w:tcPr>
                <w:p w14:paraId="06EF0EF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648" w:type="pct"/>
                  <w:tcBorders>
                    <w:tl2br w:val="nil"/>
                    <w:tr2bl w:val="nil"/>
                  </w:tcBorders>
                  <w:vAlign w:val="center"/>
                </w:tcPr>
                <w:p w14:paraId="4D6C2EA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4.9</w:t>
                  </w:r>
                </w:p>
              </w:tc>
              <w:tc>
                <w:tcPr>
                  <w:tcW w:w="1416" w:type="pct"/>
                  <w:vMerge w:val="continue"/>
                  <w:tcBorders>
                    <w:tl2br w:val="nil"/>
                    <w:tr2bl w:val="nil"/>
                  </w:tcBorders>
                  <w:vAlign w:val="center"/>
                </w:tcPr>
                <w:p w14:paraId="70272EB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r>
            <w:tr w14:paraId="55A99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continue"/>
                  <w:tcBorders>
                    <w:tl2br w:val="nil"/>
                    <w:tr2bl w:val="nil"/>
                  </w:tcBorders>
                  <w:vAlign w:val="center"/>
                </w:tcPr>
                <w:p w14:paraId="25AF65C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732" w:type="pct"/>
                  <w:tcBorders>
                    <w:tl2br w:val="nil"/>
                    <w:tr2bl w:val="nil"/>
                  </w:tcBorders>
                  <w:vAlign w:val="center"/>
                </w:tcPr>
                <w:p w14:paraId="170D7997">
                  <w:pPr>
                    <w:keepNext w:val="0"/>
                    <w:keepLines w:val="0"/>
                    <w:widowControl w:val="0"/>
                    <w:suppressLineNumbers w:val="0"/>
                    <w:snapToGrid w:val="0"/>
                    <w:spacing w:before="0" w:beforeAutospacing="0" w:after="0" w:afterAutospacing="0" w:line="320" w:lineRule="exact"/>
                    <w:ind w:left="0" w:right="0"/>
                    <w:jc w:val="center"/>
                    <w:rPr>
                      <w:rFonts w:hint="eastAsia" w:ascii="Times New Roman" w:hAnsi="Times New Roman" w:eastAsia="仿宋_GB2312" w:cs="Times New Roman"/>
                      <w:bCs/>
                      <w:color w:val="auto"/>
                      <w:sz w:val="21"/>
                      <w:szCs w:val="21"/>
                      <w:lang w:eastAsia="zh-CN"/>
                    </w:rPr>
                  </w:pPr>
                  <w:r>
                    <w:rPr>
                      <w:rFonts w:hint="eastAsia" w:eastAsia="仿宋_GB2312" w:cs="Times New Roman"/>
                      <w:bCs/>
                      <w:color w:val="auto"/>
                      <w:sz w:val="21"/>
                      <w:szCs w:val="21"/>
                      <w:lang w:eastAsia="zh-CN"/>
                    </w:rPr>
                    <w:t>臭气浓度</w:t>
                  </w:r>
                </w:p>
              </w:tc>
              <w:tc>
                <w:tcPr>
                  <w:tcW w:w="811" w:type="pct"/>
                  <w:tcBorders>
                    <w:tl2br w:val="nil"/>
                    <w:tr2bl w:val="nil"/>
                  </w:tcBorders>
                  <w:vAlign w:val="center"/>
                </w:tcPr>
                <w:p w14:paraId="1C7B289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lang w:val="en-US" w:eastAsia="zh-CN"/>
                    </w:rPr>
                  </w:pPr>
                  <w:r>
                    <w:rPr>
                      <w:rFonts w:hint="eastAsia" w:eastAsia="仿宋_GB2312" w:cs="Times New Roman"/>
                      <w:bCs/>
                      <w:color w:val="auto"/>
                      <w:sz w:val="21"/>
                      <w:szCs w:val="21"/>
                      <w:lang w:val="en-US" w:eastAsia="zh-CN"/>
                    </w:rPr>
                    <w:t>2000（无量纲）</w:t>
                  </w:r>
                </w:p>
              </w:tc>
              <w:tc>
                <w:tcPr>
                  <w:tcW w:w="486" w:type="pct"/>
                  <w:vMerge w:val="continue"/>
                  <w:tcBorders>
                    <w:tl2br w:val="nil"/>
                    <w:tr2bl w:val="nil"/>
                  </w:tcBorders>
                  <w:vAlign w:val="center"/>
                </w:tcPr>
                <w:p w14:paraId="30BB3AC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lang w:val="en-US" w:eastAsia="zh-CN"/>
                    </w:rPr>
                  </w:pPr>
                </w:p>
              </w:tc>
              <w:tc>
                <w:tcPr>
                  <w:tcW w:w="648" w:type="pct"/>
                  <w:tcBorders>
                    <w:tl2br w:val="nil"/>
                    <w:tr2bl w:val="nil"/>
                  </w:tcBorders>
                  <w:vAlign w:val="center"/>
                </w:tcPr>
                <w:p w14:paraId="46813933">
                  <w:pPr>
                    <w:keepNext w:val="0"/>
                    <w:keepLines w:val="0"/>
                    <w:widowControl w:val="0"/>
                    <w:suppressLineNumbers w:val="0"/>
                    <w:snapToGrid w:val="0"/>
                    <w:spacing w:before="0" w:beforeAutospacing="0" w:after="0" w:afterAutospacing="0" w:line="320" w:lineRule="exact"/>
                    <w:ind w:left="0" w:right="0"/>
                    <w:jc w:val="center"/>
                    <w:rPr>
                      <w:rFonts w:hint="eastAsia" w:ascii="Times New Roman" w:hAnsi="Times New Roman" w:eastAsia="仿宋_GB2312" w:cs="Times New Roman"/>
                      <w:bCs/>
                      <w:color w:val="auto"/>
                      <w:sz w:val="21"/>
                      <w:szCs w:val="21"/>
                      <w:lang w:val="en-US" w:eastAsia="zh-CN"/>
                    </w:rPr>
                  </w:pPr>
                  <w:r>
                    <w:rPr>
                      <w:rFonts w:hint="eastAsia" w:eastAsia="仿宋_GB2312" w:cs="Times New Roman"/>
                      <w:bCs/>
                      <w:color w:val="auto"/>
                      <w:sz w:val="21"/>
                      <w:szCs w:val="21"/>
                      <w:lang w:val="en-US" w:eastAsia="zh-CN"/>
                    </w:rPr>
                    <w:t>/</w:t>
                  </w:r>
                </w:p>
              </w:tc>
              <w:tc>
                <w:tcPr>
                  <w:tcW w:w="1416" w:type="pct"/>
                  <w:vMerge w:val="continue"/>
                  <w:tcBorders>
                    <w:tl2br w:val="nil"/>
                    <w:tr2bl w:val="nil"/>
                  </w:tcBorders>
                  <w:vAlign w:val="center"/>
                </w:tcPr>
                <w:p w14:paraId="40FB1DD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r>
            <w:tr w14:paraId="30856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restart"/>
                  <w:tcBorders>
                    <w:tl2br w:val="nil"/>
                    <w:tr2bl w:val="nil"/>
                  </w:tcBorders>
                  <w:vAlign w:val="center"/>
                </w:tcPr>
                <w:p w14:paraId="3C9D9FB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DA003</w:t>
                  </w:r>
                </w:p>
              </w:tc>
              <w:tc>
                <w:tcPr>
                  <w:tcW w:w="732" w:type="pct"/>
                  <w:tcBorders>
                    <w:tl2br w:val="nil"/>
                    <w:tr2bl w:val="nil"/>
                  </w:tcBorders>
                  <w:vAlign w:val="center"/>
                </w:tcPr>
                <w:p w14:paraId="1E3655D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sz w:val="21"/>
                      <w:szCs w:val="21"/>
                    </w:rPr>
                    <w:t>SO</w:t>
                  </w:r>
                  <w:r>
                    <w:rPr>
                      <w:rFonts w:hint="default" w:ascii="Times New Roman" w:hAnsi="Times New Roman" w:eastAsia="仿宋_GB2312" w:cs="Times New Roman"/>
                      <w:color w:val="auto"/>
                      <w:sz w:val="21"/>
                      <w:szCs w:val="21"/>
                      <w:vertAlign w:val="subscript"/>
                    </w:rPr>
                    <w:t>2</w:t>
                  </w:r>
                </w:p>
              </w:tc>
              <w:tc>
                <w:tcPr>
                  <w:tcW w:w="811" w:type="pct"/>
                  <w:tcBorders>
                    <w:tl2br w:val="nil"/>
                    <w:tr2bl w:val="nil"/>
                  </w:tcBorders>
                  <w:vAlign w:val="center"/>
                </w:tcPr>
                <w:p w14:paraId="0DE7B8E7">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Cs/>
                      <w:color w:val="auto"/>
                      <w:sz w:val="21"/>
                      <w:szCs w:val="21"/>
                      <w:lang w:val="en-US"/>
                    </w:rPr>
                  </w:pPr>
                  <w:r>
                    <w:rPr>
                      <w:rFonts w:hint="default" w:ascii="Times New Roman" w:hAnsi="Times New Roman" w:eastAsia="仿宋_GB2312" w:cs="Times New Roman"/>
                      <w:color w:val="auto"/>
                      <w:sz w:val="21"/>
                      <w:szCs w:val="21"/>
                      <w:lang w:val="en-US"/>
                    </w:rPr>
                    <w:t>35</w:t>
                  </w:r>
                </w:p>
              </w:tc>
              <w:tc>
                <w:tcPr>
                  <w:tcW w:w="486" w:type="pct"/>
                  <w:vMerge w:val="restart"/>
                  <w:tcBorders>
                    <w:tl2br w:val="nil"/>
                    <w:tr2bl w:val="nil"/>
                  </w:tcBorders>
                  <w:vAlign w:val="center"/>
                </w:tcPr>
                <w:p w14:paraId="6AA8133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15</w:t>
                  </w:r>
                </w:p>
              </w:tc>
              <w:tc>
                <w:tcPr>
                  <w:tcW w:w="648" w:type="pct"/>
                  <w:vMerge w:val="restart"/>
                  <w:tcBorders>
                    <w:tl2br w:val="nil"/>
                    <w:tr2bl w:val="nil"/>
                  </w:tcBorders>
                  <w:vAlign w:val="center"/>
                </w:tcPr>
                <w:p w14:paraId="649E538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r>
                    <w:rPr>
                      <w:rFonts w:hint="default" w:ascii="Times New Roman" w:hAnsi="Times New Roman" w:eastAsia="仿宋_GB2312" w:cs="Times New Roman"/>
                      <w:bCs/>
                      <w:color w:val="auto"/>
                      <w:sz w:val="21"/>
                      <w:szCs w:val="21"/>
                    </w:rPr>
                    <w:t>/</w:t>
                  </w:r>
                </w:p>
              </w:tc>
              <w:tc>
                <w:tcPr>
                  <w:tcW w:w="1416" w:type="pct"/>
                  <w:vMerge w:val="restart"/>
                  <w:tcBorders>
                    <w:tl2br w:val="nil"/>
                    <w:tr2bl w:val="nil"/>
                  </w:tcBorders>
                  <w:vAlign w:val="center"/>
                </w:tcPr>
                <w:p w14:paraId="1E7A6DF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bookmarkStart w:id="45" w:name="OLE_LINK514"/>
                  <w:r>
                    <w:rPr>
                      <w:rFonts w:hint="eastAsia" w:eastAsia="仿宋_GB2312" w:cs="Times New Roman"/>
                      <w:color w:val="1D35AD"/>
                      <w:sz w:val="21"/>
                      <w:szCs w:val="21"/>
                      <w:lang w:eastAsia="zh-CN"/>
                    </w:rPr>
                    <w:t>执行</w:t>
                  </w:r>
                  <w:r>
                    <w:rPr>
                      <w:rFonts w:hint="default" w:ascii="Times New Roman" w:hAnsi="Times New Roman" w:eastAsia="仿宋_GB2312" w:cs="Times New Roman"/>
                      <w:color w:val="1D35AD"/>
                      <w:sz w:val="21"/>
                      <w:szCs w:val="21"/>
                    </w:rPr>
                    <w:t>《</w:t>
                  </w:r>
                  <w:bookmarkStart w:id="46" w:name="OLE_LINK439"/>
                  <w:r>
                    <w:rPr>
                      <w:rFonts w:hint="default" w:ascii="Times New Roman" w:hAnsi="Times New Roman" w:eastAsia="仿宋_GB2312" w:cs="Times New Roman"/>
                      <w:color w:val="1D35AD"/>
                      <w:sz w:val="21"/>
                      <w:szCs w:val="21"/>
                    </w:rPr>
                    <w:t>锅炉大气污染物排放标准</w:t>
                  </w:r>
                  <w:bookmarkEnd w:id="46"/>
                  <w:r>
                    <w:rPr>
                      <w:rFonts w:hint="default" w:ascii="Times New Roman" w:hAnsi="Times New Roman" w:eastAsia="仿宋_GB2312" w:cs="Times New Roman"/>
                      <w:color w:val="1D35AD"/>
                      <w:sz w:val="21"/>
                      <w:szCs w:val="21"/>
                    </w:rPr>
                    <w:t>》（DB32/4385-2022）</w:t>
                  </w:r>
                  <w:bookmarkEnd w:id="45"/>
                  <w:bookmarkStart w:id="47" w:name="OLE_LINK515"/>
                  <w:r>
                    <w:rPr>
                      <w:rFonts w:hint="default" w:ascii="Times New Roman" w:hAnsi="Times New Roman" w:eastAsia="仿宋_GB2312" w:cs="Times New Roman"/>
                      <w:color w:val="1D35AD"/>
                      <w:sz w:val="21"/>
                      <w:szCs w:val="21"/>
                    </w:rPr>
                    <w:t>*</w:t>
                  </w:r>
                  <w:bookmarkEnd w:id="47"/>
                </w:p>
              </w:tc>
            </w:tr>
            <w:tr w14:paraId="005B4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continue"/>
                  <w:tcBorders>
                    <w:tl2br w:val="nil"/>
                    <w:tr2bl w:val="nil"/>
                  </w:tcBorders>
                  <w:vAlign w:val="center"/>
                </w:tcPr>
                <w:p w14:paraId="2379470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732" w:type="pct"/>
                  <w:tcBorders>
                    <w:tl2br w:val="nil"/>
                    <w:tr2bl w:val="nil"/>
                  </w:tcBorders>
                  <w:vAlign w:val="center"/>
                </w:tcPr>
                <w:p w14:paraId="4AF774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NO</w:t>
                  </w:r>
                  <w:r>
                    <w:rPr>
                      <w:rFonts w:hint="default" w:ascii="Times New Roman" w:hAnsi="Times New Roman" w:eastAsia="仿宋_GB2312" w:cs="Times New Roman"/>
                      <w:color w:val="auto"/>
                      <w:sz w:val="21"/>
                      <w:szCs w:val="21"/>
                      <w:vertAlign w:val="subscript"/>
                    </w:rPr>
                    <w:t>X</w:t>
                  </w:r>
                </w:p>
              </w:tc>
              <w:tc>
                <w:tcPr>
                  <w:tcW w:w="811" w:type="pct"/>
                  <w:tcBorders>
                    <w:tl2br w:val="nil"/>
                    <w:tr2bl w:val="nil"/>
                  </w:tcBorders>
                  <w:vAlign w:val="center"/>
                </w:tcPr>
                <w:p w14:paraId="60E54D51">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Cs/>
                      <w:color w:val="auto"/>
                      <w:sz w:val="21"/>
                      <w:szCs w:val="21"/>
                      <w:lang w:val="en-US"/>
                    </w:rPr>
                  </w:pPr>
                  <w:r>
                    <w:rPr>
                      <w:rFonts w:hint="default" w:ascii="Times New Roman" w:hAnsi="Times New Roman" w:eastAsia="仿宋_GB2312" w:cs="Times New Roman"/>
                      <w:color w:val="auto"/>
                      <w:sz w:val="21"/>
                      <w:szCs w:val="21"/>
                      <w:lang w:val="en-US"/>
                    </w:rPr>
                    <w:t>50</w:t>
                  </w:r>
                </w:p>
              </w:tc>
              <w:tc>
                <w:tcPr>
                  <w:tcW w:w="486" w:type="pct"/>
                  <w:vMerge w:val="continue"/>
                  <w:tcBorders>
                    <w:tl2br w:val="nil"/>
                    <w:tr2bl w:val="nil"/>
                  </w:tcBorders>
                  <w:vAlign w:val="center"/>
                </w:tcPr>
                <w:p w14:paraId="4D6CBDC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648" w:type="pct"/>
                  <w:vMerge w:val="continue"/>
                  <w:tcBorders>
                    <w:tl2br w:val="nil"/>
                    <w:tr2bl w:val="nil"/>
                  </w:tcBorders>
                  <w:vAlign w:val="center"/>
                </w:tcPr>
                <w:p w14:paraId="1286DE5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1416" w:type="pct"/>
                  <w:vMerge w:val="continue"/>
                  <w:tcBorders>
                    <w:tl2br w:val="nil"/>
                    <w:tr2bl w:val="nil"/>
                  </w:tcBorders>
                  <w:vAlign w:val="center"/>
                </w:tcPr>
                <w:p w14:paraId="6E9D1CB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r>
            <w:tr w14:paraId="75249D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continue"/>
                  <w:tcBorders>
                    <w:tl2br w:val="nil"/>
                    <w:tr2bl w:val="nil"/>
                  </w:tcBorders>
                  <w:vAlign w:val="center"/>
                </w:tcPr>
                <w:p w14:paraId="12DF1BA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732" w:type="pct"/>
                  <w:tcBorders>
                    <w:tl2br w:val="nil"/>
                    <w:tr2bl w:val="nil"/>
                  </w:tcBorders>
                  <w:vAlign w:val="center"/>
                </w:tcPr>
                <w:p w14:paraId="11DD2C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颗粒物</w:t>
                  </w:r>
                </w:p>
              </w:tc>
              <w:tc>
                <w:tcPr>
                  <w:tcW w:w="811" w:type="pct"/>
                  <w:tcBorders>
                    <w:tl2br w:val="nil"/>
                    <w:tr2bl w:val="nil"/>
                  </w:tcBorders>
                  <w:vAlign w:val="center"/>
                </w:tcPr>
                <w:p w14:paraId="3126BA7F">
                  <w:pPr>
                    <w:pStyle w:val="165"/>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bCs/>
                      <w:color w:val="auto"/>
                      <w:sz w:val="21"/>
                      <w:szCs w:val="21"/>
                      <w:lang w:val="en-US"/>
                    </w:rPr>
                  </w:pPr>
                  <w:r>
                    <w:rPr>
                      <w:rFonts w:hint="default" w:ascii="Times New Roman" w:hAnsi="Times New Roman" w:eastAsia="仿宋_GB2312" w:cs="Times New Roman"/>
                      <w:color w:val="auto"/>
                      <w:sz w:val="21"/>
                      <w:szCs w:val="21"/>
                      <w:lang w:val="en-US"/>
                    </w:rPr>
                    <w:t>10</w:t>
                  </w:r>
                </w:p>
              </w:tc>
              <w:tc>
                <w:tcPr>
                  <w:tcW w:w="486" w:type="pct"/>
                  <w:vMerge w:val="continue"/>
                  <w:tcBorders>
                    <w:tl2br w:val="nil"/>
                    <w:tr2bl w:val="nil"/>
                  </w:tcBorders>
                  <w:vAlign w:val="center"/>
                </w:tcPr>
                <w:p w14:paraId="444F855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648" w:type="pct"/>
                  <w:vMerge w:val="continue"/>
                  <w:tcBorders>
                    <w:tl2br w:val="nil"/>
                    <w:tr2bl w:val="nil"/>
                  </w:tcBorders>
                  <w:vAlign w:val="center"/>
                </w:tcPr>
                <w:p w14:paraId="479E02B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1416" w:type="pct"/>
                  <w:vMerge w:val="continue"/>
                  <w:tcBorders>
                    <w:tl2br w:val="nil"/>
                    <w:tr2bl w:val="nil"/>
                  </w:tcBorders>
                  <w:vAlign w:val="center"/>
                </w:tcPr>
                <w:p w14:paraId="78BE8FB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r>
            <w:tr w14:paraId="1F698C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45" w:type="dxa"/>
                  <w:bottom w:w="0" w:type="dxa"/>
                  <w:right w:w="45" w:type="dxa"/>
                </w:tblCellMar>
              </w:tblPrEx>
              <w:trPr>
                <w:cantSplit/>
                <w:trHeight w:val="283" w:hRule="atLeast"/>
                <w:jc w:val="center"/>
              </w:trPr>
              <w:tc>
                <w:tcPr>
                  <w:tcW w:w="905" w:type="pct"/>
                  <w:vMerge w:val="continue"/>
                  <w:tcBorders>
                    <w:tl2br w:val="nil"/>
                    <w:tr2bl w:val="nil"/>
                  </w:tcBorders>
                  <w:vAlign w:val="center"/>
                </w:tcPr>
                <w:p w14:paraId="24242A2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732" w:type="pct"/>
                  <w:tcBorders>
                    <w:tl2br w:val="nil"/>
                    <w:tr2bl w:val="nil"/>
                  </w:tcBorders>
                  <w:vAlign w:val="center"/>
                </w:tcPr>
                <w:p w14:paraId="06DA2A9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烟气黑度（林格曼）</w:t>
                  </w:r>
                </w:p>
              </w:tc>
              <w:tc>
                <w:tcPr>
                  <w:tcW w:w="811" w:type="pct"/>
                  <w:tcBorders>
                    <w:tl2br w:val="nil"/>
                    <w:tr2bl w:val="nil"/>
                  </w:tcBorders>
                  <w:vAlign w:val="center"/>
                </w:tcPr>
                <w:p w14:paraId="349BCFE6">
                  <w:pPr>
                    <w:pStyle w:val="165"/>
                    <w:keepNext w:val="0"/>
                    <w:keepLines w:val="0"/>
                    <w:suppressLineNumbers w:val="0"/>
                    <w:spacing w:before="0" w:beforeAutospacing="0" w:after="0" w:afterAutospacing="0" w:line="320" w:lineRule="exact"/>
                    <w:ind w:left="0" w:right="0"/>
                    <w:rPr>
                      <w:rFonts w:hint="eastAsia" w:ascii="Times New Roman" w:hAnsi="Times New Roman" w:eastAsia="仿宋_GB2312" w:cs="Times New Roman"/>
                      <w:color w:val="auto"/>
                      <w:sz w:val="21"/>
                      <w:szCs w:val="21"/>
                      <w:lang w:val="en-US" w:eastAsia="zh-CN"/>
                    </w:rPr>
                  </w:pPr>
                  <w:r>
                    <w:rPr>
                      <w:rFonts w:hint="eastAsia" w:ascii="Times New Roman" w:hAnsi="Times New Roman" w:cs="Times New Roman"/>
                      <w:color w:val="auto"/>
                      <w:sz w:val="21"/>
                      <w:szCs w:val="21"/>
                      <w:lang w:val="en-US" w:eastAsia="zh-CN"/>
                    </w:rPr>
                    <w:t>1（级）</w:t>
                  </w:r>
                </w:p>
              </w:tc>
              <w:tc>
                <w:tcPr>
                  <w:tcW w:w="486" w:type="pct"/>
                  <w:vMerge w:val="continue"/>
                  <w:tcBorders>
                    <w:tl2br w:val="nil"/>
                    <w:tr2bl w:val="nil"/>
                  </w:tcBorders>
                  <w:vAlign w:val="center"/>
                </w:tcPr>
                <w:p w14:paraId="61C2C27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648" w:type="pct"/>
                  <w:vMerge w:val="continue"/>
                  <w:tcBorders>
                    <w:tl2br w:val="nil"/>
                    <w:tr2bl w:val="nil"/>
                  </w:tcBorders>
                  <w:vAlign w:val="center"/>
                </w:tcPr>
                <w:p w14:paraId="6E85BA2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c>
                <w:tcPr>
                  <w:tcW w:w="1416" w:type="pct"/>
                  <w:vMerge w:val="continue"/>
                  <w:tcBorders>
                    <w:tl2br w:val="nil"/>
                    <w:tr2bl w:val="nil"/>
                  </w:tcBorders>
                  <w:vAlign w:val="center"/>
                </w:tcPr>
                <w:p w14:paraId="146AABA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szCs w:val="21"/>
                    </w:rPr>
                  </w:pPr>
                </w:p>
              </w:tc>
            </w:tr>
          </w:tbl>
          <w:p w14:paraId="5C2BB18C">
            <w:pPr>
              <w:keepNext w:val="0"/>
              <w:keepLines w:val="0"/>
              <w:widowControl w:val="0"/>
              <w:suppressLineNumbers w:val="0"/>
              <w:spacing w:before="0" w:beforeAutospacing="0" w:after="0" w:afterAutospacing="0" w:line="320" w:lineRule="exact"/>
              <w:ind w:left="0" w:right="0" w:firstLine="420" w:firstLineChars="200"/>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注：*《锅炉大气污染物排放标准》（DB32/4385-2022）要求“实测的大气污染物排放浓度，应按照公式换算为基准氧含量条件下的排放浓度，并以此作为达标判定的依据。”</w:t>
            </w:r>
          </w:p>
          <w:p w14:paraId="16B459D7">
            <w:pPr>
              <w:keepNext w:val="0"/>
              <w:keepLines w:val="0"/>
              <w:suppressLineNumbers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表3-</w:t>
            </w:r>
            <w:r>
              <w:rPr>
                <w:rFonts w:hint="eastAsia" w:eastAsia="仿宋_GB2312"/>
                <w:b/>
                <w:color w:val="auto"/>
                <w:sz w:val="22"/>
                <w:szCs w:val="22"/>
                <w:lang w:val="en-US" w:eastAsia="zh-CN"/>
              </w:rPr>
              <w:t>16</w:t>
            </w:r>
            <w:r>
              <w:rPr>
                <w:rFonts w:hint="default" w:eastAsia="仿宋_GB2312"/>
                <w:b/>
                <w:color w:val="auto"/>
                <w:sz w:val="22"/>
                <w:szCs w:val="22"/>
              </w:rPr>
              <w:t xml:space="preserve">  厂界无组织大气污染物排放标准</w:t>
            </w:r>
          </w:p>
          <w:tbl>
            <w:tblPr>
              <w:tblStyle w:val="16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14"/>
              <w:gridCol w:w="1683"/>
              <w:gridCol w:w="2905"/>
              <w:gridCol w:w="3458"/>
            </w:tblGrid>
            <w:tr w14:paraId="3BDFB6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10" w:type="pct"/>
                  <w:tcBorders>
                    <w:tl2br w:val="nil"/>
                    <w:tr2bl w:val="nil"/>
                  </w:tcBorders>
                  <w:vAlign w:val="center"/>
                </w:tcPr>
                <w:p w14:paraId="2952EA8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序号</w:t>
                  </w:r>
                </w:p>
              </w:tc>
              <w:tc>
                <w:tcPr>
                  <w:tcW w:w="939" w:type="pct"/>
                  <w:tcBorders>
                    <w:tl2br w:val="nil"/>
                    <w:tr2bl w:val="nil"/>
                  </w:tcBorders>
                  <w:vAlign w:val="center"/>
                </w:tcPr>
                <w:p w14:paraId="14FD100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污染物名称</w:t>
                  </w:r>
                </w:p>
              </w:tc>
              <w:tc>
                <w:tcPr>
                  <w:tcW w:w="1621" w:type="pct"/>
                  <w:tcBorders>
                    <w:tl2br w:val="nil"/>
                    <w:tr2bl w:val="nil"/>
                  </w:tcBorders>
                  <w:vAlign w:val="center"/>
                </w:tcPr>
                <w:p w14:paraId="18BA973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厂界监控浓度限值(mg/m</w:t>
                  </w:r>
                  <w:r>
                    <w:rPr>
                      <w:rFonts w:hint="eastAsia" w:ascii="Times New Roman" w:hAnsi="Times New Roman"/>
                      <w:b/>
                      <w:bCs/>
                      <w:color w:val="auto"/>
                      <w:vertAlign w:val="superscript"/>
                    </w:rPr>
                    <w:t>3</w:t>
                  </w:r>
                  <w:r>
                    <w:rPr>
                      <w:rFonts w:hint="eastAsia" w:ascii="Times New Roman" w:hAnsi="Times New Roman"/>
                      <w:b/>
                      <w:bCs/>
                      <w:color w:val="auto"/>
                    </w:rPr>
                    <w:t>)</w:t>
                  </w:r>
                </w:p>
              </w:tc>
              <w:tc>
                <w:tcPr>
                  <w:tcW w:w="1929" w:type="pct"/>
                  <w:tcBorders>
                    <w:tl2br w:val="nil"/>
                    <w:tr2bl w:val="nil"/>
                  </w:tcBorders>
                  <w:vAlign w:val="center"/>
                </w:tcPr>
                <w:p w14:paraId="35F202D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标准来源</w:t>
                  </w:r>
                </w:p>
              </w:tc>
            </w:tr>
            <w:tr w14:paraId="354F26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10" w:type="pct"/>
                  <w:tcBorders>
                    <w:tl2br w:val="nil"/>
                    <w:tr2bl w:val="nil"/>
                  </w:tcBorders>
                  <w:vAlign w:val="center"/>
                </w:tcPr>
                <w:p w14:paraId="75B6EB1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p>
              </w:tc>
              <w:tc>
                <w:tcPr>
                  <w:tcW w:w="939" w:type="pct"/>
                  <w:tcBorders>
                    <w:tl2br w:val="nil"/>
                    <w:tr2bl w:val="nil"/>
                  </w:tcBorders>
                  <w:vAlign w:val="center"/>
                </w:tcPr>
                <w:p w14:paraId="5435770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非甲烷总烃</w:t>
                  </w:r>
                </w:p>
              </w:tc>
              <w:tc>
                <w:tcPr>
                  <w:tcW w:w="1621" w:type="pct"/>
                  <w:tcBorders>
                    <w:tl2br w:val="nil"/>
                    <w:tr2bl w:val="nil"/>
                  </w:tcBorders>
                  <w:vAlign w:val="center"/>
                </w:tcPr>
                <w:p w14:paraId="76BFF6A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4</w:t>
                  </w:r>
                </w:p>
              </w:tc>
              <w:tc>
                <w:tcPr>
                  <w:tcW w:w="1929" w:type="pct"/>
                  <w:vMerge w:val="restart"/>
                  <w:tcBorders>
                    <w:tl2br w:val="nil"/>
                    <w:tr2bl w:val="nil"/>
                  </w:tcBorders>
                  <w:vAlign w:val="center"/>
                </w:tcPr>
                <w:p w14:paraId="6FB5281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Cs/>
                      <w:color w:val="auto"/>
                    </w:rPr>
                    <w:t>《大气污染物综合排放标准》(DB32/4041-2021)</w:t>
                  </w:r>
                </w:p>
              </w:tc>
            </w:tr>
            <w:tr w14:paraId="283EE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10" w:type="pct"/>
                  <w:tcBorders>
                    <w:tl2br w:val="nil"/>
                    <w:tr2bl w:val="nil"/>
                  </w:tcBorders>
                  <w:vAlign w:val="center"/>
                </w:tcPr>
                <w:p w14:paraId="16162CD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w:t>
                  </w:r>
                </w:p>
              </w:tc>
              <w:tc>
                <w:tcPr>
                  <w:tcW w:w="939" w:type="pct"/>
                  <w:tcBorders>
                    <w:tl2br w:val="nil"/>
                    <w:tr2bl w:val="nil"/>
                  </w:tcBorders>
                  <w:vAlign w:val="center"/>
                </w:tcPr>
                <w:p w14:paraId="4FF633F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bCs/>
                      <w:color w:val="auto"/>
                      <w:sz w:val="20"/>
                    </w:rPr>
                    <w:t>H</w:t>
                  </w:r>
                  <w:r>
                    <w:rPr>
                      <w:rFonts w:hint="default" w:ascii="Times New Roman" w:hAnsi="Times New Roman"/>
                      <w:bCs/>
                      <w:color w:val="auto"/>
                      <w:sz w:val="20"/>
                    </w:rPr>
                    <w:t>C</w:t>
                  </w:r>
                  <w:r>
                    <w:rPr>
                      <w:rFonts w:hint="eastAsia" w:ascii="Times New Roman" w:hAnsi="Times New Roman"/>
                      <w:bCs/>
                      <w:color w:val="auto"/>
                      <w:sz w:val="20"/>
                    </w:rPr>
                    <w:t>l</w:t>
                  </w:r>
                </w:p>
              </w:tc>
              <w:tc>
                <w:tcPr>
                  <w:tcW w:w="1621" w:type="pct"/>
                  <w:tcBorders>
                    <w:tl2br w:val="nil"/>
                    <w:tr2bl w:val="nil"/>
                  </w:tcBorders>
                  <w:vAlign w:val="center"/>
                </w:tcPr>
                <w:p w14:paraId="629C774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default" w:ascii="Times New Roman" w:hAnsi="Times New Roman"/>
                      <w:color w:val="auto"/>
                    </w:rPr>
                    <w:t>0.05</w:t>
                  </w:r>
                </w:p>
              </w:tc>
              <w:tc>
                <w:tcPr>
                  <w:tcW w:w="1929" w:type="pct"/>
                  <w:vMerge w:val="continue"/>
                  <w:tcBorders>
                    <w:tl2br w:val="nil"/>
                    <w:tr2bl w:val="nil"/>
                  </w:tcBorders>
                  <w:vAlign w:val="center"/>
                </w:tcPr>
                <w:p w14:paraId="13738E8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Cs/>
                      <w:color w:val="auto"/>
                      <w:sz w:val="20"/>
                    </w:rPr>
                  </w:pPr>
                </w:p>
              </w:tc>
            </w:tr>
            <w:tr w14:paraId="307C69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10" w:type="pct"/>
                  <w:tcBorders>
                    <w:tl2br w:val="nil"/>
                    <w:tr2bl w:val="nil"/>
                  </w:tcBorders>
                  <w:vAlign w:val="center"/>
                </w:tcPr>
                <w:p w14:paraId="2524E25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3</w:t>
                  </w:r>
                </w:p>
              </w:tc>
              <w:tc>
                <w:tcPr>
                  <w:tcW w:w="939" w:type="pct"/>
                  <w:tcBorders>
                    <w:tl2br w:val="nil"/>
                    <w:tr2bl w:val="nil"/>
                  </w:tcBorders>
                  <w:vAlign w:val="center"/>
                </w:tcPr>
                <w:p w14:paraId="3F9384B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颗粒物</w:t>
                  </w:r>
                </w:p>
              </w:tc>
              <w:tc>
                <w:tcPr>
                  <w:tcW w:w="1621" w:type="pct"/>
                  <w:tcBorders>
                    <w:tl2br w:val="nil"/>
                    <w:tr2bl w:val="nil"/>
                  </w:tcBorders>
                  <w:vAlign w:val="center"/>
                </w:tcPr>
                <w:p w14:paraId="49EA641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w:t>
                  </w:r>
                  <w:r>
                    <w:rPr>
                      <w:rFonts w:hint="default" w:ascii="Times New Roman" w:hAnsi="Times New Roman"/>
                      <w:color w:val="auto"/>
                    </w:rPr>
                    <w:t>.5</w:t>
                  </w:r>
                </w:p>
              </w:tc>
              <w:tc>
                <w:tcPr>
                  <w:tcW w:w="1929" w:type="pct"/>
                  <w:vMerge w:val="continue"/>
                  <w:tcBorders>
                    <w:tl2br w:val="nil"/>
                    <w:tr2bl w:val="nil"/>
                  </w:tcBorders>
                  <w:vAlign w:val="center"/>
                </w:tcPr>
                <w:p w14:paraId="4106FD2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Cs/>
                      <w:color w:val="auto"/>
                      <w:sz w:val="20"/>
                    </w:rPr>
                  </w:pPr>
                </w:p>
              </w:tc>
            </w:tr>
            <w:tr w14:paraId="2FF8D9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10" w:type="pct"/>
                  <w:tcBorders>
                    <w:tl2br w:val="nil"/>
                    <w:tr2bl w:val="nil"/>
                  </w:tcBorders>
                  <w:vAlign w:val="center"/>
                </w:tcPr>
                <w:p w14:paraId="5D0BCA6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4</w:t>
                  </w:r>
                </w:p>
              </w:tc>
              <w:tc>
                <w:tcPr>
                  <w:tcW w:w="939" w:type="pct"/>
                  <w:tcBorders>
                    <w:tl2br w:val="nil"/>
                    <w:tr2bl w:val="nil"/>
                  </w:tcBorders>
                  <w:vAlign w:val="center"/>
                </w:tcPr>
                <w:p w14:paraId="4251897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N</w:t>
                  </w:r>
                  <w:r>
                    <w:rPr>
                      <w:rFonts w:hint="default" w:ascii="Times New Roman" w:hAnsi="Times New Roman"/>
                      <w:color w:val="auto"/>
                    </w:rPr>
                    <w:t>H</w:t>
                  </w:r>
                  <w:r>
                    <w:rPr>
                      <w:rFonts w:hint="default" w:ascii="Times New Roman" w:hAnsi="Times New Roman"/>
                      <w:color w:val="auto"/>
                      <w:vertAlign w:val="subscript"/>
                    </w:rPr>
                    <w:t>3</w:t>
                  </w:r>
                </w:p>
              </w:tc>
              <w:tc>
                <w:tcPr>
                  <w:tcW w:w="1621" w:type="pct"/>
                  <w:tcBorders>
                    <w:tl2br w:val="nil"/>
                    <w:tr2bl w:val="nil"/>
                  </w:tcBorders>
                  <w:vAlign w:val="center"/>
                </w:tcPr>
                <w:p w14:paraId="37E53BB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r>
                    <w:rPr>
                      <w:rFonts w:hint="default" w:ascii="Times New Roman" w:hAnsi="Times New Roman"/>
                      <w:color w:val="auto"/>
                    </w:rPr>
                    <w:t>.5</w:t>
                  </w:r>
                </w:p>
              </w:tc>
              <w:tc>
                <w:tcPr>
                  <w:tcW w:w="1929" w:type="pct"/>
                  <w:vMerge w:val="restart"/>
                  <w:tcBorders>
                    <w:tl2br w:val="nil"/>
                    <w:tr2bl w:val="nil"/>
                  </w:tcBorders>
                  <w:vAlign w:val="center"/>
                </w:tcPr>
                <w:p w14:paraId="232860F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Cs/>
                      <w:color w:val="auto"/>
                    </w:rPr>
                  </w:pPr>
                  <w:r>
                    <w:rPr>
                      <w:rFonts w:hint="eastAsia" w:ascii="Times New Roman" w:hAnsi="Times New Roman"/>
                      <w:bCs/>
                      <w:color w:val="auto"/>
                    </w:rPr>
                    <w:t>《恶臭污染物排放标准》(GB14554-93)</w:t>
                  </w:r>
                </w:p>
              </w:tc>
            </w:tr>
            <w:tr w14:paraId="4F428B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10" w:type="pct"/>
                  <w:tcBorders>
                    <w:tl2br w:val="nil"/>
                    <w:tr2bl w:val="nil"/>
                  </w:tcBorders>
                  <w:vAlign w:val="center"/>
                </w:tcPr>
                <w:p w14:paraId="6856021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5</w:t>
                  </w:r>
                </w:p>
              </w:tc>
              <w:tc>
                <w:tcPr>
                  <w:tcW w:w="939" w:type="pct"/>
                  <w:tcBorders>
                    <w:tl2br w:val="nil"/>
                    <w:tr2bl w:val="nil"/>
                  </w:tcBorders>
                  <w:vAlign w:val="center"/>
                </w:tcPr>
                <w:p w14:paraId="4DDC1B0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bCs/>
                      <w:color w:val="auto"/>
                      <w:sz w:val="20"/>
                    </w:rPr>
                    <w:t>H</w:t>
                  </w:r>
                  <w:r>
                    <w:rPr>
                      <w:rFonts w:hint="default" w:ascii="Times New Roman" w:hAnsi="Times New Roman"/>
                      <w:bCs/>
                      <w:color w:val="auto"/>
                      <w:sz w:val="20"/>
                      <w:vertAlign w:val="subscript"/>
                    </w:rPr>
                    <w:t>2</w:t>
                  </w:r>
                  <w:r>
                    <w:rPr>
                      <w:rFonts w:hint="default" w:ascii="Times New Roman" w:hAnsi="Times New Roman"/>
                      <w:bCs/>
                      <w:color w:val="auto"/>
                      <w:sz w:val="20"/>
                    </w:rPr>
                    <w:t>S</w:t>
                  </w:r>
                </w:p>
              </w:tc>
              <w:tc>
                <w:tcPr>
                  <w:tcW w:w="1621" w:type="pct"/>
                  <w:tcBorders>
                    <w:tl2br w:val="nil"/>
                    <w:tr2bl w:val="nil"/>
                  </w:tcBorders>
                  <w:vAlign w:val="center"/>
                </w:tcPr>
                <w:p w14:paraId="1DEAFE7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0.06</w:t>
                  </w:r>
                </w:p>
              </w:tc>
              <w:tc>
                <w:tcPr>
                  <w:tcW w:w="1929" w:type="pct"/>
                  <w:vMerge w:val="continue"/>
                  <w:tcBorders>
                    <w:tl2br w:val="nil"/>
                    <w:tr2bl w:val="nil"/>
                  </w:tcBorders>
                  <w:vAlign w:val="center"/>
                </w:tcPr>
                <w:p w14:paraId="6607307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Cs/>
                      <w:color w:val="auto"/>
                    </w:rPr>
                  </w:pPr>
                </w:p>
              </w:tc>
            </w:tr>
            <w:tr w14:paraId="1EBA18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10" w:type="pct"/>
                  <w:tcBorders>
                    <w:tl2br w:val="nil"/>
                    <w:tr2bl w:val="nil"/>
                  </w:tcBorders>
                  <w:vAlign w:val="center"/>
                </w:tcPr>
                <w:p w14:paraId="20288841">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olor w:val="auto"/>
                      <w:lang w:val="en-US" w:eastAsia="zh-CN"/>
                    </w:rPr>
                  </w:pPr>
                  <w:r>
                    <w:rPr>
                      <w:rFonts w:hint="eastAsia" w:ascii="Times New Roman" w:hAnsi="Times New Roman"/>
                      <w:color w:val="auto"/>
                      <w:lang w:val="en-US" w:eastAsia="zh-CN"/>
                    </w:rPr>
                    <w:t>6</w:t>
                  </w:r>
                </w:p>
              </w:tc>
              <w:tc>
                <w:tcPr>
                  <w:tcW w:w="939" w:type="pct"/>
                  <w:tcBorders>
                    <w:tl2br w:val="nil"/>
                    <w:tr2bl w:val="nil"/>
                  </w:tcBorders>
                  <w:vAlign w:val="center"/>
                </w:tcPr>
                <w:p w14:paraId="1DB350B2">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bCs/>
                      <w:color w:val="auto"/>
                      <w:sz w:val="20"/>
                      <w:lang w:eastAsia="zh-CN"/>
                    </w:rPr>
                  </w:pPr>
                  <w:r>
                    <w:rPr>
                      <w:rFonts w:hint="eastAsia" w:ascii="Times New Roman" w:hAnsi="Times New Roman"/>
                      <w:bCs/>
                      <w:color w:val="auto"/>
                      <w:sz w:val="20"/>
                      <w:lang w:eastAsia="zh-CN"/>
                    </w:rPr>
                    <w:t>臭气浓度</w:t>
                  </w:r>
                </w:p>
              </w:tc>
              <w:tc>
                <w:tcPr>
                  <w:tcW w:w="1621" w:type="pct"/>
                  <w:tcBorders>
                    <w:tl2br w:val="nil"/>
                    <w:tr2bl w:val="nil"/>
                  </w:tcBorders>
                  <w:vAlign w:val="center"/>
                </w:tcPr>
                <w:p w14:paraId="36621CCB">
                  <w:pPr>
                    <w:pStyle w:val="165"/>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color w:val="auto"/>
                    </w:rPr>
                  </w:pPr>
                  <w:r>
                    <w:rPr>
                      <w:rFonts w:hint="eastAsia" w:ascii="Times New Roman" w:hAnsi="Times New Roman"/>
                      <w:color w:val="auto"/>
                      <w:lang w:val="en-US" w:eastAsia="zh-CN"/>
                    </w:rPr>
                    <w:t>20（</w:t>
                  </w:r>
                  <w:r>
                    <w:rPr>
                      <w:rFonts w:hint="eastAsia" w:eastAsia="仿宋_GB2312" w:cs="Times New Roman"/>
                      <w:bCs/>
                      <w:color w:val="auto"/>
                      <w:sz w:val="21"/>
                      <w:szCs w:val="21"/>
                      <w:lang w:val="en-US" w:eastAsia="zh-CN"/>
                    </w:rPr>
                    <w:t>无量纲）</w:t>
                  </w:r>
                </w:p>
              </w:tc>
              <w:tc>
                <w:tcPr>
                  <w:tcW w:w="1929" w:type="pct"/>
                  <w:vMerge w:val="continue"/>
                  <w:tcBorders>
                    <w:tl2br w:val="nil"/>
                    <w:tr2bl w:val="nil"/>
                  </w:tcBorders>
                  <w:vAlign w:val="center"/>
                </w:tcPr>
                <w:p w14:paraId="1A1B336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Cs/>
                      <w:color w:val="auto"/>
                    </w:rPr>
                  </w:pPr>
                </w:p>
              </w:tc>
            </w:tr>
          </w:tbl>
          <w:p w14:paraId="7B96E29A">
            <w:pPr>
              <w:keepNext w:val="0"/>
              <w:keepLines w:val="0"/>
              <w:suppressLineNumbers w:val="0"/>
              <w:spacing w:before="0" w:beforeAutospacing="0" w:after="0" w:afterAutospacing="0" w:line="500" w:lineRule="exact"/>
              <w:ind w:left="0" w:right="0" w:firstLine="480" w:firstLineChars="200"/>
              <w:rPr>
                <w:rFonts w:hint="default" w:eastAsia="仿宋_GB2312"/>
                <w:b/>
                <w:color w:val="auto"/>
                <w:sz w:val="22"/>
                <w:szCs w:val="22"/>
              </w:rPr>
            </w:pPr>
            <w:r>
              <w:rPr>
                <w:rFonts w:hint="default" w:eastAsia="仿宋_GB2312"/>
                <w:color w:val="auto"/>
                <w:sz w:val="24"/>
              </w:rPr>
              <w:t>厂区内VOCs无组织排放监控点浓度要求见下表。</w:t>
            </w:r>
          </w:p>
          <w:p w14:paraId="6A96BA09">
            <w:pPr>
              <w:keepNext w:val="0"/>
              <w:keepLines w:val="0"/>
              <w:suppressLineNumbers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表3-</w:t>
            </w:r>
            <w:r>
              <w:rPr>
                <w:rFonts w:hint="eastAsia" w:eastAsia="仿宋_GB2312"/>
                <w:b/>
                <w:color w:val="auto"/>
                <w:sz w:val="22"/>
                <w:szCs w:val="22"/>
                <w:lang w:val="en-US" w:eastAsia="zh-CN"/>
              </w:rPr>
              <w:t>17</w:t>
            </w:r>
            <w:r>
              <w:rPr>
                <w:rFonts w:hint="default" w:eastAsia="仿宋_GB2312"/>
                <w:b/>
                <w:color w:val="auto"/>
                <w:sz w:val="22"/>
                <w:szCs w:val="22"/>
              </w:rPr>
              <w:t xml:space="preserve">  厂内VOCs无组织排放限值</w:t>
            </w:r>
          </w:p>
          <w:tbl>
            <w:tblPr>
              <w:tblStyle w:val="167"/>
              <w:tblW w:w="50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88"/>
              <w:gridCol w:w="1663"/>
              <w:gridCol w:w="1994"/>
              <w:gridCol w:w="1380"/>
              <w:gridCol w:w="2705"/>
            </w:tblGrid>
            <w:tr w14:paraId="5F0EEA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pct"/>
                  <w:tcBorders>
                    <w:tl2br w:val="nil"/>
                    <w:tr2bl w:val="nil"/>
                  </w:tcBorders>
                  <w:vAlign w:val="center"/>
                </w:tcPr>
                <w:p w14:paraId="3FFB549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污染物名称</w:t>
                  </w:r>
                </w:p>
              </w:tc>
              <w:tc>
                <w:tcPr>
                  <w:tcW w:w="911" w:type="pct"/>
                  <w:tcBorders>
                    <w:tl2br w:val="nil"/>
                    <w:tr2bl w:val="nil"/>
                  </w:tcBorders>
                  <w:vAlign w:val="center"/>
                </w:tcPr>
                <w:p w14:paraId="2B9F589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特别排放限值（mg/m</w:t>
                  </w:r>
                  <w:r>
                    <w:rPr>
                      <w:rFonts w:hint="eastAsia" w:ascii="Times New Roman" w:hAnsi="Times New Roman"/>
                      <w:b/>
                      <w:bCs/>
                      <w:color w:val="auto"/>
                      <w:vertAlign w:val="superscript"/>
                    </w:rPr>
                    <w:t>3</w:t>
                  </w:r>
                  <w:r>
                    <w:rPr>
                      <w:rFonts w:hint="eastAsia" w:ascii="Times New Roman" w:hAnsi="Times New Roman"/>
                      <w:b/>
                      <w:bCs/>
                      <w:color w:val="auto"/>
                    </w:rPr>
                    <w:t>）</w:t>
                  </w:r>
                </w:p>
              </w:tc>
              <w:tc>
                <w:tcPr>
                  <w:tcW w:w="1092" w:type="pct"/>
                  <w:tcBorders>
                    <w:tl2br w:val="nil"/>
                    <w:tr2bl w:val="nil"/>
                  </w:tcBorders>
                  <w:vAlign w:val="center"/>
                </w:tcPr>
                <w:p w14:paraId="5BCCE01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限值含义</w:t>
                  </w:r>
                </w:p>
              </w:tc>
              <w:tc>
                <w:tcPr>
                  <w:tcW w:w="756" w:type="pct"/>
                  <w:tcBorders>
                    <w:tl2br w:val="nil"/>
                    <w:tr2bl w:val="nil"/>
                  </w:tcBorders>
                  <w:vAlign w:val="center"/>
                </w:tcPr>
                <w:p w14:paraId="3BA27E5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无组织排放监控位置</w:t>
                  </w:r>
                </w:p>
              </w:tc>
              <w:tc>
                <w:tcPr>
                  <w:tcW w:w="1481" w:type="pct"/>
                  <w:tcBorders>
                    <w:tl2br w:val="nil"/>
                    <w:tr2bl w:val="nil"/>
                  </w:tcBorders>
                  <w:vAlign w:val="center"/>
                </w:tcPr>
                <w:p w14:paraId="611D901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标准来源</w:t>
                  </w:r>
                </w:p>
              </w:tc>
            </w:tr>
            <w:tr w14:paraId="40BAFC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pct"/>
                  <w:vMerge w:val="restart"/>
                  <w:tcBorders>
                    <w:tl2br w:val="nil"/>
                    <w:tr2bl w:val="nil"/>
                  </w:tcBorders>
                  <w:vAlign w:val="center"/>
                </w:tcPr>
                <w:p w14:paraId="40BD264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非甲烷总烃</w:t>
                  </w:r>
                </w:p>
              </w:tc>
              <w:tc>
                <w:tcPr>
                  <w:tcW w:w="911" w:type="pct"/>
                  <w:tcBorders>
                    <w:tl2br w:val="nil"/>
                    <w:tr2bl w:val="nil"/>
                  </w:tcBorders>
                  <w:vAlign w:val="center"/>
                </w:tcPr>
                <w:p w14:paraId="2A16C60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6</w:t>
                  </w:r>
                </w:p>
              </w:tc>
              <w:tc>
                <w:tcPr>
                  <w:tcW w:w="1092" w:type="pct"/>
                  <w:tcBorders>
                    <w:tl2br w:val="nil"/>
                    <w:tr2bl w:val="nil"/>
                  </w:tcBorders>
                  <w:vAlign w:val="center"/>
                </w:tcPr>
                <w:p w14:paraId="5BBF6F0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监控点处1h平均浓度值</w:t>
                  </w:r>
                </w:p>
              </w:tc>
              <w:tc>
                <w:tcPr>
                  <w:tcW w:w="756" w:type="pct"/>
                  <w:vMerge w:val="restart"/>
                  <w:tcBorders>
                    <w:tl2br w:val="nil"/>
                    <w:tr2bl w:val="nil"/>
                  </w:tcBorders>
                  <w:vAlign w:val="center"/>
                </w:tcPr>
                <w:p w14:paraId="3F43228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在厂房外设置监控点</w:t>
                  </w:r>
                </w:p>
              </w:tc>
              <w:tc>
                <w:tcPr>
                  <w:tcW w:w="1481" w:type="pct"/>
                  <w:vMerge w:val="restart"/>
                  <w:tcBorders>
                    <w:tl2br w:val="nil"/>
                    <w:tr2bl w:val="nil"/>
                  </w:tcBorders>
                  <w:vAlign w:val="center"/>
                </w:tcPr>
                <w:p w14:paraId="3575ADD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bCs/>
                      <w:color w:val="auto"/>
                    </w:rPr>
                    <w:t>《大气污染物综合排放标准》(DB32/4041-2021)</w:t>
                  </w:r>
                </w:p>
              </w:tc>
            </w:tr>
            <w:tr w14:paraId="3017FF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60" w:type="pct"/>
                  <w:vMerge w:val="continue"/>
                  <w:tcBorders>
                    <w:tl2br w:val="nil"/>
                    <w:tr2bl w:val="nil"/>
                  </w:tcBorders>
                  <w:vAlign w:val="center"/>
                </w:tcPr>
                <w:p w14:paraId="1B6BE3C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911" w:type="pct"/>
                  <w:tcBorders>
                    <w:tl2br w:val="nil"/>
                    <w:tr2bl w:val="nil"/>
                  </w:tcBorders>
                  <w:vAlign w:val="center"/>
                </w:tcPr>
                <w:p w14:paraId="59D40D1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20</w:t>
                  </w:r>
                </w:p>
              </w:tc>
              <w:tc>
                <w:tcPr>
                  <w:tcW w:w="1092" w:type="pct"/>
                  <w:tcBorders>
                    <w:tl2br w:val="nil"/>
                    <w:tr2bl w:val="nil"/>
                  </w:tcBorders>
                  <w:vAlign w:val="center"/>
                </w:tcPr>
                <w:p w14:paraId="5CC35AD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监控点处任意一次浓度值</w:t>
                  </w:r>
                </w:p>
              </w:tc>
              <w:tc>
                <w:tcPr>
                  <w:tcW w:w="756" w:type="pct"/>
                  <w:vMerge w:val="continue"/>
                  <w:tcBorders>
                    <w:tl2br w:val="nil"/>
                    <w:tr2bl w:val="nil"/>
                  </w:tcBorders>
                  <w:vAlign w:val="center"/>
                </w:tcPr>
                <w:p w14:paraId="1BC9648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c>
                <w:tcPr>
                  <w:tcW w:w="1481" w:type="pct"/>
                  <w:vMerge w:val="continue"/>
                  <w:tcBorders>
                    <w:tl2br w:val="nil"/>
                    <w:tr2bl w:val="nil"/>
                  </w:tcBorders>
                  <w:vAlign w:val="center"/>
                </w:tcPr>
                <w:p w14:paraId="080C40E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p>
              </w:tc>
            </w:tr>
          </w:tbl>
          <w:p w14:paraId="6B113B64">
            <w:pPr>
              <w:pStyle w:val="2"/>
              <w:keepNext w:val="0"/>
              <w:keepLines w:val="0"/>
              <w:suppressLineNumbers w:val="0"/>
              <w:spacing w:beforeAutospacing="0" w:afterAutospacing="0"/>
              <w:ind w:left="0"/>
              <w:rPr>
                <w:rFonts w:hint="default" w:eastAsia="仿宋_GB2312"/>
                <w:b/>
                <w:color w:val="auto"/>
                <w:sz w:val="22"/>
                <w:szCs w:val="22"/>
              </w:rPr>
            </w:pPr>
          </w:p>
          <w:p w14:paraId="63FA8AF6">
            <w:pPr>
              <w:keepNext w:val="0"/>
              <w:keepLines w:val="0"/>
              <w:suppressLineNumbers w:val="0"/>
              <w:snapToGrid w:val="0"/>
              <w:spacing w:before="0" w:beforeAutospacing="0" w:after="0" w:afterAutospacing="0" w:line="500" w:lineRule="exact"/>
              <w:ind w:left="0" w:right="0"/>
              <w:rPr>
                <w:rFonts w:hint="default" w:eastAsia="仿宋_GB2312"/>
                <w:b/>
                <w:bCs/>
                <w:color w:val="auto"/>
                <w:sz w:val="24"/>
              </w:rPr>
            </w:pPr>
          </w:p>
          <w:p w14:paraId="7C768E63">
            <w:pPr>
              <w:keepNext w:val="0"/>
              <w:keepLines w:val="0"/>
              <w:suppressLineNumbers w:val="0"/>
              <w:snapToGrid w:val="0"/>
              <w:spacing w:before="0" w:beforeAutospacing="0" w:after="0" w:afterAutospacing="0" w:line="500" w:lineRule="exact"/>
              <w:ind w:left="0" w:right="0"/>
              <w:rPr>
                <w:rFonts w:hint="default" w:eastAsia="仿宋_GB2312"/>
                <w:b/>
                <w:bCs/>
                <w:color w:val="auto"/>
                <w:sz w:val="24"/>
              </w:rPr>
            </w:pPr>
            <w:r>
              <w:rPr>
                <w:rFonts w:hint="default" w:eastAsia="仿宋_GB2312"/>
                <w:b/>
                <w:bCs/>
                <w:color w:val="auto"/>
                <w:sz w:val="24"/>
              </w:rPr>
              <w:t>2、废水</w:t>
            </w:r>
          </w:p>
          <w:p w14:paraId="04C8AD10">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（1）接管排放废水</w:t>
            </w:r>
          </w:p>
          <w:p w14:paraId="69AD63FE">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本项目生活污水经化粪池处理后和纯水制备过程中产生浓水达标接管至常州金坛第二污水处理有限公司处理，执行常州金坛区第二污水处理有限公司接管标准。具体见下表。</w:t>
            </w:r>
          </w:p>
          <w:p w14:paraId="415A66E9">
            <w:pPr>
              <w:keepNext w:val="0"/>
              <w:keepLines w:val="0"/>
              <w:suppressLineNumbers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表3-</w:t>
            </w:r>
            <w:r>
              <w:rPr>
                <w:rFonts w:hint="eastAsia" w:eastAsia="仿宋_GB2312"/>
                <w:b/>
                <w:color w:val="auto"/>
                <w:sz w:val="22"/>
                <w:szCs w:val="22"/>
                <w:lang w:val="en-US" w:eastAsia="zh-CN"/>
              </w:rPr>
              <w:t>18</w:t>
            </w:r>
            <w:r>
              <w:rPr>
                <w:rFonts w:hint="default" w:eastAsia="仿宋_GB2312"/>
                <w:b/>
                <w:color w:val="auto"/>
                <w:sz w:val="22"/>
                <w:szCs w:val="22"/>
              </w:rPr>
              <w:t xml:space="preserve">  常州金坛区第二污水处理有限公司接管水质标准（单位：mg/L）</w:t>
            </w:r>
          </w:p>
          <w:tbl>
            <w:tblPr>
              <w:tblStyle w:val="8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61"/>
              <w:gridCol w:w="2262"/>
              <w:gridCol w:w="2262"/>
              <w:gridCol w:w="3375"/>
            </w:tblGrid>
            <w:tr w14:paraId="5B2440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010" w:type="dxa"/>
                  <w:tcBorders>
                    <w:tl2br w:val="nil"/>
                    <w:tr2bl w:val="nil"/>
                  </w:tcBorders>
                  <w:vAlign w:val="center"/>
                </w:tcPr>
                <w:p w14:paraId="5CCB15F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序号</w:t>
                  </w:r>
                </w:p>
              </w:tc>
              <w:tc>
                <w:tcPr>
                  <w:tcW w:w="2153" w:type="dxa"/>
                  <w:tcBorders>
                    <w:tl2br w:val="nil"/>
                    <w:tr2bl w:val="nil"/>
                  </w:tcBorders>
                  <w:vAlign w:val="center"/>
                </w:tcPr>
                <w:p w14:paraId="3260C042">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2153" w:type="dxa"/>
                  <w:tcBorders>
                    <w:tl2br w:val="nil"/>
                    <w:tr2bl w:val="nil"/>
                  </w:tcBorders>
                  <w:vAlign w:val="center"/>
                </w:tcPr>
                <w:p w14:paraId="52A7926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污染物接管标准</w:t>
                  </w:r>
                </w:p>
              </w:tc>
              <w:tc>
                <w:tcPr>
                  <w:tcW w:w="3212" w:type="dxa"/>
                  <w:tcBorders>
                    <w:tl2br w:val="nil"/>
                    <w:tr2bl w:val="nil"/>
                  </w:tcBorders>
                  <w:vAlign w:val="center"/>
                </w:tcPr>
                <w:p w14:paraId="6B5C7AA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标准来源</w:t>
                  </w:r>
                </w:p>
              </w:tc>
            </w:tr>
            <w:tr w14:paraId="24E8D8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14:paraId="56B48FE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c>
                <w:tcPr>
                  <w:tcW w:w="2153" w:type="dxa"/>
                  <w:tcBorders>
                    <w:tl2br w:val="nil"/>
                    <w:tr2bl w:val="nil"/>
                  </w:tcBorders>
                  <w:vAlign w:val="center"/>
                </w:tcPr>
                <w:p w14:paraId="183D19C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pH</w:t>
                  </w:r>
                </w:p>
              </w:tc>
              <w:tc>
                <w:tcPr>
                  <w:tcW w:w="2153" w:type="dxa"/>
                  <w:tcBorders>
                    <w:tl2br w:val="nil"/>
                    <w:tr2bl w:val="nil"/>
                  </w:tcBorders>
                  <w:vAlign w:val="center"/>
                </w:tcPr>
                <w:p w14:paraId="0304163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6-9（无量纲）</w:t>
                  </w:r>
                </w:p>
              </w:tc>
              <w:tc>
                <w:tcPr>
                  <w:tcW w:w="3212" w:type="dxa"/>
                  <w:vMerge w:val="restart"/>
                  <w:tcBorders>
                    <w:tl2br w:val="nil"/>
                    <w:tr2bl w:val="nil"/>
                  </w:tcBorders>
                  <w:vAlign w:val="center"/>
                </w:tcPr>
                <w:p w14:paraId="3AED81D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《常州金坛区第二污水处理有限公司接管水质标准》</w:t>
                  </w:r>
                </w:p>
              </w:tc>
            </w:tr>
            <w:tr w14:paraId="385576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14:paraId="6035A59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2</w:t>
                  </w:r>
                </w:p>
              </w:tc>
              <w:tc>
                <w:tcPr>
                  <w:tcW w:w="2153" w:type="dxa"/>
                  <w:tcBorders>
                    <w:tl2br w:val="nil"/>
                    <w:tr2bl w:val="nil"/>
                  </w:tcBorders>
                  <w:vAlign w:val="center"/>
                </w:tcPr>
                <w:p w14:paraId="130A9380">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COD</w:t>
                  </w:r>
                </w:p>
              </w:tc>
              <w:tc>
                <w:tcPr>
                  <w:tcW w:w="2153" w:type="dxa"/>
                  <w:tcBorders>
                    <w:tl2br w:val="nil"/>
                    <w:tr2bl w:val="nil"/>
                  </w:tcBorders>
                  <w:vAlign w:val="center"/>
                </w:tcPr>
                <w:p w14:paraId="1251F57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500</w:t>
                  </w:r>
                </w:p>
              </w:tc>
              <w:tc>
                <w:tcPr>
                  <w:tcW w:w="3212" w:type="dxa"/>
                  <w:vMerge w:val="continue"/>
                  <w:tcBorders>
                    <w:tl2br w:val="nil"/>
                    <w:tr2bl w:val="nil"/>
                  </w:tcBorders>
                  <w:vAlign w:val="center"/>
                </w:tcPr>
                <w:p w14:paraId="5B0FDDF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795490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14:paraId="05786BE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3</w:t>
                  </w:r>
                </w:p>
              </w:tc>
              <w:tc>
                <w:tcPr>
                  <w:tcW w:w="2153" w:type="dxa"/>
                  <w:tcBorders>
                    <w:tl2br w:val="nil"/>
                    <w:tr2bl w:val="nil"/>
                  </w:tcBorders>
                  <w:vAlign w:val="center"/>
                </w:tcPr>
                <w:p w14:paraId="3256168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SS</w:t>
                  </w:r>
                </w:p>
              </w:tc>
              <w:tc>
                <w:tcPr>
                  <w:tcW w:w="2153" w:type="dxa"/>
                  <w:tcBorders>
                    <w:tl2br w:val="nil"/>
                    <w:tr2bl w:val="nil"/>
                  </w:tcBorders>
                  <w:vAlign w:val="center"/>
                </w:tcPr>
                <w:p w14:paraId="7F52F3F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250</w:t>
                  </w:r>
                </w:p>
              </w:tc>
              <w:tc>
                <w:tcPr>
                  <w:tcW w:w="3212" w:type="dxa"/>
                  <w:vMerge w:val="continue"/>
                  <w:tcBorders>
                    <w:tl2br w:val="nil"/>
                    <w:tr2bl w:val="nil"/>
                  </w:tcBorders>
                  <w:vAlign w:val="center"/>
                </w:tcPr>
                <w:p w14:paraId="092F64C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4EE35D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010" w:type="dxa"/>
                  <w:tcBorders>
                    <w:tl2br w:val="nil"/>
                    <w:tr2bl w:val="nil"/>
                  </w:tcBorders>
                  <w:vAlign w:val="center"/>
                </w:tcPr>
                <w:p w14:paraId="7CFCFE4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4</w:t>
                  </w:r>
                </w:p>
              </w:tc>
              <w:tc>
                <w:tcPr>
                  <w:tcW w:w="2153" w:type="dxa"/>
                  <w:tcBorders>
                    <w:tl2br w:val="nil"/>
                    <w:tr2bl w:val="nil"/>
                  </w:tcBorders>
                  <w:vAlign w:val="center"/>
                </w:tcPr>
                <w:p w14:paraId="486905F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2153" w:type="dxa"/>
                  <w:tcBorders>
                    <w:tl2br w:val="nil"/>
                    <w:tr2bl w:val="nil"/>
                  </w:tcBorders>
                  <w:vAlign w:val="center"/>
                </w:tcPr>
                <w:p w14:paraId="3857CB8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35</w:t>
                  </w:r>
                </w:p>
              </w:tc>
              <w:tc>
                <w:tcPr>
                  <w:tcW w:w="3212" w:type="dxa"/>
                  <w:vMerge w:val="continue"/>
                  <w:tcBorders>
                    <w:tl2br w:val="nil"/>
                    <w:tr2bl w:val="nil"/>
                  </w:tcBorders>
                  <w:vAlign w:val="center"/>
                </w:tcPr>
                <w:p w14:paraId="1C1B256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25C63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14:paraId="6ABA42C9">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5</w:t>
                  </w:r>
                </w:p>
              </w:tc>
              <w:tc>
                <w:tcPr>
                  <w:tcW w:w="2153" w:type="dxa"/>
                  <w:tcBorders>
                    <w:tl2br w:val="nil"/>
                    <w:tr2bl w:val="nil"/>
                  </w:tcBorders>
                  <w:vAlign w:val="center"/>
                </w:tcPr>
                <w:p w14:paraId="1162C9A7">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TN</w:t>
                  </w:r>
                </w:p>
              </w:tc>
              <w:tc>
                <w:tcPr>
                  <w:tcW w:w="2153" w:type="dxa"/>
                  <w:tcBorders>
                    <w:tl2br w:val="nil"/>
                    <w:tr2bl w:val="nil"/>
                  </w:tcBorders>
                  <w:vAlign w:val="center"/>
                </w:tcPr>
                <w:p w14:paraId="38B15BB5">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50</w:t>
                  </w:r>
                </w:p>
              </w:tc>
              <w:tc>
                <w:tcPr>
                  <w:tcW w:w="3212" w:type="dxa"/>
                  <w:vMerge w:val="continue"/>
                  <w:tcBorders>
                    <w:tl2br w:val="nil"/>
                    <w:tr2bl w:val="nil"/>
                  </w:tcBorders>
                  <w:vAlign w:val="center"/>
                </w:tcPr>
                <w:p w14:paraId="6A569E4C">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r w14:paraId="40CA0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14:paraId="38E9CCD9">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6</w:t>
                  </w:r>
                </w:p>
              </w:tc>
              <w:tc>
                <w:tcPr>
                  <w:tcW w:w="2153" w:type="dxa"/>
                  <w:tcBorders>
                    <w:tl2br w:val="nil"/>
                    <w:tr2bl w:val="nil"/>
                  </w:tcBorders>
                  <w:vAlign w:val="center"/>
                </w:tcPr>
                <w:p w14:paraId="3E6158A3">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TP</w:t>
                  </w:r>
                </w:p>
              </w:tc>
              <w:tc>
                <w:tcPr>
                  <w:tcW w:w="2153" w:type="dxa"/>
                  <w:tcBorders>
                    <w:tl2br w:val="nil"/>
                    <w:tr2bl w:val="nil"/>
                  </w:tcBorders>
                  <w:vAlign w:val="center"/>
                </w:tcPr>
                <w:p w14:paraId="516BEF3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3</w:t>
                  </w:r>
                </w:p>
              </w:tc>
              <w:tc>
                <w:tcPr>
                  <w:tcW w:w="3212" w:type="dxa"/>
                  <w:vMerge w:val="continue"/>
                  <w:tcBorders>
                    <w:tl2br w:val="nil"/>
                    <w:tr2bl w:val="nil"/>
                  </w:tcBorders>
                  <w:vAlign w:val="center"/>
                </w:tcPr>
                <w:p w14:paraId="19290ECE">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r>
          </w:tbl>
          <w:p w14:paraId="7CD5C09D">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常州金坛区第二污水处理有限公司处理后尾水中pH和SS执行《城镇污水处理厂污染物排放标准》（DB18918-2002）表1一级A标准，COD、氨氮、总氮、总磷执行《太湖地区城镇污水处理厂及重点工业行业主要水污染物排放限值》（DB32/1072-2018）中标准，尾水排入尧塘河。具体见下表。</w:t>
            </w:r>
          </w:p>
          <w:p w14:paraId="1E858652">
            <w:pPr>
              <w:keepNext w:val="0"/>
              <w:keepLines w:val="0"/>
              <w:suppressLineNumbers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表3-</w:t>
            </w:r>
            <w:r>
              <w:rPr>
                <w:rFonts w:hint="eastAsia" w:eastAsia="仿宋_GB2312"/>
                <w:b/>
                <w:color w:val="auto"/>
                <w:sz w:val="22"/>
                <w:szCs w:val="22"/>
                <w:lang w:val="en-US" w:eastAsia="zh-CN"/>
              </w:rPr>
              <w:t>19</w:t>
            </w:r>
            <w:r>
              <w:rPr>
                <w:rFonts w:hint="default" w:eastAsia="仿宋_GB2312"/>
                <w:b/>
                <w:color w:val="auto"/>
                <w:sz w:val="22"/>
                <w:szCs w:val="22"/>
              </w:rPr>
              <w:t xml:space="preserve">  </w:t>
            </w:r>
            <w:r>
              <w:rPr>
                <w:rFonts w:hint="eastAsia" w:eastAsia="仿宋_GB2312"/>
                <w:b/>
                <w:color w:val="auto"/>
                <w:sz w:val="22"/>
                <w:szCs w:val="22"/>
              </w:rPr>
              <w:t>常州金坛区第二污水处理有限公司尾水排放</w:t>
            </w:r>
            <w:r>
              <w:rPr>
                <w:rFonts w:hint="default" w:eastAsia="仿宋_GB2312"/>
                <w:b/>
                <w:color w:val="auto"/>
                <w:sz w:val="22"/>
                <w:szCs w:val="22"/>
              </w:rPr>
              <w:t>标准</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108" w:type="dxa"/>
                <w:bottom w:w="0" w:type="dxa"/>
                <w:right w:w="108" w:type="dxa"/>
              </w:tblCellMar>
            </w:tblPr>
            <w:tblGrid>
              <w:gridCol w:w="751"/>
              <w:gridCol w:w="1610"/>
              <w:gridCol w:w="2964"/>
              <w:gridCol w:w="3635"/>
            </w:tblGrid>
            <w:tr w14:paraId="192812D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419" w:type="pct"/>
                  <w:vAlign w:val="center"/>
                </w:tcPr>
                <w:p w14:paraId="1029287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snapToGrid w:val="0"/>
                      <w:color w:val="auto"/>
                      <w:sz w:val="21"/>
                    </w:rPr>
                  </w:pPr>
                  <w:r>
                    <w:rPr>
                      <w:rFonts w:hint="default" w:ascii="Times New Roman" w:hAnsi="Times New Roman" w:eastAsia="仿宋_GB2312" w:cs="Times New Roman"/>
                      <w:b/>
                      <w:bCs/>
                      <w:snapToGrid w:val="0"/>
                      <w:color w:val="auto"/>
                      <w:sz w:val="21"/>
                    </w:rPr>
                    <w:t>序号</w:t>
                  </w:r>
                </w:p>
              </w:tc>
              <w:tc>
                <w:tcPr>
                  <w:tcW w:w="898" w:type="pct"/>
                  <w:vAlign w:val="center"/>
                </w:tcPr>
                <w:p w14:paraId="49F200F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snapToGrid w:val="0"/>
                      <w:color w:val="auto"/>
                      <w:sz w:val="21"/>
                    </w:rPr>
                  </w:pPr>
                  <w:r>
                    <w:rPr>
                      <w:rFonts w:hint="default" w:ascii="Times New Roman" w:hAnsi="Times New Roman" w:eastAsia="仿宋_GB2312" w:cs="Times New Roman"/>
                      <w:b/>
                      <w:bCs/>
                      <w:snapToGrid w:val="0"/>
                      <w:color w:val="auto"/>
                      <w:sz w:val="21"/>
                    </w:rPr>
                    <w:t>污染物指标</w:t>
                  </w:r>
                </w:p>
              </w:tc>
              <w:tc>
                <w:tcPr>
                  <w:tcW w:w="1653" w:type="pct"/>
                  <w:vAlign w:val="center"/>
                </w:tcPr>
                <w:p w14:paraId="195C0B9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snapToGrid w:val="0"/>
                      <w:color w:val="auto"/>
                      <w:sz w:val="21"/>
                    </w:rPr>
                  </w:pPr>
                  <w:r>
                    <w:rPr>
                      <w:rFonts w:hint="default" w:ascii="Times New Roman" w:hAnsi="Times New Roman" w:eastAsia="仿宋_GB2312" w:cs="Times New Roman"/>
                      <w:b/>
                      <w:color w:val="auto"/>
                      <w:sz w:val="21"/>
                    </w:rPr>
                    <w:t>污染物排放标准</w:t>
                  </w:r>
                  <w:r>
                    <w:rPr>
                      <w:rFonts w:hint="default" w:ascii="Times New Roman" w:hAnsi="Times New Roman" w:eastAsia="仿宋_GB2312" w:cs="Times New Roman"/>
                      <w:b/>
                      <w:bCs/>
                      <w:color w:val="auto"/>
                      <w:sz w:val="21"/>
                    </w:rPr>
                    <w:t>（mg/L）</w:t>
                  </w:r>
                </w:p>
              </w:tc>
              <w:tc>
                <w:tcPr>
                  <w:tcW w:w="2027" w:type="pct"/>
                  <w:vAlign w:val="center"/>
                </w:tcPr>
                <w:p w14:paraId="0DDB472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snapToGrid w:val="0"/>
                      <w:color w:val="auto"/>
                      <w:sz w:val="21"/>
                    </w:rPr>
                  </w:pPr>
                  <w:r>
                    <w:rPr>
                      <w:rFonts w:hint="default" w:ascii="Times New Roman" w:hAnsi="Times New Roman" w:eastAsia="仿宋_GB2312" w:cs="Times New Roman"/>
                      <w:b/>
                      <w:bCs/>
                      <w:snapToGrid w:val="0"/>
                      <w:color w:val="auto"/>
                      <w:sz w:val="21"/>
                    </w:rPr>
                    <w:t>标准来源</w:t>
                  </w:r>
                </w:p>
              </w:tc>
            </w:tr>
            <w:tr w14:paraId="2382E61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19" w:type="pct"/>
                  <w:vAlign w:val="center"/>
                </w:tcPr>
                <w:p w14:paraId="16489F0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1</w:t>
                  </w:r>
                </w:p>
              </w:tc>
              <w:tc>
                <w:tcPr>
                  <w:tcW w:w="898" w:type="pct"/>
                  <w:vAlign w:val="center"/>
                </w:tcPr>
                <w:p w14:paraId="4C63E65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COD</w:t>
                  </w:r>
                </w:p>
              </w:tc>
              <w:tc>
                <w:tcPr>
                  <w:tcW w:w="1653" w:type="pct"/>
                  <w:vAlign w:val="center"/>
                </w:tcPr>
                <w:p w14:paraId="5FF28D7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50</w:t>
                  </w:r>
                </w:p>
              </w:tc>
              <w:tc>
                <w:tcPr>
                  <w:tcW w:w="2027" w:type="pct"/>
                  <w:vMerge w:val="restart"/>
                  <w:vAlign w:val="center"/>
                </w:tcPr>
                <w:p w14:paraId="257A850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《太湖地区城镇污水处理厂及重点工业行业主要水污染物排放限值》（DB32/1072-2018）表2</w:t>
                  </w:r>
                </w:p>
              </w:tc>
            </w:tr>
            <w:tr w14:paraId="4EB6EE0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19" w:type="pct"/>
                  <w:vAlign w:val="center"/>
                </w:tcPr>
                <w:p w14:paraId="71F5D7B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2</w:t>
                  </w:r>
                </w:p>
              </w:tc>
              <w:tc>
                <w:tcPr>
                  <w:tcW w:w="898" w:type="pct"/>
                  <w:vAlign w:val="center"/>
                </w:tcPr>
                <w:p w14:paraId="3DDD059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氨氮</w:t>
                  </w:r>
                </w:p>
              </w:tc>
              <w:tc>
                <w:tcPr>
                  <w:tcW w:w="1653" w:type="pct"/>
                  <w:vAlign w:val="center"/>
                </w:tcPr>
                <w:p w14:paraId="1221143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4（6）</w:t>
                  </w:r>
                  <w:r>
                    <w:rPr>
                      <w:rFonts w:hint="default" w:ascii="Times New Roman" w:hAnsi="Times New Roman" w:eastAsia="仿宋_GB2312" w:cs="Times New Roman"/>
                      <w:snapToGrid w:val="0"/>
                      <w:color w:val="auto"/>
                      <w:sz w:val="21"/>
                      <w:vertAlign w:val="superscript"/>
                    </w:rPr>
                    <w:t>①</w:t>
                  </w:r>
                </w:p>
              </w:tc>
              <w:tc>
                <w:tcPr>
                  <w:tcW w:w="2027" w:type="pct"/>
                  <w:vMerge w:val="continue"/>
                  <w:vAlign w:val="center"/>
                </w:tcPr>
                <w:p w14:paraId="724CF6A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p>
              </w:tc>
            </w:tr>
            <w:tr w14:paraId="7D20609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19" w:type="pct"/>
                  <w:vAlign w:val="center"/>
                </w:tcPr>
                <w:p w14:paraId="0A80C20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3</w:t>
                  </w:r>
                </w:p>
              </w:tc>
              <w:tc>
                <w:tcPr>
                  <w:tcW w:w="898" w:type="pct"/>
                  <w:vAlign w:val="center"/>
                </w:tcPr>
                <w:p w14:paraId="42AFAAC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总氮</w:t>
                  </w:r>
                </w:p>
              </w:tc>
              <w:tc>
                <w:tcPr>
                  <w:tcW w:w="1653" w:type="pct"/>
                  <w:vAlign w:val="center"/>
                </w:tcPr>
                <w:p w14:paraId="04D0159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12（15）</w:t>
                  </w:r>
                  <w:r>
                    <w:rPr>
                      <w:rFonts w:hint="default" w:ascii="Times New Roman" w:hAnsi="Times New Roman" w:eastAsia="仿宋_GB2312" w:cs="Times New Roman"/>
                      <w:snapToGrid w:val="0"/>
                      <w:color w:val="auto"/>
                      <w:sz w:val="21"/>
                      <w:vertAlign w:val="superscript"/>
                    </w:rPr>
                    <w:t>①</w:t>
                  </w:r>
                </w:p>
              </w:tc>
              <w:tc>
                <w:tcPr>
                  <w:tcW w:w="2027" w:type="pct"/>
                  <w:vMerge w:val="continue"/>
                  <w:vAlign w:val="center"/>
                </w:tcPr>
                <w:p w14:paraId="190D18F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p>
              </w:tc>
            </w:tr>
            <w:tr w14:paraId="42902D7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19" w:type="pct"/>
                  <w:vAlign w:val="center"/>
                </w:tcPr>
                <w:p w14:paraId="2970A0C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4</w:t>
                  </w:r>
                </w:p>
              </w:tc>
              <w:tc>
                <w:tcPr>
                  <w:tcW w:w="898" w:type="pct"/>
                  <w:vAlign w:val="center"/>
                </w:tcPr>
                <w:p w14:paraId="62A5288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总磷</w:t>
                  </w:r>
                </w:p>
              </w:tc>
              <w:tc>
                <w:tcPr>
                  <w:tcW w:w="1653" w:type="pct"/>
                  <w:vAlign w:val="center"/>
                </w:tcPr>
                <w:p w14:paraId="591D92C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0.5</w:t>
                  </w:r>
                </w:p>
              </w:tc>
              <w:tc>
                <w:tcPr>
                  <w:tcW w:w="2027" w:type="pct"/>
                  <w:vMerge w:val="continue"/>
                  <w:vAlign w:val="center"/>
                </w:tcPr>
                <w:p w14:paraId="2E563ED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p>
              </w:tc>
            </w:tr>
            <w:tr w14:paraId="289E9D6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19" w:type="pct"/>
                  <w:vAlign w:val="center"/>
                </w:tcPr>
                <w:p w14:paraId="581F88D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5</w:t>
                  </w:r>
                </w:p>
              </w:tc>
              <w:tc>
                <w:tcPr>
                  <w:tcW w:w="898" w:type="pct"/>
                  <w:vAlign w:val="center"/>
                </w:tcPr>
                <w:p w14:paraId="3947764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pH</w:t>
                  </w:r>
                </w:p>
              </w:tc>
              <w:tc>
                <w:tcPr>
                  <w:tcW w:w="1653" w:type="pct"/>
                  <w:vAlign w:val="center"/>
                </w:tcPr>
                <w:p w14:paraId="02CF18D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6-9</w:t>
                  </w:r>
                  <w:r>
                    <w:rPr>
                      <w:rFonts w:hint="default" w:ascii="Times New Roman" w:hAnsi="Times New Roman" w:eastAsia="仿宋_GB2312" w:cs="Times New Roman"/>
                      <w:bCs/>
                      <w:color w:val="auto"/>
                      <w:sz w:val="21"/>
                    </w:rPr>
                    <w:t>（无量纲）</w:t>
                  </w:r>
                </w:p>
              </w:tc>
              <w:tc>
                <w:tcPr>
                  <w:tcW w:w="2027" w:type="pct"/>
                  <w:vMerge w:val="restart"/>
                  <w:vAlign w:val="center"/>
                </w:tcPr>
                <w:p w14:paraId="03C2E91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《城镇污水处理厂污染物排放标准》（DB18918-2002）表1一级A标准</w:t>
                  </w:r>
                </w:p>
              </w:tc>
            </w:tr>
            <w:tr w14:paraId="3BACD42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19" w:type="pct"/>
                  <w:vAlign w:val="center"/>
                </w:tcPr>
                <w:p w14:paraId="75AE5F2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6</w:t>
                  </w:r>
                </w:p>
              </w:tc>
              <w:tc>
                <w:tcPr>
                  <w:tcW w:w="898" w:type="pct"/>
                  <w:vAlign w:val="center"/>
                </w:tcPr>
                <w:p w14:paraId="508DD84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SS</w:t>
                  </w:r>
                </w:p>
              </w:tc>
              <w:tc>
                <w:tcPr>
                  <w:tcW w:w="1653" w:type="pct"/>
                  <w:vAlign w:val="center"/>
                </w:tcPr>
                <w:p w14:paraId="141C50F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r>
                    <w:rPr>
                      <w:rFonts w:hint="default" w:ascii="Times New Roman" w:hAnsi="Times New Roman" w:eastAsia="仿宋_GB2312" w:cs="Times New Roman"/>
                      <w:snapToGrid w:val="0"/>
                      <w:color w:val="auto"/>
                      <w:sz w:val="21"/>
                    </w:rPr>
                    <w:t>10</w:t>
                  </w:r>
                </w:p>
              </w:tc>
              <w:tc>
                <w:tcPr>
                  <w:tcW w:w="2027" w:type="pct"/>
                  <w:vMerge w:val="continue"/>
                  <w:vAlign w:val="center"/>
                </w:tcPr>
                <w:p w14:paraId="024DC9F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snapToGrid w:val="0"/>
                      <w:color w:val="auto"/>
                      <w:sz w:val="21"/>
                    </w:rPr>
                  </w:pPr>
                </w:p>
              </w:tc>
            </w:tr>
          </w:tbl>
          <w:p w14:paraId="0E0B30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注：①括号外数值为水温＞12℃时的控制指标，括号内数值为水温≤12℃时的控制指标。</w:t>
            </w:r>
          </w:p>
          <w:p w14:paraId="78986B9F">
            <w:pPr>
              <w:keepNext w:val="0"/>
              <w:keepLines w:val="0"/>
              <w:suppressLineNumbers w:val="0"/>
              <w:spacing w:before="0" w:beforeAutospacing="0" w:after="0" w:afterAutospacing="0" w:line="500" w:lineRule="exact"/>
              <w:ind w:left="0" w:right="0" w:firstLine="480" w:firstLineChars="200"/>
              <w:rPr>
                <w:rFonts w:hint="eastAsia" w:eastAsia="仿宋_GB2312"/>
                <w:color w:val="auto"/>
                <w:sz w:val="24"/>
                <w:lang w:eastAsia="zh-CN"/>
              </w:rPr>
            </w:pPr>
            <w:r>
              <w:rPr>
                <w:rFonts w:hint="eastAsia" w:eastAsia="仿宋_GB2312"/>
                <w:color w:val="auto"/>
                <w:sz w:val="24"/>
                <w:lang w:eastAsia="zh-CN"/>
              </w:rPr>
              <w:t>（</w:t>
            </w:r>
            <w:r>
              <w:rPr>
                <w:rFonts w:hint="eastAsia" w:eastAsia="仿宋_GB2312"/>
                <w:color w:val="auto"/>
                <w:sz w:val="24"/>
                <w:lang w:val="en-US" w:eastAsia="zh-CN"/>
              </w:rPr>
              <w:t>2</w:t>
            </w:r>
            <w:r>
              <w:rPr>
                <w:rFonts w:hint="eastAsia" w:eastAsia="仿宋_GB2312"/>
                <w:color w:val="auto"/>
                <w:sz w:val="24"/>
                <w:lang w:eastAsia="zh-CN"/>
              </w:rPr>
              <w:t>）</w:t>
            </w:r>
            <w:r>
              <w:rPr>
                <w:rFonts w:hint="eastAsia" w:eastAsia="仿宋_GB2312"/>
                <w:color w:val="auto"/>
                <w:sz w:val="24"/>
                <w:lang w:val="en-US" w:eastAsia="zh-CN"/>
              </w:rPr>
              <w:t>回用水</w:t>
            </w:r>
          </w:p>
          <w:p w14:paraId="4FCB218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本项目生产食品用原料（γ-氨基丁酸），保健食品粉（二氢槲皮素）产生的</w:t>
            </w:r>
            <w:r>
              <w:rPr>
                <w:rFonts w:hint="eastAsia" w:eastAsia="仿宋_GB2312" w:cs="Times New Roman"/>
                <w:color w:val="auto"/>
                <w:kern w:val="2"/>
                <w:sz w:val="24"/>
                <w:szCs w:val="24"/>
                <w:lang w:val="en-US" w:eastAsia="zh-CN" w:bidi="ar-SA"/>
              </w:rPr>
              <w:t>离心废水、结晶废水、</w:t>
            </w:r>
            <w:r>
              <w:rPr>
                <w:rFonts w:hint="eastAsia" w:ascii="Times New Roman" w:hAnsi="Times New Roman" w:eastAsia="仿宋_GB2312" w:cs="Times New Roman"/>
                <w:color w:val="auto"/>
                <w:kern w:val="2"/>
                <w:sz w:val="24"/>
                <w:szCs w:val="24"/>
                <w:highlight w:val="none"/>
                <w:lang w:val="en-US" w:eastAsia="zh-CN" w:bidi="ar-SA"/>
              </w:rPr>
              <w:t>超滤废水、纳滤废液、</w:t>
            </w:r>
            <w:r>
              <w:rPr>
                <w:rFonts w:hint="eastAsia" w:ascii="Times New Roman" w:hAnsi="Times New Roman" w:eastAsia="仿宋_GB2312" w:cs="Times New Roman"/>
                <w:color w:val="auto"/>
                <w:kern w:val="2"/>
                <w:sz w:val="24"/>
                <w:szCs w:val="24"/>
                <w:lang w:val="en-US" w:eastAsia="zh-CN" w:bidi="ar-SA"/>
              </w:rPr>
              <w:t>脱色树脂再生废水、层析树脂再生废水、旋蒸废水，设备清洗废水，地面清洁废水，洗衣废水，循环冷却系统排水，废气喷淋废水，质检区废水进污水站处理后，产生的回用水作为循环冷却系统补水。本项目中水回用水执行《城市污水再生利用工业用水水质标准》（GB/T19923-2024）中间冷开式冷却水补充水标准要求，具体见下表。</w:t>
            </w:r>
          </w:p>
          <w:p w14:paraId="3DE312F0">
            <w:pPr>
              <w:keepNext w:val="0"/>
              <w:keepLines w:val="0"/>
              <w:suppressLineNumbers w:val="0"/>
              <w:spacing w:before="0" w:beforeAutospacing="0" w:after="0" w:afterAutospacing="0" w:line="500" w:lineRule="exact"/>
              <w:ind w:left="0" w:right="0"/>
              <w:jc w:val="center"/>
              <w:rPr>
                <w:rFonts w:hint="default" w:eastAsia="仿宋_GB2312"/>
                <w:b/>
                <w:color w:val="auto"/>
                <w:sz w:val="22"/>
                <w:szCs w:val="22"/>
                <w:highlight w:val="none"/>
              </w:rPr>
            </w:pPr>
            <w:r>
              <w:rPr>
                <w:rFonts w:hint="eastAsia" w:eastAsia="仿宋_GB2312"/>
                <w:b/>
                <w:color w:val="auto"/>
                <w:sz w:val="22"/>
                <w:szCs w:val="22"/>
                <w:highlight w:val="none"/>
              </w:rPr>
              <w:t>表</w:t>
            </w:r>
            <w:r>
              <w:rPr>
                <w:rFonts w:hint="eastAsia" w:eastAsia="仿宋_GB2312"/>
                <w:b/>
                <w:color w:val="auto"/>
                <w:sz w:val="22"/>
                <w:szCs w:val="22"/>
                <w:highlight w:val="none"/>
                <w:lang w:val="en-US" w:eastAsia="zh-CN"/>
              </w:rPr>
              <w:t>3-20</w:t>
            </w:r>
            <w:r>
              <w:rPr>
                <w:rFonts w:hint="default" w:eastAsia="仿宋_GB2312"/>
                <w:b/>
                <w:color w:val="auto"/>
                <w:sz w:val="22"/>
                <w:szCs w:val="22"/>
                <w:highlight w:val="none"/>
              </w:rPr>
              <w:t xml:space="preserve">   </w:t>
            </w:r>
            <w:r>
              <w:rPr>
                <w:rFonts w:hint="eastAsia" w:eastAsia="仿宋_GB2312"/>
                <w:b/>
                <w:color w:val="auto"/>
                <w:sz w:val="22"/>
                <w:szCs w:val="22"/>
                <w:highlight w:val="none"/>
              </w:rPr>
              <w:t>回用水</w:t>
            </w:r>
            <w:r>
              <w:rPr>
                <w:rFonts w:hint="default" w:eastAsia="仿宋_GB2312"/>
                <w:b/>
                <w:color w:val="auto"/>
                <w:sz w:val="22"/>
                <w:szCs w:val="22"/>
                <w:highlight w:val="none"/>
              </w:rPr>
              <w:t>水质标准</w:t>
            </w:r>
          </w:p>
          <w:tbl>
            <w:tblPr>
              <w:tblStyle w:val="8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995"/>
              <w:gridCol w:w="2668"/>
              <w:gridCol w:w="2914"/>
              <w:gridCol w:w="2383"/>
            </w:tblGrid>
            <w:tr w14:paraId="24385A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vMerge w:val="restart"/>
                  <w:tcBorders>
                    <w:tl2br w:val="nil"/>
                    <w:tr2bl w:val="nil"/>
                  </w:tcBorders>
                  <w:vAlign w:val="center"/>
                </w:tcPr>
                <w:p w14:paraId="535F41F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bookmarkStart w:id="48" w:name="_Hlk105104464"/>
                  <w:r>
                    <w:rPr>
                      <w:rFonts w:hint="eastAsia" w:ascii="Times New Roman" w:hAnsi="Times New Roman"/>
                      <w:b/>
                      <w:color w:val="auto"/>
                    </w:rPr>
                    <w:t>序号</w:t>
                  </w:r>
                </w:p>
              </w:tc>
              <w:tc>
                <w:tcPr>
                  <w:tcW w:w="1488" w:type="pct"/>
                  <w:vMerge w:val="restart"/>
                  <w:tcBorders>
                    <w:tl2br w:val="nil"/>
                    <w:tr2bl w:val="nil"/>
                  </w:tcBorders>
                  <w:vAlign w:val="center"/>
                </w:tcPr>
                <w:p w14:paraId="1B1F6F9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中水回用指标</w:t>
                  </w:r>
                </w:p>
              </w:tc>
              <w:tc>
                <w:tcPr>
                  <w:tcW w:w="1625" w:type="pct"/>
                  <w:tcBorders>
                    <w:tl2br w:val="nil"/>
                    <w:tr2bl w:val="nil"/>
                  </w:tcBorders>
                  <w:vAlign w:val="center"/>
                </w:tcPr>
                <w:p w14:paraId="2E29894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水质</w:t>
                  </w:r>
                  <w:r>
                    <w:rPr>
                      <w:rFonts w:hint="eastAsia" w:ascii="Times New Roman" w:hAnsi="Times New Roman"/>
                      <w:b/>
                      <w:color w:val="auto"/>
                      <w:lang w:val="en-US"/>
                    </w:rPr>
                    <w:t>限值</w:t>
                  </w:r>
                  <w:r>
                    <w:rPr>
                      <w:rFonts w:hint="eastAsia" w:ascii="Times New Roman" w:hAnsi="Times New Roman"/>
                      <w:b/>
                      <w:color w:val="auto"/>
                    </w:rPr>
                    <w:t>(mg/L)</w:t>
                  </w:r>
                </w:p>
              </w:tc>
              <w:tc>
                <w:tcPr>
                  <w:tcW w:w="1329" w:type="pct"/>
                  <w:vMerge w:val="restart"/>
                  <w:tcBorders>
                    <w:tl2br w:val="nil"/>
                    <w:tr2bl w:val="nil"/>
                  </w:tcBorders>
                  <w:vAlign w:val="center"/>
                </w:tcPr>
                <w:p w14:paraId="281375F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执行标准</w:t>
                  </w:r>
                </w:p>
              </w:tc>
            </w:tr>
            <w:tr w14:paraId="771B5C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vMerge w:val="continue"/>
                  <w:tcBorders>
                    <w:tl2br w:val="nil"/>
                    <w:tr2bl w:val="nil"/>
                  </w:tcBorders>
                  <w:vAlign w:val="center"/>
                </w:tcPr>
                <w:p w14:paraId="190420C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p>
              </w:tc>
              <w:tc>
                <w:tcPr>
                  <w:tcW w:w="1488" w:type="pct"/>
                  <w:vMerge w:val="continue"/>
                  <w:tcBorders>
                    <w:tl2br w:val="nil"/>
                    <w:tr2bl w:val="nil"/>
                  </w:tcBorders>
                  <w:vAlign w:val="center"/>
                </w:tcPr>
                <w:p w14:paraId="26075C3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p>
              </w:tc>
              <w:tc>
                <w:tcPr>
                  <w:tcW w:w="1625" w:type="pct"/>
                  <w:tcBorders>
                    <w:tl2br w:val="nil"/>
                    <w:tr2bl w:val="nil"/>
                  </w:tcBorders>
                  <w:vAlign w:val="center"/>
                </w:tcPr>
                <w:p w14:paraId="01FEC54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lang w:val="en-US"/>
                    </w:rPr>
                    <w:t>间冷开式</w:t>
                  </w:r>
                  <w:r>
                    <w:rPr>
                      <w:rFonts w:hint="eastAsia" w:ascii="Times New Roman" w:hAnsi="Times New Roman"/>
                      <w:b/>
                      <w:color w:val="auto"/>
                    </w:rPr>
                    <w:t>循环冷却水补充水</w:t>
                  </w:r>
                </w:p>
              </w:tc>
              <w:tc>
                <w:tcPr>
                  <w:tcW w:w="1329" w:type="pct"/>
                  <w:vMerge w:val="continue"/>
                  <w:tcBorders>
                    <w:tl2br w:val="nil"/>
                    <w:tr2bl w:val="nil"/>
                  </w:tcBorders>
                  <w:vAlign w:val="center"/>
                </w:tcPr>
                <w:p w14:paraId="5F59A1E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p>
              </w:tc>
            </w:tr>
            <w:tr w14:paraId="15B08D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tcBorders>
                    <w:tl2br w:val="nil"/>
                    <w:tr2bl w:val="nil"/>
                  </w:tcBorders>
                  <w:vAlign w:val="center"/>
                </w:tcPr>
                <w:p w14:paraId="2F9C7D1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p>
              </w:tc>
              <w:tc>
                <w:tcPr>
                  <w:tcW w:w="1488" w:type="pct"/>
                  <w:tcBorders>
                    <w:tl2br w:val="nil"/>
                    <w:tr2bl w:val="nil"/>
                  </w:tcBorders>
                  <w:vAlign w:val="center"/>
                </w:tcPr>
                <w:p w14:paraId="73E013C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pH</w:t>
                  </w:r>
                </w:p>
              </w:tc>
              <w:tc>
                <w:tcPr>
                  <w:tcW w:w="1625" w:type="pct"/>
                  <w:tcBorders>
                    <w:tl2br w:val="nil"/>
                    <w:tr2bl w:val="nil"/>
                  </w:tcBorders>
                  <w:vAlign w:val="center"/>
                </w:tcPr>
                <w:p w14:paraId="374B03D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6.5~</w:t>
                  </w:r>
                  <w:r>
                    <w:rPr>
                      <w:rFonts w:hint="eastAsia" w:ascii="Times New Roman" w:hAnsi="Times New Roman"/>
                      <w:color w:val="auto"/>
                    </w:rPr>
                    <w:t>9.0（无量纲）</w:t>
                  </w:r>
                </w:p>
              </w:tc>
              <w:tc>
                <w:tcPr>
                  <w:tcW w:w="1329" w:type="pct"/>
                  <w:vMerge w:val="restart"/>
                  <w:tcBorders>
                    <w:tl2br w:val="nil"/>
                    <w:tr2bl w:val="nil"/>
                  </w:tcBorders>
                  <w:vAlign w:val="center"/>
                </w:tcPr>
                <w:p w14:paraId="56A8345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《城市污水再生利用工业用水水质 工业用水水质》(GB/T19923-2024)</w:t>
                  </w:r>
                </w:p>
              </w:tc>
            </w:tr>
            <w:tr w14:paraId="1F75C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tcBorders>
                    <w:tl2br w:val="nil"/>
                    <w:tr2bl w:val="nil"/>
                  </w:tcBorders>
                  <w:vAlign w:val="center"/>
                </w:tcPr>
                <w:p w14:paraId="0AD7BC1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2</w:t>
                  </w:r>
                </w:p>
              </w:tc>
              <w:tc>
                <w:tcPr>
                  <w:tcW w:w="1488" w:type="pct"/>
                  <w:tcBorders>
                    <w:tl2br w:val="nil"/>
                    <w:tr2bl w:val="nil"/>
                  </w:tcBorders>
                  <w:vAlign w:val="center"/>
                </w:tcPr>
                <w:p w14:paraId="3C28828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COD</w:t>
                  </w:r>
                </w:p>
              </w:tc>
              <w:tc>
                <w:tcPr>
                  <w:tcW w:w="1625" w:type="pct"/>
                  <w:tcBorders>
                    <w:tl2br w:val="nil"/>
                    <w:tr2bl w:val="nil"/>
                  </w:tcBorders>
                  <w:vAlign w:val="center"/>
                </w:tcPr>
                <w:p w14:paraId="30B7EE8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50</w:t>
                  </w:r>
                </w:p>
              </w:tc>
              <w:tc>
                <w:tcPr>
                  <w:tcW w:w="1329" w:type="pct"/>
                  <w:vMerge w:val="continue"/>
                  <w:tcBorders>
                    <w:tl2br w:val="nil"/>
                    <w:tr2bl w:val="nil"/>
                  </w:tcBorders>
                  <w:vAlign w:val="center"/>
                </w:tcPr>
                <w:p w14:paraId="046704D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p>
              </w:tc>
            </w:tr>
            <w:tr w14:paraId="0E5FAC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tcBorders>
                    <w:tl2br w:val="nil"/>
                    <w:tr2bl w:val="nil"/>
                  </w:tcBorders>
                  <w:vAlign w:val="center"/>
                </w:tcPr>
                <w:p w14:paraId="4F48E95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3</w:t>
                  </w:r>
                </w:p>
              </w:tc>
              <w:tc>
                <w:tcPr>
                  <w:tcW w:w="1488" w:type="pct"/>
                  <w:tcBorders>
                    <w:tl2br w:val="nil"/>
                    <w:tr2bl w:val="nil"/>
                  </w:tcBorders>
                  <w:vAlign w:val="center"/>
                </w:tcPr>
                <w:p w14:paraId="5834723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氨氮</w:t>
                  </w:r>
                </w:p>
              </w:tc>
              <w:tc>
                <w:tcPr>
                  <w:tcW w:w="1625" w:type="pct"/>
                  <w:tcBorders>
                    <w:tl2br w:val="nil"/>
                    <w:tr2bl w:val="nil"/>
                  </w:tcBorders>
                  <w:vAlign w:val="center"/>
                </w:tcPr>
                <w:p w14:paraId="100C4AB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5</w:t>
                  </w:r>
                </w:p>
              </w:tc>
              <w:tc>
                <w:tcPr>
                  <w:tcW w:w="1329" w:type="pct"/>
                  <w:vMerge w:val="continue"/>
                  <w:tcBorders>
                    <w:tl2br w:val="nil"/>
                    <w:tr2bl w:val="nil"/>
                  </w:tcBorders>
                  <w:vAlign w:val="center"/>
                </w:tcPr>
                <w:p w14:paraId="0209BBB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p>
              </w:tc>
            </w:tr>
            <w:tr w14:paraId="73A850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tcBorders>
                    <w:tl2br w:val="nil"/>
                    <w:tr2bl w:val="nil"/>
                  </w:tcBorders>
                  <w:vAlign w:val="center"/>
                </w:tcPr>
                <w:p w14:paraId="277E9DE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w:t>
                  </w:r>
                </w:p>
              </w:tc>
              <w:tc>
                <w:tcPr>
                  <w:tcW w:w="1488" w:type="pct"/>
                  <w:tcBorders>
                    <w:tl2br w:val="nil"/>
                    <w:tr2bl w:val="nil"/>
                  </w:tcBorders>
                  <w:vAlign w:val="center"/>
                </w:tcPr>
                <w:p w14:paraId="616BE53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总氮</w:t>
                  </w:r>
                </w:p>
              </w:tc>
              <w:tc>
                <w:tcPr>
                  <w:tcW w:w="1625" w:type="pct"/>
                  <w:tcBorders>
                    <w:tl2br w:val="nil"/>
                    <w:tr2bl w:val="nil"/>
                  </w:tcBorders>
                  <w:vAlign w:val="center"/>
                </w:tcPr>
                <w:p w14:paraId="3B0F052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15</w:t>
                  </w:r>
                </w:p>
              </w:tc>
              <w:tc>
                <w:tcPr>
                  <w:tcW w:w="1329" w:type="pct"/>
                  <w:vMerge w:val="continue"/>
                  <w:tcBorders>
                    <w:tl2br w:val="nil"/>
                    <w:tr2bl w:val="nil"/>
                  </w:tcBorders>
                  <w:vAlign w:val="center"/>
                </w:tcPr>
                <w:p w14:paraId="6BE1173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p>
              </w:tc>
            </w:tr>
            <w:tr w14:paraId="5ED3C9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tcBorders>
                    <w:tl2br w:val="nil"/>
                    <w:tr2bl w:val="nil"/>
                  </w:tcBorders>
                  <w:vAlign w:val="center"/>
                </w:tcPr>
                <w:p w14:paraId="13765F8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w:t>
                  </w:r>
                </w:p>
              </w:tc>
              <w:tc>
                <w:tcPr>
                  <w:tcW w:w="1488" w:type="pct"/>
                  <w:tcBorders>
                    <w:tl2br w:val="nil"/>
                    <w:tr2bl w:val="nil"/>
                  </w:tcBorders>
                  <w:vAlign w:val="center"/>
                </w:tcPr>
                <w:p w14:paraId="6C6BAAF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总磷</w:t>
                  </w:r>
                </w:p>
              </w:tc>
              <w:tc>
                <w:tcPr>
                  <w:tcW w:w="1625" w:type="pct"/>
                  <w:tcBorders>
                    <w:tl2br w:val="nil"/>
                    <w:tr2bl w:val="nil"/>
                  </w:tcBorders>
                  <w:vAlign w:val="center"/>
                </w:tcPr>
                <w:p w14:paraId="630A668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1329" w:type="pct"/>
                  <w:vMerge w:val="continue"/>
                  <w:tcBorders>
                    <w:tl2br w:val="nil"/>
                    <w:tr2bl w:val="nil"/>
                  </w:tcBorders>
                  <w:vAlign w:val="center"/>
                </w:tcPr>
                <w:p w14:paraId="29150EF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p>
              </w:tc>
            </w:tr>
            <w:tr w14:paraId="283CD1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tcBorders>
                    <w:tl2br w:val="nil"/>
                    <w:tr2bl w:val="nil"/>
                  </w:tcBorders>
                  <w:vAlign w:val="center"/>
                </w:tcPr>
                <w:p w14:paraId="0555F74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6</w:t>
                  </w:r>
                </w:p>
              </w:tc>
              <w:tc>
                <w:tcPr>
                  <w:tcW w:w="1488" w:type="pct"/>
                  <w:tcBorders>
                    <w:tl2br w:val="nil"/>
                    <w:tr2bl w:val="nil"/>
                  </w:tcBorders>
                  <w:vAlign w:val="center"/>
                </w:tcPr>
                <w:p w14:paraId="6ED75AA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盐分</w:t>
                  </w:r>
                </w:p>
              </w:tc>
              <w:tc>
                <w:tcPr>
                  <w:tcW w:w="1625" w:type="pct"/>
                  <w:tcBorders>
                    <w:tl2br w:val="nil"/>
                    <w:tr2bl w:val="nil"/>
                  </w:tcBorders>
                  <w:vAlign w:val="center"/>
                </w:tcPr>
                <w:p w14:paraId="779B2B7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1000</w:t>
                  </w:r>
                </w:p>
              </w:tc>
              <w:tc>
                <w:tcPr>
                  <w:tcW w:w="1329" w:type="pct"/>
                  <w:vMerge w:val="continue"/>
                  <w:tcBorders>
                    <w:tl2br w:val="nil"/>
                    <w:tr2bl w:val="nil"/>
                  </w:tcBorders>
                  <w:vAlign w:val="center"/>
                </w:tcPr>
                <w:p w14:paraId="3F16E29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p>
              </w:tc>
            </w:tr>
            <w:tr w14:paraId="36E806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555" w:type="pct"/>
                  <w:tcBorders>
                    <w:tl2br w:val="nil"/>
                    <w:tr2bl w:val="nil"/>
                  </w:tcBorders>
                  <w:vAlign w:val="center"/>
                </w:tcPr>
                <w:p w14:paraId="31C2DD6A">
                  <w:pPr>
                    <w:pStyle w:val="165"/>
                    <w:keepNext w:val="0"/>
                    <w:keepLines w:val="0"/>
                    <w:widowControl w:val="0"/>
                    <w:suppressLineNumbers w:val="0"/>
                    <w:spacing w:before="0" w:beforeAutospacing="0" w:after="0" w:afterAutospacing="0" w:line="320" w:lineRule="exact"/>
                    <w:ind w:left="0" w:right="0"/>
                    <w:rPr>
                      <w:rFonts w:hint="eastAsia" w:ascii="Times New Roman" w:hAnsi="Times New Roman" w:eastAsia="仿宋_GB2312"/>
                      <w:color w:val="auto"/>
                      <w:lang w:val="en-US" w:eastAsia="zh-CN"/>
                    </w:rPr>
                  </w:pPr>
                  <w:r>
                    <w:rPr>
                      <w:rFonts w:hint="eastAsia" w:ascii="Times New Roman" w:hAnsi="Times New Roman"/>
                      <w:color w:val="auto"/>
                      <w:lang w:val="en-US" w:eastAsia="zh-CN"/>
                    </w:rPr>
                    <w:t>7</w:t>
                  </w:r>
                </w:p>
              </w:tc>
              <w:tc>
                <w:tcPr>
                  <w:tcW w:w="1488" w:type="pct"/>
                  <w:tcBorders>
                    <w:tl2br w:val="nil"/>
                    <w:tr2bl w:val="nil"/>
                  </w:tcBorders>
                  <w:vAlign w:val="center"/>
                </w:tcPr>
                <w:p w14:paraId="01F89654">
                  <w:pPr>
                    <w:pStyle w:val="165"/>
                    <w:keepNext w:val="0"/>
                    <w:keepLines w:val="0"/>
                    <w:widowControl w:val="0"/>
                    <w:suppressLineNumbers w:val="0"/>
                    <w:spacing w:before="0" w:beforeAutospacing="0" w:after="0" w:afterAutospacing="0" w:line="320" w:lineRule="exact"/>
                    <w:ind w:left="0" w:right="0"/>
                    <w:rPr>
                      <w:rFonts w:hint="eastAsia" w:ascii="Times New Roman" w:hAnsi="Times New Roman" w:eastAsia="仿宋_GB2312"/>
                      <w:color w:val="auto"/>
                      <w:lang w:eastAsia="zh-CN"/>
                    </w:rPr>
                  </w:pPr>
                  <w:r>
                    <w:rPr>
                      <w:rFonts w:hint="eastAsia" w:ascii="Times New Roman" w:hAnsi="Times New Roman"/>
                      <w:color w:val="auto"/>
                      <w:lang w:eastAsia="zh-CN"/>
                    </w:rPr>
                    <w:t>锰</w:t>
                  </w:r>
                </w:p>
              </w:tc>
              <w:tc>
                <w:tcPr>
                  <w:tcW w:w="1625" w:type="pct"/>
                  <w:tcBorders>
                    <w:tl2br w:val="nil"/>
                    <w:tr2bl w:val="nil"/>
                  </w:tcBorders>
                  <w:vAlign w:val="center"/>
                </w:tcPr>
                <w:p w14:paraId="07CD572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olor w:val="auto"/>
                      <w:lang w:val="en-US" w:eastAsia="zh-CN"/>
                    </w:rPr>
                  </w:pPr>
                  <w:r>
                    <w:rPr>
                      <w:rFonts w:hint="eastAsia" w:ascii="Times New Roman" w:hAnsi="Times New Roman"/>
                      <w:color w:val="auto"/>
                      <w:lang w:val="en-US" w:eastAsia="zh-CN"/>
                    </w:rPr>
                    <w:t>0.1</w:t>
                  </w:r>
                </w:p>
              </w:tc>
              <w:tc>
                <w:tcPr>
                  <w:tcW w:w="1329" w:type="pct"/>
                  <w:vMerge w:val="continue"/>
                  <w:tcBorders>
                    <w:tl2br w:val="nil"/>
                    <w:tr2bl w:val="nil"/>
                  </w:tcBorders>
                  <w:vAlign w:val="center"/>
                </w:tcPr>
                <w:p w14:paraId="4537C41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p>
              </w:tc>
            </w:tr>
            <w:bookmarkEnd w:id="48"/>
          </w:tbl>
          <w:p w14:paraId="018200D7">
            <w:pPr>
              <w:keepNext w:val="0"/>
              <w:keepLines w:val="0"/>
              <w:suppressLineNumbers w:val="0"/>
              <w:snapToGrid w:val="0"/>
              <w:spacing w:before="0" w:beforeAutospacing="0" w:after="0" w:afterAutospacing="0" w:line="500" w:lineRule="exact"/>
              <w:ind w:left="0" w:right="0"/>
              <w:rPr>
                <w:rFonts w:hint="default" w:eastAsia="仿宋_GB2312"/>
                <w:b/>
                <w:bCs/>
                <w:color w:val="auto"/>
                <w:sz w:val="24"/>
              </w:rPr>
            </w:pPr>
            <w:r>
              <w:rPr>
                <w:rFonts w:hint="default" w:eastAsia="仿宋_GB2312"/>
                <w:b/>
                <w:bCs/>
                <w:color w:val="auto"/>
                <w:sz w:val="24"/>
              </w:rPr>
              <w:t>3、噪声</w:t>
            </w:r>
          </w:p>
          <w:p w14:paraId="6FFC7CAE">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项目施工期间，噪声执行《建筑施工场界环境噪声排放标准》（GB12523-2011），具体见下表。</w:t>
            </w:r>
          </w:p>
          <w:p w14:paraId="19ACCDB7">
            <w:pPr>
              <w:keepNext w:val="0"/>
              <w:keepLines w:val="0"/>
              <w:suppressLineNumbers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表3-</w:t>
            </w:r>
            <w:r>
              <w:rPr>
                <w:rFonts w:hint="eastAsia" w:eastAsia="仿宋_GB2312"/>
                <w:b/>
                <w:color w:val="auto"/>
                <w:sz w:val="22"/>
                <w:szCs w:val="22"/>
                <w:lang w:val="en-US" w:eastAsia="zh-CN"/>
              </w:rPr>
              <w:t>21</w:t>
            </w:r>
            <w:r>
              <w:rPr>
                <w:rFonts w:hint="default" w:eastAsia="仿宋_GB2312"/>
                <w:b/>
                <w:color w:val="auto"/>
                <w:sz w:val="22"/>
                <w:szCs w:val="22"/>
              </w:rPr>
              <w:t xml:space="preserve">  建筑施工场界环境噪声排放限值（单位：dB(A)）</w:t>
            </w:r>
          </w:p>
          <w:tbl>
            <w:tblPr>
              <w:tblStyle w:val="8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986"/>
              <w:gridCol w:w="2986"/>
              <w:gridCol w:w="2986"/>
            </w:tblGrid>
            <w:tr w14:paraId="63981B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 w:hRule="atLeast"/>
                <w:jc w:val="center"/>
              </w:trPr>
              <w:tc>
                <w:tcPr>
                  <w:tcW w:w="1666" w:type="pct"/>
                  <w:tcBorders>
                    <w:tl2br w:val="nil"/>
                    <w:tr2bl w:val="nil"/>
                  </w:tcBorders>
                  <w:shd w:val="clear" w:color="auto" w:fill="auto"/>
                  <w:vAlign w:val="center"/>
                </w:tcPr>
                <w:p w14:paraId="501B6AA0">
                  <w:pPr>
                    <w:keepNext w:val="0"/>
                    <w:keepLines w:val="0"/>
                    <w:suppressLineNumbers w:val="0"/>
                    <w:spacing w:before="0" w:beforeAutospacing="0" w:after="0" w:afterAutospacing="0" w:line="320" w:lineRule="exact"/>
                    <w:ind w:left="0" w:right="0"/>
                    <w:jc w:val="center"/>
                    <w:rPr>
                      <w:rFonts w:hint="default" w:eastAsia="仿宋_GB2312"/>
                      <w:b/>
                      <w:color w:val="auto"/>
                      <w:szCs w:val="21"/>
                    </w:rPr>
                  </w:pPr>
                  <w:r>
                    <w:rPr>
                      <w:rFonts w:hint="default" w:eastAsia="仿宋_GB2312"/>
                      <w:b/>
                      <w:color w:val="auto"/>
                      <w:szCs w:val="21"/>
                    </w:rPr>
                    <w:t>昼间</w:t>
                  </w:r>
                </w:p>
              </w:tc>
              <w:tc>
                <w:tcPr>
                  <w:tcW w:w="1666" w:type="pct"/>
                  <w:tcBorders>
                    <w:tl2br w:val="nil"/>
                    <w:tr2bl w:val="nil"/>
                  </w:tcBorders>
                  <w:shd w:val="clear" w:color="auto" w:fill="auto"/>
                  <w:vAlign w:val="center"/>
                </w:tcPr>
                <w:p w14:paraId="62B07256">
                  <w:pPr>
                    <w:keepNext w:val="0"/>
                    <w:keepLines w:val="0"/>
                    <w:suppressLineNumbers w:val="0"/>
                    <w:spacing w:before="0" w:beforeAutospacing="0" w:after="0" w:afterAutospacing="0" w:line="320" w:lineRule="exact"/>
                    <w:ind w:left="0" w:right="0"/>
                    <w:jc w:val="center"/>
                    <w:rPr>
                      <w:rFonts w:hint="default" w:eastAsia="仿宋_GB2312"/>
                      <w:b/>
                      <w:color w:val="auto"/>
                      <w:szCs w:val="21"/>
                    </w:rPr>
                  </w:pPr>
                  <w:r>
                    <w:rPr>
                      <w:rFonts w:hint="eastAsia" w:eastAsia="仿宋_GB2312"/>
                      <w:b/>
                      <w:color w:val="auto"/>
                      <w:szCs w:val="21"/>
                    </w:rPr>
                    <w:t>夜间</w:t>
                  </w:r>
                </w:p>
              </w:tc>
              <w:tc>
                <w:tcPr>
                  <w:tcW w:w="1666" w:type="pct"/>
                  <w:tcBorders>
                    <w:tl2br w:val="nil"/>
                    <w:tr2bl w:val="nil"/>
                  </w:tcBorders>
                  <w:shd w:val="clear" w:color="auto" w:fill="auto"/>
                  <w:vAlign w:val="center"/>
                </w:tcPr>
                <w:p w14:paraId="16E7C0E5">
                  <w:pPr>
                    <w:keepNext w:val="0"/>
                    <w:keepLines w:val="0"/>
                    <w:suppressLineNumbers w:val="0"/>
                    <w:spacing w:before="0" w:beforeAutospacing="0" w:after="0" w:afterAutospacing="0" w:line="320" w:lineRule="exact"/>
                    <w:ind w:left="0" w:right="0"/>
                    <w:jc w:val="center"/>
                    <w:rPr>
                      <w:rFonts w:hint="default" w:eastAsia="仿宋_GB2312"/>
                      <w:color w:val="auto"/>
                      <w:szCs w:val="21"/>
                    </w:rPr>
                  </w:pPr>
                  <w:r>
                    <w:rPr>
                      <w:rFonts w:hint="default" w:eastAsia="仿宋_GB2312"/>
                      <w:b/>
                      <w:bCs/>
                      <w:color w:val="auto"/>
                      <w:szCs w:val="21"/>
                    </w:rPr>
                    <w:t>执行区域</w:t>
                  </w:r>
                </w:p>
              </w:tc>
            </w:tr>
            <w:tr w14:paraId="1E5FA5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 w:hRule="atLeast"/>
                <w:jc w:val="center"/>
              </w:trPr>
              <w:tc>
                <w:tcPr>
                  <w:tcW w:w="1666" w:type="pct"/>
                  <w:tcBorders>
                    <w:tl2br w:val="nil"/>
                    <w:tr2bl w:val="nil"/>
                  </w:tcBorders>
                  <w:shd w:val="clear" w:color="auto" w:fill="auto"/>
                  <w:vAlign w:val="center"/>
                </w:tcPr>
                <w:p w14:paraId="5804634C">
                  <w:pPr>
                    <w:keepNext w:val="0"/>
                    <w:keepLines w:val="0"/>
                    <w:suppressLineNumbers w:val="0"/>
                    <w:spacing w:before="0" w:beforeAutospacing="0" w:after="0" w:afterAutospacing="0" w:line="320" w:lineRule="exact"/>
                    <w:ind w:left="0" w:right="0"/>
                    <w:jc w:val="center"/>
                    <w:rPr>
                      <w:rFonts w:hint="default" w:eastAsia="仿宋_GB2312"/>
                      <w:color w:val="auto"/>
                      <w:szCs w:val="21"/>
                    </w:rPr>
                  </w:pPr>
                  <w:r>
                    <w:rPr>
                      <w:rFonts w:hint="default" w:eastAsia="仿宋_GB2312"/>
                      <w:color w:val="auto"/>
                      <w:szCs w:val="21"/>
                    </w:rPr>
                    <w:t>70</w:t>
                  </w:r>
                </w:p>
              </w:tc>
              <w:tc>
                <w:tcPr>
                  <w:tcW w:w="1666" w:type="pct"/>
                  <w:tcBorders>
                    <w:tl2br w:val="nil"/>
                    <w:tr2bl w:val="nil"/>
                  </w:tcBorders>
                  <w:shd w:val="clear" w:color="auto" w:fill="auto"/>
                  <w:vAlign w:val="center"/>
                </w:tcPr>
                <w:p w14:paraId="3C5819E8">
                  <w:pPr>
                    <w:keepNext w:val="0"/>
                    <w:keepLines w:val="0"/>
                    <w:suppressLineNumbers w:val="0"/>
                    <w:spacing w:before="0" w:beforeAutospacing="0" w:after="0" w:afterAutospacing="0" w:line="320" w:lineRule="exact"/>
                    <w:ind w:left="0" w:right="0"/>
                    <w:jc w:val="center"/>
                    <w:rPr>
                      <w:rFonts w:hint="default" w:eastAsia="仿宋_GB2312"/>
                      <w:color w:val="auto"/>
                      <w:szCs w:val="21"/>
                    </w:rPr>
                  </w:pPr>
                  <w:r>
                    <w:rPr>
                      <w:rFonts w:hint="eastAsia" w:eastAsia="仿宋_GB2312"/>
                      <w:color w:val="auto"/>
                      <w:szCs w:val="21"/>
                    </w:rPr>
                    <w:t>55</w:t>
                  </w:r>
                </w:p>
              </w:tc>
              <w:tc>
                <w:tcPr>
                  <w:tcW w:w="1666" w:type="pct"/>
                  <w:tcBorders>
                    <w:tl2br w:val="nil"/>
                    <w:tr2bl w:val="nil"/>
                  </w:tcBorders>
                  <w:shd w:val="clear" w:color="auto" w:fill="auto"/>
                  <w:vAlign w:val="center"/>
                </w:tcPr>
                <w:p w14:paraId="665DCB80">
                  <w:pPr>
                    <w:keepNext w:val="0"/>
                    <w:keepLines w:val="0"/>
                    <w:suppressLineNumbers w:val="0"/>
                    <w:spacing w:before="0" w:beforeAutospacing="0" w:after="0" w:afterAutospacing="0" w:line="320" w:lineRule="exact"/>
                    <w:ind w:left="0" w:right="0"/>
                    <w:jc w:val="center"/>
                    <w:rPr>
                      <w:rFonts w:hint="default" w:eastAsia="仿宋_GB2312"/>
                      <w:color w:val="auto"/>
                      <w:szCs w:val="21"/>
                    </w:rPr>
                  </w:pPr>
                  <w:r>
                    <w:rPr>
                      <w:rFonts w:hint="default" w:eastAsia="仿宋_GB2312"/>
                      <w:color w:val="auto"/>
                      <w:szCs w:val="21"/>
                    </w:rPr>
                    <w:t>建筑施工场界</w:t>
                  </w:r>
                </w:p>
              </w:tc>
            </w:tr>
          </w:tbl>
          <w:p w14:paraId="4886EA04">
            <w:pPr>
              <w:keepNext w:val="0"/>
              <w:keepLines w:val="0"/>
              <w:suppressLineNumbers w:val="0"/>
              <w:spacing w:before="0" w:beforeAutospacing="0" w:after="0" w:afterAutospacing="0" w:line="500" w:lineRule="exact"/>
              <w:ind w:left="0" w:right="0" w:firstLine="480" w:firstLineChars="200"/>
              <w:rPr>
                <w:rFonts w:hint="default" w:eastAsia="仿宋_GB2312" w:cs="Times New Roman"/>
                <w:color w:val="1D35AD"/>
                <w:kern w:val="0"/>
                <w:sz w:val="24"/>
                <w:highlight w:val="none"/>
                <w:lang w:val="en-US" w:eastAsia="zh-CN" w:bidi="ar"/>
              </w:rPr>
            </w:pPr>
            <w:r>
              <w:rPr>
                <w:rFonts w:hint="default" w:eastAsia="仿宋_GB2312"/>
                <w:color w:val="auto"/>
                <w:sz w:val="24"/>
              </w:rPr>
              <w:t>项目营运期间，本项目所在地南厂界噪声执行《工业企业厂界环境噪声排放标准》（GB12348-2008）中4a类标准，东、西、北厂界噪声执行《工业企业厂界环境噪声排放标准》（GB12348-2008）中3类标准</w:t>
            </w:r>
            <w:r>
              <w:rPr>
                <w:rFonts w:hint="eastAsia" w:eastAsia="仿宋_GB2312"/>
                <w:color w:val="auto"/>
                <w:sz w:val="24"/>
                <w:lang w:eastAsia="zh-CN"/>
              </w:rPr>
              <w:t>。</w:t>
            </w:r>
            <w:r>
              <w:rPr>
                <w:rFonts w:hint="eastAsia" w:ascii="Times New Roman" w:hAnsi="Times New Roman" w:eastAsia="仿宋_GB2312" w:cs="Times New Roman"/>
                <w:color w:val="1D35AD"/>
                <w:kern w:val="0"/>
                <w:sz w:val="24"/>
                <w:highlight w:val="none"/>
                <w:lang w:bidi="ar"/>
              </w:rPr>
              <w:t>元巷村</w:t>
            </w:r>
            <w:r>
              <w:rPr>
                <w:rFonts w:hint="eastAsia" w:eastAsia="仿宋_GB2312" w:cs="Times New Roman"/>
                <w:color w:val="1D35AD"/>
                <w:kern w:val="0"/>
                <w:sz w:val="24"/>
                <w:highlight w:val="none"/>
                <w:lang w:eastAsia="zh-CN" w:bidi="ar"/>
              </w:rPr>
              <w:t>（</w:t>
            </w:r>
            <w:r>
              <w:rPr>
                <w:rFonts w:hint="eastAsia" w:eastAsia="仿宋_GB2312" w:cs="Times New Roman"/>
                <w:color w:val="1D35AD"/>
                <w:kern w:val="0"/>
                <w:sz w:val="24"/>
                <w:highlight w:val="none"/>
                <w:lang w:val="en-US" w:eastAsia="zh-CN" w:bidi="ar"/>
              </w:rPr>
              <w:t>110米</w:t>
            </w:r>
            <w:r>
              <w:rPr>
                <w:rFonts w:hint="eastAsia" w:eastAsia="仿宋_GB2312" w:cs="Times New Roman"/>
                <w:color w:val="1D35AD"/>
                <w:kern w:val="0"/>
                <w:sz w:val="24"/>
                <w:highlight w:val="none"/>
                <w:lang w:eastAsia="zh-CN" w:bidi="ar"/>
              </w:rPr>
              <w:t>）</w:t>
            </w:r>
            <w:r>
              <w:rPr>
                <w:rFonts w:hint="eastAsia" w:ascii="Times New Roman" w:hAnsi="Times New Roman" w:eastAsia="仿宋_GB2312" w:cs="Times New Roman"/>
                <w:color w:val="1D35AD"/>
                <w:kern w:val="0"/>
                <w:sz w:val="24"/>
                <w:highlight w:val="none"/>
                <w:lang w:eastAsia="zh-CN" w:bidi="ar"/>
              </w:rPr>
              <w:t>、</w:t>
            </w:r>
            <w:r>
              <w:rPr>
                <w:rFonts w:hint="eastAsia" w:eastAsia="仿宋_GB2312" w:cs="Times New Roman"/>
                <w:color w:val="1D35AD"/>
                <w:kern w:val="0"/>
                <w:sz w:val="24"/>
                <w:highlight w:val="none"/>
                <w:lang w:eastAsia="zh-CN" w:bidi="ar"/>
              </w:rPr>
              <w:t>宋庄（</w:t>
            </w:r>
            <w:r>
              <w:rPr>
                <w:rFonts w:hint="eastAsia" w:eastAsia="仿宋_GB2312" w:cs="Times New Roman"/>
                <w:color w:val="1D35AD"/>
                <w:kern w:val="0"/>
                <w:sz w:val="24"/>
                <w:highlight w:val="none"/>
                <w:lang w:val="en-US" w:eastAsia="zh-CN" w:bidi="ar"/>
              </w:rPr>
              <w:t>301米</w:t>
            </w:r>
            <w:r>
              <w:rPr>
                <w:rFonts w:hint="eastAsia" w:eastAsia="仿宋_GB2312" w:cs="Times New Roman"/>
                <w:color w:val="1D35AD"/>
                <w:kern w:val="0"/>
                <w:sz w:val="24"/>
                <w:highlight w:val="none"/>
                <w:lang w:eastAsia="zh-CN" w:bidi="ar"/>
              </w:rPr>
              <w:t>）均不在厂界</w:t>
            </w:r>
            <w:r>
              <w:rPr>
                <w:rFonts w:hint="eastAsia" w:eastAsia="仿宋_GB2312" w:cs="Times New Roman"/>
                <w:color w:val="1D35AD"/>
                <w:kern w:val="0"/>
                <w:sz w:val="24"/>
                <w:highlight w:val="none"/>
                <w:lang w:val="en-US" w:eastAsia="zh-CN" w:bidi="ar"/>
              </w:rPr>
              <w:t>50米范围内，因此本项目厂界周边50m范围内无声环境敏感目标，</w:t>
            </w:r>
            <w:r>
              <w:rPr>
                <w:rFonts w:hint="default" w:eastAsia="仿宋_GB2312" w:cs="Times New Roman"/>
                <w:color w:val="1D35AD"/>
                <w:kern w:val="0"/>
                <w:sz w:val="24"/>
                <w:highlight w:val="none"/>
                <w:lang w:val="en-US" w:eastAsia="zh-CN" w:bidi="ar"/>
              </w:rPr>
              <w:t>无需进行</w:t>
            </w:r>
            <w:r>
              <w:rPr>
                <w:rFonts w:hint="eastAsia" w:eastAsia="仿宋_GB2312" w:cs="Times New Roman"/>
                <w:color w:val="1D35AD"/>
                <w:kern w:val="0"/>
                <w:sz w:val="24"/>
                <w:highlight w:val="none"/>
                <w:lang w:val="en-US" w:eastAsia="zh-CN" w:bidi="ar"/>
              </w:rPr>
              <w:t>声环境评价。</w:t>
            </w:r>
          </w:p>
          <w:p w14:paraId="515154FD">
            <w:pPr>
              <w:keepNext w:val="0"/>
              <w:keepLines w:val="0"/>
              <w:suppressLineNumbers w:val="0"/>
              <w:snapToGrid w:val="0"/>
              <w:spacing w:before="0" w:beforeAutospacing="0" w:after="0" w:afterAutospacing="0" w:line="500" w:lineRule="exact"/>
              <w:ind w:left="0" w:right="0"/>
              <w:rPr>
                <w:rFonts w:hint="default" w:eastAsia="仿宋_GB2312"/>
                <w:b/>
                <w:bCs/>
                <w:color w:val="auto"/>
                <w:sz w:val="24"/>
              </w:rPr>
            </w:pPr>
            <w:r>
              <w:rPr>
                <w:rFonts w:hint="default" w:eastAsia="仿宋_GB2312"/>
                <w:b/>
                <w:bCs/>
                <w:color w:val="auto"/>
                <w:sz w:val="24"/>
              </w:rPr>
              <w:t>4、固废</w:t>
            </w:r>
          </w:p>
          <w:p w14:paraId="78053CCE">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一般工业固废执行《一般工业固体废物贮存和填埋污染控制标准》（GB 18599-2020）；危险固废执行《危险废物贮存污染控制标准》（GB18597-2023）。</w:t>
            </w:r>
          </w:p>
          <w:p w14:paraId="21F97FFA">
            <w:pPr>
              <w:pStyle w:val="74"/>
              <w:keepNext w:val="0"/>
              <w:keepLines w:val="0"/>
              <w:suppressLineNumbers w:val="0"/>
              <w:spacing w:before="0" w:beforeAutospacing="0" w:after="0" w:afterAutospacing="0"/>
              <w:ind w:left="0" w:right="0"/>
              <w:rPr>
                <w:rFonts w:hint="default" w:eastAsia="仿宋_GB2312"/>
                <w:color w:val="auto"/>
                <w:sz w:val="24"/>
              </w:rPr>
            </w:pPr>
          </w:p>
          <w:p w14:paraId="0CF022A9">
            <w:pPr>
              <w:keepNext w:val="0"/>
              <w:keepLines w:val="0"/>
              <w:suppressLineNumbers w:val="0"/>
              <w:autoSpaceDE w:val="0"/>
              <w:autoSpaceDN w:val="0"/>
              <w:adjustRightInd w:val="0"/>
              <w:snapToGrid w:val="0"/>
              <w:spacing w:before="0" w:beforeAutospacing="0" w:after="0" w:afterAutospacing="0" w:line="500" w:lineRule="exact"/>
              <w:ind w:left="0" w:right="0"/>
              <w:rPr>
                <w:rFonts w:hint="default" w:eastAsia="仿宋_GB2312"/>
                <w:color w:val="auto"/>
                <w:kern w:val="0"/>
                <w:sz w:val="24"/>
              </w:rPr>
            </w:pPr>
          </w:p>
          <w:p w14:paraId="10575930">
            <w:pPr>
              <w:pStyle w:val="2"/>
              <w:keepNext w:val="0"/>
              <w:keepLines w:val="0"/>
              <w:suppressLineNumbers w:val="0"/>
              <w:spacing w:beforeAutospacing="0" w:afterAutospacing="0"/>
              <w:ind w:left="0"/>
              <w:rPr>
                <w:rFonts w:hint="default" w:eastAsia="仿宋_GB2312"/>
                <w:color w:val="auto"/>
                <w:kern w:val="0"/>
                <w:sz w:val="24"/>
              </w:rPr>
            </w:pPr>
          </w:p>
          <w:p w14:paraId="3BBA1352">
            <w:pPr>
              <w:pStyle w:val="3"/>
              <w:keepNext w:val="0"/>
              <w:keepLines w:val="0"/>
              <w:suppressLineNumbers w:val="0"/>
              <w:spacing w:before="0" w:beforeAutospacing="0" w:after="0" w:afterAutospacing="0"/>
              <w:ind w:right="0"/>
              <w:rPr>
                <w:rFonts w:hint="default" w:eastAsia="仿宋_GB2312"/>
                <w:color w:val="auto"/>
                <w:kern w:val="0"/>
                <w:sz w:val="24"/>
              </w:rPr>
            </w:pPr>
          </w:p>
          <w:p w14:paraId="6D792ECA">
            <w:pPr>
              <w:pStyle w:val="3"/>
              <w:keepNext w:val="0"/>
              <w:keepLines w:val="0"/>
              <w:suppressLineNumbers w:val="0"/>
              <w:spacing w:before="0" w:beforeAutospacing="0" w:after="0" w:afterAutospacing="0"/>
              <w:ind w:right="0"/>
              <w:rPr>
                <w:rFonts w:hint="default" w:eastAsia="仿宋_GB2312"/>
                <w:color w:val="auto"/>
                <w:kern w:val="0"/>
                <w:sz w:val="24"/>
              </w:rPr>
            </w:pPr>
          </w:p>
        </w:tc>
      </w:tr>
    </w:tbl>
    <w:p w14:paraId="29D8ECFC">
      <w:pPr>
        <w:rPr>
          <w:color w:val="auto"/>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tbl>
      <w:tblPr>
        <w:tblStyle w:val="87"/>
        <w:tblW w:w="533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07"/>
      </w:tblGrid>
      <w:tr w14:paraId="1C18C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6" w:type="dxa"/>
            <w:vAlign w:val="center"/>
          </w:tcPr>
          <w:p w14:paraId="4CDEC338">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总量</w:t>
            </w:r>
          </w:p>
          <w:p w14:paraId="406136E2">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控制</w:t>
            </w:r>
          </w:p>
          <w:p w14:paraId="404BAA4A">
            <w:pPr>
              <w:keepNext w:val="0"/>
              <w:keepLines w:val="0"/>
              <w:suppressLineNumbers w:val="0"/>
              <w:adjustRightInd w:val="0"/>
              <w:snapToGrid w:val="0"/>
              <w:spacing w:before="0" w:beforeAutospacing="0" w:after="0" w:afterAutospacing="0"/>
              <w:ind w:left="0" w:right="0"/>
              <w:jc w:val="center"/>
              <w:rPr>
                <w:rFonts w:hint="default" w:eastAsia="仿宋_GB2312"/>
                <w:color w:val="auto"/>
                <w:kern w:val="0"/>
                <w:sz w:val="24"/>
              </w:rPr>
            </w:pPr>
            <w:r>
              <w:rPr>
                <w:rFonts w:hint="default" w:eastAsia="仿宋_GB2312"/>
                <w:color w:val="auto"/>
                <w:kern w:val="0"/>
                <w:sz w:val="24"/>
              </w:rPr>
              <w:t>指标</w:t>
            </w:r>
          </w:p>
        </w:tc>
        <w:tc>
          <w:tcPr>
            <w:tcW w:w="9207" w:type="dxa"/>
            <w:vAlign w:val="center"/>
          </w:tcPr>
          <w:p w14:paraId="2806A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eastAsia="仿宋_GB2312"/>
                <w:color w:val="auto"/>
                <w:sz w:val="24"/>
              </w:rPr>
            </w:pPr>
            <w:r>
              <w:rPr>
                <w:rFonts w:hint="default" w:eastAsia="仿宋_GB2312"/>
                <w:color w:val="auto"/>
                <w:sz w:val="24"/>
              </w:rPr>
              <w:t>本项目建成后污染物排放量见下表。</w:t>
            </w:r>
          </w:p>
          <w:p w14:paraId="3A00A27F">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eastAsia="仿宋_GB2312"/>
                <w:b/>
                <w:color w:val="auto"/>
                <w:sz w:val="22"/>
                <w:szCs w:val="22"/>
              </w:rPr>
            </w:pPr>
            <w:r>
              <w:rPr>
                <w:rFonts w:hint="default" w:eastAsia="仿宋_GB2312"/>
                <w:b/>
                <w:color w:val="auto"/>
                <w:sz w:val="22"/>
                <w:szCs w:val="22"/>
              </w:rPr>
              <w:t>表3-</w:t>
            </w:r>
            <w:r>
              <w:rPr>
                <w:rFonts w:hint="eastAsia" w:eastAsia="仿宋_GB2312"/>
                <w:b/>
                <w:color w:val="auto"/>
                <w:sz w:val="22"/>
                <w:szCs w:val="22"/>
                <w:lang w:val="en-US" w:eastAsia="zh-CN"/>
              </w:rPr>
              <w:t>22</w:t>
            </w:r>
            <w:r>
              <w:rPr>
                <w:rFonts w:hint="default" w:eastAsia="仿宋_GB2312"/>
                <w:b/>
                <w:color w:val="auto"/>
                <w:sz w:val="22"/>
                <w:szCs w:val="22"/>
              </w:rPr>
              <w:t xml:space="preserve">  本项目建成后污染物排放量（t/a）</w:t>
            </w:r>
          </w:p>
          <w:tbl>
            <w:tblPr>
              <w:tblStyle w:val="8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1462"/>
              <w:gridCol w:w="1482"/>
              <w:gridCol w:w="1445"/>
              <w:gridCol w:w="1278"/>
              <w:gridCol w:w="1645"/>
              <w:gridCol w:w="1645"/>
            </w:tblGrid>
            <w:tr w14:paraId="2732C3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tblHeader/>
                <w:jc w:val="center"/>
              </w:trPr>
              <w:tc>
                <w:tcPr>
                  <w:tcW w:w="816" w:type="pct"/>
                  <w:tcBorders>
                    <w:tl2br w:val="nil"/>
                    <w:tr2bl w:val="nil"/>
                  </w:tcBorders>
                  <w:shd w:val="clear" w:color="auto" w:fill="FFFFFF"/>
                  <w:vAlign w:val="center"/>
                </w:tcPr>
                <w:p w14:paraId="3DF378C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rPr>
                    <w:t>类别</w:t>
                  </w:r>
                </w:p>
              </w:tc>
              <w:tc>
                <w:tcPr>
                  <w:tcW w:w="827" w:type="pct"/>
                  <w:tcBorders>
                    <w:tl2br w:val="nil"/>
                    <w:tr2bl w:val="nil"/>
                  </w:tcBorders>
                  <w:shd w:val="clear" w:color="auto" w:fill="FFFFFF"/>
                  <w:vAlign w:val="center"/>
                </w:tcPr>
                <w:p w14:paraId="279A648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rPr>
                  </w:pPr>
                  <w:r>
                    <w:rPr>
                      <w:rFonts w:hint="default" w:ascii="Times New Roman" w:hAnsi="Times New Roman" w:eastAsia="仿宋_GB2312" w:cs="Times New Roman"/>
                      <w:b/>
                      <w:color w:val="auto"/>
                      <w:kern w:val="0"/>
                      <w:sz w:val="21"/>
                      <w:lang w:val="zh-CN"/>
                    </w:rPr>
                    <w:t>污染物名称</w:t>
                  </w:r>
                </w:p>
              </w:tc>
              <w:tc>
                <w:tcPr>
                  <w:tcW w:w="806" w:type="pct"/>
                  <w:tcBorders>
                    <w:tl2br w:val="nil"/>
                    <w:tr2bl w:val="nil"/>
                  </w:tcBorders>
                  <w:shd w:val="clear" w:color="auto" w:fill="FFFFFF"/>
                  <w:vAlign w:val="center"/>
                </w:tcPr>
                <w:p w14:paraId="6D1DBD8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highlight w:val="none"/>
                    </w:rPr>
                  </w:pPr>
                  <w:r>
                    <w:rPr>
                      <w:rFonts w:hint="default" w:ascii="Times New Roman" w:hAnsi="Times New Roman" w:eastAsia="仿宋_GB2312" w:cs="Times New Roman"/>
                      <w:b/>
                      <w:color w:val="auto"/>
                      <w:kern w:val="0"/>
                      <w:sz w:val="21"/>
                      <w:highlight w:val="none"/>
                      <w:lang w:val="zh-CN"/>
                    </w:rPr>
                    <w:t>产生量（t/a）</w:t>
                  </w:r>
                </w:p>
              </w:tc>
              <w:tc>
                <w:tcPr>
                  <w:tcW w:w="713" w:type="pct"/>
                  <w:tcBorders>
                    <w:tl2br w:val="nil"/>
                    <w:tr2bl w:val="nil"/>
                  </w:tcBorders>
                  <w:shd w:val="clear" w:color="auto" w:fill="FFFFFF"/>
                  <w:vAlign w:val="center"/>
                </w:tcPr>
                <w:p w14:paraId="03A6470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highlight w:val="none"/>
                    </w:rPr>
                  </w:pPr>
                  <w:r>
                    <w:rPr>
                      <w:rFonts w:hint="default" w:ascii="Times New Roman" w:hAnsi="Times New Roman" w:eastAsia="仿宋_GB2312" w:cs="Times New Roman"/>
                      <w:b/>
                      <w:color w:val="auto"/>
                      <w:kern w:val="0"/>
                      <w:sz w:val="21"/>
                      <w:highlight w:val="none"/>
                      <w:lang w:val="zh-CN"/>
                    </w:rPr>
                    <w:t>削减量（t/a）</w:t>
                  </w:r>
                </w:p>
              </w:tc>
              <w:tc>
                <w:tcPr>
                  <w:tcW w:w="918" w:type="pct"/>
                  <w:tcBorders>
                    <w:tl2br w:val="nil"/>
                    <w:tr2bl w:val="nil"/>
                  </w:tcBorders>
                  <w:shd w:val="clear" w:color="auto" w:fill="FFFFFF"/>
                  <w:vAlign w:val="center"/>
                </w:tcPr>
                <w:p w14:paraId="649314D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kern w:val="0"/>
                      <w:sz w:val="21"/>
                      <w:highlight w:val="none"/>
                      <w:lang w:val="zh-CN"/>
                    </w:rPr>
                  </w:pPr>
                  <w:r>
                    <w:rPr>
                      <w:rFonts w:hint="eastAsia" w:eastAsia="仿宋_GB2312" w:cs="Times New Roman"/>
                      <w:b/>
                      <w:color w:val="auto"/>
                      <w:kern w:val="0"/>
                      <w:sz w:val="21"/>
                      <w:highlight w:val="none"/>
                      <w:lang w:val="zh-CN"/>
                    </w:rPr>
                    <w:t>接管量</w:t>
                  </w:r>
                  <w:r>
                    <w:rPr>
                      <w:rFonts w:hint="default" w:ascii="Times New Roman" w:hAnsi="Times New Roman" w:eastAsia="仿宋_GB2312" w:cs="Times New Roman"/>
                      <w:b/>
                      <w:color w:val="auto"/>
                      <w:kern w:val="0"/>
                      <w:sz w:val="21"/>
                      <w:highlight w:val="none"/>
                      <w:lang w:val="zh-CN"/>
                    </w:rPr>
                    <w:t>（t/a）</w:t>
                  </w:r>
                </w:p>
              </w:tc>
              <w:tc>
                <w:tcPr>
                  <w:tcW w:w="918" w:type="pct"/>
                  <w:tcBorders>
                    <w:tl2br w:val="nil"/>
                    <w:tr2bl w:val="nil"/>
                  </w:tcBorders>
                  <w:shd w:val="clear" w:color="auto" w:fill="FFFFFF"/>
                  <w:vAlign w:val="center"/>
                </w:tcPr>
                <w:p w14:paraId="21A8A70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b/>
                      <w:color w:val="auto"/>
                      <w:kern w:val="0"/>
                      <w:sz w:val="21"/>
                      <w:szCs w:val="24"/>
                      <w:highlight w:val="none"/>
                      <w:lang w:val="zh-CN" w:eastAsia="zh-CN" w:bidi="ar-SA"/>
                    </w:rPr>
                  </w:pPr>
                  <w:r>
                    <w:rPr>
                      <w:rFonts w:hint="eastAsia" w:eastAsia="仿宋_GB2312" w:cs="Times New Roman"/>
                      <w:b/>
                      <w:color w:val="auto"/>
                      <w:kern w:val="0"/>
                      <w:sz w:val="21"/>
                      <w:highlight w:val="none"/>
                      <w:lang w:val="zh-CN"/>
                    </w:rPr>
                    <w:t>外</w:t>
                  </w:r>
                  <w:r>
                    <w:rPr>
                      <w:rFonts w:hint="default" w:ascii="Times New Roman" w:hAnsi="Times New Roman" w:eastAsia="仿宋_GB2312" w:cs="Times New Roman"/>
                      <w:b/>
                      <w:color w:val="auto"/>
                      <w:kern w:val="0"/>
                      <w:sz w:val="21"/>
                      <w:highlight w:val="none"/>
                      <w:lang w:val="zh-CN"/>
                    </w:rPr>
                    <w:t>排放</w:t>
                  </w:r>
                  <w:r>
                    <w:rPr>
                      <w:rFonts w:hint="eastAsia" w:eastAsia="仿宋_GB2312" w:cs="Times New Roman"/>
                      <w:b/>
                      <w:color w:val="auto"/>
                      <w:kern w:val="0"/>
                      <w:sz w:val="21"/>
                      <w:highlight w:val="none"/>
                      <w:lang w:val="zh-CN"/>
                    </w:rPr>
                    <w:t>环境</w:t>
                  </w:r>
                  <w:r>
                    <w:rPr>
                      <w:rFonts w:hint="default" w:ascii="Times New Roman" w:hAnsi="Times New Roman" w:eastAsia="仿宋_GB2312" w:cs="Times New Roman"/>
                      <w:b/>
                      <w:color w:val="auto"/>
                      <w:kern w:val="0"/>
                      <w:sz w:val="21"/>
                      <w:highlight w:val="none"/>
                      <w:lang w:val="zh-CN"/>
                    </w:rPr>
                    <w:t>量（t/a）</w:t>
                  </w:r>
                </w:p>
              </w:tc>
            </w:tr>
            <w:tr w14:paraId="67FAF3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restart"/>
                  <w:tcBorders>
                    <w:tl2br w:val="nil"/>
                    <w:tr2bl w:val="nil"/>
                  </w:tcBorders>
                  <w:shd w:val="clear" w:color="auto" w:fill="FFFFFF"/>
                  <w:vAlign w:val="center"/>
                </w:tcPr>
                <w:p w14:paraId="3514900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val="zh-CN"/>
                    </w:rPr>
                    <w:t>有组织废气</w:t>
                  </w:r>
                </w:p>
              </w:tc>
              <w:tc>
                <w:tcPr>
                  <w:tcW w:w="827" w:type="pct"/>
                  <w:tcBorders>
                    <w:tl2br w:val="nil"/>
                    <w:tr2bl w:val="nil"/>
                  </w:tcBorders>
                  <w:shd w:val="clear" w:color="auto" w:fill="FFFFFF"/>
                  <w:vAlign w:val="center"/>
                </w:tcPr>
                <w:p w14:paraId="12F11D7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highlight w:val="none"/>
                    </w:rPr>
                    <w:t>颗粒物</w:t>
                  </w:r>
                </w:p>
              </w:tc>
              <w:tc>
                <w:tcPr>
                  <w:tcW w:w="806" w:type="pct"/>
                  <w:tcBorders>
                    <w:tl2br w:val="nil"/>
                    <w:tr2bl w:val="nil"/>
                  </w:tcBorders>
                  <w:shd w:val="clear" w:color="auto" w:fill="FFFFFF"/>
                  <w:vAlign w:val="center"/>
                </w:tcPr>
                <w:p w14:paraId="0036B87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lang w:val="en-US" w:eastAsia="zh-CN"/>
                    </w:rPr>
                  </w:pPr>
                  <w:r>
                    <w:rPr>
                      <w:rFonts w:hint="eastAsia" w:eastAsia="仿宋_GB2312" w:cs="Times New Roman"/>
                      <w:b w:val="0"/>
                      <w:bCs w:val="0"/>
                      <w:color w:val="auto"/>
                      <w:kern w:val="0"/>
                      <w:sz w:val="21"/>
                      <w:lang w:val="en-US" w:eastAsia="zh-CN"/>
                    </w:rPr>
                    <w:t>0.1319</w:t>
                  </w:r>
                </w:p>
              </w:tc>
              <w:tc>
                <w:tcPr>
                  <w:tcW w:w="713" w:type="pct"/>
                  <w:tcBorders>
                    <w:tl2br w:val="nil"/>
                    <w:tr2bl w:val="nil"/>
                  </w:tcBorders>
                  <w:shd w:val="clear" w:color="auto" w:fill="FFFFFF"/>
                  <w:vAlign w:val="center"/>
                </w:tcPr>
                <w:p w14:paraId="6CF34E4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lang w:val="en-US" w:eastAsia="zh-CN"/>
                    </w:rPr>
                  </w:pPr>
                  <w:r>
                    <w:rPr>
                      <w:rFonts w:hint="eastAsia" w:eastAsia="仿宋_GB2312" w:cs="Times New Roman"/>
                      <w:b w:val="0"/>
                      <w:bCs w:val="0"/>
                      <w:color w:val="auto"/>
                      <w:kern w:val="0"/>
                      <w:sz w:val="21"/>
                      <w:lang w:val="en-US" w:eastAsia="zh-CN"/>
                    </w:rPr>
                    <w:t>0.1269</w:t>
                  </w:r>
                </w:p>
              </w:tc>
              <w:tc>
                <w:tcPr>
                  <w:tcW w:w="918" w:type="pct"/>
                  <w:tcBorders>
                    <w:tl2br w:val="nil"/>
                    <w:tr2bl w:val="nil"/>
                  </w:tcBorders>
                  <w:shd w:val="clear" w:color="auto" w:fill="FFFFFF"/>
                  <w:vAlign w:val="center"/>
                </w:tcPr>
                <w:p w14:paraId="107C1D19">
                  <w:pPr>
                    <w:keepNext w:val="0"/>
                    <w:keepLines w:val="0"/>
                    <w:widowControl w:val="0"/>
                    <w:suppressLineNumbers w:val="0"/>
                    <w:snapToGrid w:val="0"/>
                    <w:spacing w:before="0" w:beforeAutospacing="0" w:after="0" w:afterAutospacing="0" w:line="320" w:lineRule="exact"/>
                    <w:ind w:left="0" w:right="0"/>
                    <w:jc w:val="center"/>
                    <w:rPr>
                      <w:rFonts w:hint="default" w:eastAsia="仿宋_GB2312" w:cs="Times New Roman"/>
                      <w:b w:val="0"/>
                      <w:bCs w:val="0"/>
                      <w:color w:val="auto"/>
                      <w:kern w:val="0"/>
                      <w:sz w:val="21"/>
                      <w:lang w:val="en-US" w:eastAsia="zh-CN"/>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70944158">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b w:val="0"/>
                      <w:bCs w:val="0"/>
                      <w:color w:val="auto"/>
                      <w:kern w:val="0"/>
                      <w:sz w:val="21"/>
                      <w:szCs w:val="24"/>
                      <w:lang w:val="en-US" w:eastAsia="zh-CN" w:bidi="ar-SA"/>
                    </w:rPr>
                  </w:pPr>
                  <w:r>
                    <w:rPr>
                      <w:rFonts w:hint="eastAsia" w:eastAsia="仿宋_GB2312" w:cs="Times New Roman"/>
                      <w:b w:val="0"/>
                      <w:bCs w:val="0"/>
                      <w:color w:val="auto"/>
                      <w:kern w:val="0"/>
                      <w:sz w:val="21"/>
                      <w:lang w:val="en-US" w:eastAsia="zh-CN"/>
                    </w:rPr>
                    <w:t>0.005</w:t>
                  </w:r>
                </w:p>
              </w:tc>
            </w:tr>
            <w:tr w14:paraId="16F9E5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5152ADB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vAlign w:val="center"/>
                </w:tcPr>
                <w:p w14:paraId="5DFD746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非甲烷总烃</w:t>
                  </w:r>
                </w:p>
              </w:tc>
              <w:tc>
                <w:tcPr>
                  <w:tcW w:w="806" w:type="pct"/>
                  <w:tcBorders>
                    <w:tl2br w:val="nil"/>
                    <w:tr2bl w:val="nil"/>
                  </w:tcBorders>
                  <w:shd w:val="clear" w:color="auto" w:fill="FFFFFF"/>
                  <w:vAlign w:val="center"/>
                </w:tcPr>
                <w:p w14:paraId="061C8DA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0.2524</w:t>
                  </w:r>
                </w:p>
              </w:tc>
              <w:tc>
                <w:tcPr>
                  <w:tcW w:w="713" w:type="pct"/>
                  <w:tcBorders>
                    <w:tl2br w:val="nil"/>
                    <w:tr2bl w:val="nil"/>
                  </w:tcBorders>
                  <w:shd w:val="clear" w:color="auto" w:fill="FFFFFF"/>
                  <w:vAlign w:val="center"/>
                </w:tcPr>
                <w:p w14:paraId="4CAB7BA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0.2274</w:t>
                  </w:r>
                </w:p>
              </w:tc>
              <w:tc>
                <w:tcPr>
                  <w:tcW w:w="918" w:type="pct"/>
                  <w:tcBorders>
                    <w:tl2br w:val="nil"/>
                    <w:tr2bl w:val="nil"/>
                  </w:tcBorders>
                  <w:shd w:val="clear" w:color="auto" w:fill="FFFFFF"/>
                  <w:vAlign w:val="center"/>
                </w:tcPr>
                <w:p w14:paraId="4761DFBF">
                  <w:pPr>
                    <w:keepNext w:val="0"/>
                    <w:keepLines w:val="0"/>
                    <w:widowControl w:val="0"/>
                    <w:suppressLineNumbers w:val="0"/>
                    <w:snapToGrid w:val="0"/>
                    <w:spacing w:before="0" w:beforeAutospacing="0" w:after="0" w:afterAutospacing="0" w:line="320" w:lineRule="exact"/>
                    <w:ind w:left="0" w:right="0"/>
                    <w:jc w:val="center"/>
                    <w:rPr>
                      <w:rFonts w:hint="eastAsia" w:eastAsia="仿宋_GB2312" w:cs="Times New Roman"/>
                      <w:color w:val="auto"/>
                      <w:kern w:val="0"/>
                      <w:sz w:val="21"/>
                      <w:lang w:val="en-US" w:eastAsia="zh-CN"/>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491D6287">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0.025</w:t>
                  </w:r>
                </w:p>
              </w:tc>
            </w:tr>
            <w:tr w14:paraId="57944A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CB6CC2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vAlign w:val="center"/>
                </w:tcPr>
                <w:p w14:paraId="149D9FB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p>
              </w:tc>
              <w:tc>
                <w:tcPr>
                  <w:tcW w:w="806" w:type="pct"/>
                  <w:tcBorders>
                    <w:tl2br w:val="nil"/>
                    <w:tr2bl w:val="nil"/>
                  </w:tcBorders>
                  <w:shd w:val="clear" w:color="auto" w:fill="FFFFFF"/>
                  <w:vAlign w:val="center"/>
                </w:tcPr>
                <w:p w14:paraId="2CACBF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宋体" w:cs="Times New Roman"/>
                      <w:i w:val="0"/>
                      <w:iCs w:val="0"/>
                      <w:color w:val="auto"/>
                      <w:kern w:val="0"/>
                      <w:sz w:val="21"/>
                      <w:szCs w:val="21"/>
                      <w:u w:val="none"/>
                      <w:lang w:val="en-US" w:eastAsia="zh-CN" w:bidi="ar"/>
                    </w:rPr>
                    <w:t>0.1152</w:t>
                  </w:r>
                </w:p>
              </w:tc>
              <w:tc>
                <w:tcPr>
                  <w:tcW w:w="713" w:type="pct"/>
                  <w:tcBorders>
                    <w:tl2br w:val="nil"/>
                    <w:tr2bl w:val="nil"/>
                  </w:tcBorders>
                  <w:shd w:val="clear" w:color="auto" w:fill="FFFFFF"/>
                  <w:vAlign w:val="center"/>
                </w:tcPr>
                <w:p w14:paraId="3D56A58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0.0576</w:t>
                  </w:r>
                </w:p>
              </w:tc>
              <w:tc>
                <w:tcPr>
                  <w:tcW w:w="918" w:type="pct"/>
                  <w:tcBorders>
                    <w:tl2br w:val="nil"/>
                    <w:tr2bl w:val="nil"/>
                  </w:tcBorders>
                  <w:shd w:val="clear" w:color="auto" w:fill="FFFFFF"/>
                  <w:vAlign w:val="center"/>
                </w:tcPr>
                <w:p w14:paraId="7FF913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752D23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0.0576</w:t>
                  </w:r>
                </w:p>
              </w:tc>
            </w:tr>
            <w:tr w14:paraId="5EDD4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2B7447D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vAlign w:val="center"/>
                </w:tcPr>
                <w:p w14:paraId="199F5DB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H</w:t>
                  </w:r>
                  <w:r>
                    <w:rPr>
                      <w:rFonts w:hint="default" w:ascii="Times New Roman" w:hAnsi="Times New Roman" w:eastAsia="仿宋_GB2312" w:cs="Times New Roman"/>
                      <w:color w:val="auto"/>
                      <w:sz w:val="21"/>
                      <w:vertAlign w:val="subscript"/>
                    </w:rPr>
                    <w:t>2</w:t>
                  </w:r>
                  <w:r>
                    <w:rPr>
                      <w:rFonts w:hint="default" w:ascii="Times New Roman" w:hAnsi="Times New Roman" w:eastAsia="仿宋_GB2312" w:cs="Times New Roman"/>
                      <w:color w:val="auto"/>
                      <w:sz w:val="21"/>
                    </w:rPr>
                    <w:t>S</w:t>
                  </w:r>
                </w:p>
              </w:tc>
              <w:tc>
                <w:tcPr>
                  <w:tcW w:w="806" w:type="pct"/>
                  <w:tcBorders>
                    <w:tl2br w:val="nil"/>
                    <w:tr2bl w:val="nil"/>
                  </w:tcBorders>
                  <w:shd w:val="clear" w:color="auto" w:fill="FFFFFF"/>
                  <w:vAlign w:val="center"/>
                </w:tcPr>
                <w:p w14:paraId="1AA670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宋体" w:cs="Times New Roman"/>
                      <w:i w:val="0"/>
                      <w:iCs w:val="0"/>
                      <w:color w:val="auto"/>
                      <w:kern w:val="0"/>
                      <w:sz w:val="21"/>
                      <w:szCs w:val="21"/>
                      <w:u w:val="none"/>
                      <w:lang w:val="en-US" w:eastAsia="zh-CN" w:bidi="ar"/>
                    </w:rPr>
                    <w:t>0.01443</w:t>
                  </w:r>
                </w:p>
              </w:tc>
              <w:tc>
                <w:tcPr>
                  <w:tcW w:w="713" w:type="pct"/>
                  <w:tcBorders>
                    <w:tl2br w:val="nil"/>
                    <w:tr2bl w:val="nil"/>
                  </w:tcBorders>
                  <w:shd w:val="clear" w:color="auto" w:fill="FFFFFF"/>
                  <w:vAlign w:val="center"/>
                </w:tcPr>
                <w:p w14:paraId="30CECED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0.00843</w:t>
                  </w:r>
                </w:p>
              </w:tc>
              <w:tc>
                <w:tcPr>
                  <w:tcW w:w="918" w:type="pct"/>
                  <w:tcBorders>
                    <w:tl2br w:val="nil"/>
                    <w:tr2bl w:val="nil"/>
                  </w:tcBorders>
                  <w:shd w:val="clear" w:color="auto" w:fill="FFFFFF"/>
                  <w:vAlign w:val="center"/>
                </w:tcPr>
                <w:p w14:paraId="3F05F0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7CAC65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p>
              </w:tc>
            </w:tr>
            <w:tr w14:paraId="7D080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DE47CC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vAlign w:val="center"/>
                </w:tcPr>
                <w:p w14:paraId="164F3BB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highlight w:val="none"/>
                    </w:rPr>
                    <w:t>氯化氢</w:t>
                  </w:r>
                </w:p>
              </w:tc>
              <w:tc>
                <w:tcPr>
                  <w:tcW w:w="806" w:type="pct"/>
                  <w:tcBorders>
                    <w:tl2br w:val="nil"/>
                    <w:tr2bl w:val="nil"/>
                  </w:tcBorders>
                  <w:shd w:val="clear" w:color="auto" w:fill="FFFFFF"/>
                  <w:vAlign w:val="center"/>
                </w:tcPr>
                <w:p w14:paraId="04D67D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07</w:t>
                  </w:r>
                </w:p>
              </w:tc>
              <w:tc>
                <w:tcPr>
                  <w:tcW w:w="713" w:type="pct"/>
                  <w:tcBorders>
                    <w:tl2br w:val="nil"/>
                    <w:tr2bl w:val="nil"/>
                  </w:tcBorders>
                  <w:shd w:val="clear" w:color="auto" w:fill="FFFFFF"/>
                  <w:vAlign w:val="center"/>
                </w:tcPr>
                <w:p w14:paraId="24E6F5D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0.0063</w:t>
                  </w:r>
                </w:p>
              </w:tc>
              <w:tc>
                <w:tcPr>
                  <w:tcW w:w="918" w:type="pct"/>
                  <w:tcBorders>
                    <w:tl2br w:val="nil"/>
                    <w:tr2bl w:val="nil"/>
                  </w:tcBorders>
                  <w:shd w:val="clear" w:color="auto" w:fill="FFFFFF"/>
                  <w:vAlign w:val="center"/>
                </w:tcPr>
                <w:p w14:paraId="61F922C4">
                  <w:pPr>
                    <w:keepNext w:val="0"/>
                    <w:keepLines w:val="0"/>
                    <w:widowControl w:val="0"/>
                    <w:suppressLineNumbers w:val="0"/>
                    <w:snapToGrid w:val="0"/>
                    <w:spacing w:before="0" w:beforeAutospacing="0" w:after="0" w:afterAutospacing="0" w:line="320" w:lineRule="exact"/>
                    <w:ind w:left="0" w:right="0"/>
                    <w:jc w:val="center"/>
                    <w:rPr>
                      <w:rFonts w:hint="eastAsia" w:eastAsia="仿宋_GB2312" w:cs="Times New Roman"/>
                      <w:color w:val="auto"/>
                      <w:kern w:val="0"/>
                      <w:sz w:val="21"/>
                      <w:lang w:val="en-US" w:eastAsia="zh-CN"/>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1DD27E41">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0.0007</w:t>
                  </w:r>
                </w:p>
              </w:tc>
            </w:tr>
            <w:tr w14:paraId="354D9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E636AA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vAlign w:val="center"/>
                </w:tcPr>
                <w:p w14:paraId="5B6E371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SO</w:t>
                  </w:r>
                  <w:r>
                    <w:rPr>
                      <w:rFonts w:hint="default" w:ascii="Times New Roman" w:hAnsi="Times New Roman" w:eastAsia="仿宋_GB2312" w:cs="Times New Roman"/>
                      <w:color w:val="auto"/>
                      <w:sz w:val="21"/>
                      <w:vertAlign w:val="subscript"/>
                    </w:rPr>
                    <w:t>2</w:t>
                  </w:r>
                </w:p>
              </w:tc>
              <w:tc>
                <w:tcPr>
                  <w:tcW w:w="806" w:type="pct"/>
                  <w:tcBorders>
                    <w:tl2br w:val="nil"/>
                    <w:tr2bl w:val="nil"/>
                  </w:tcBorders>
                  <w:shd w:val="clear" w:color="auto" w:fill="FFFFFF"/>
                  <w:vAlign w:val="center"/>
                </w:tcPr>
                <w:p w14:paraId="0F39D88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0.002</w:t>
                  </w:r>
                </w:p>
              </w:tc>
              <w:tc>
                <w:tcPr>
                  <w:tcW w:w="713" w:type="pct"/>
                  <w:tcBorders>
                    <w:tl2br w:val="nil"/>
                    <w:tr2bl w:val="nil"/>
                  </w:tcBorders>
                  <w:shd w:val="clear" w:color="auto" w:fill="FFFFFF"/>
                  <w:vAlign w:val="center"/>
                </w:tcPr>
                <w:p w14:paraId="6880554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w:t>
                  </w:r>
                </w:p>
              </w:tc>
              <w:tc>
                <w:tcPr>
                  <w:tcW w:w="918" w:type="pct"/>
                  <w:tcBorders>
                    <w:tl2br w:val="nil"/>
                    <w:tr2bl w:val="nil"/>
                  </w:tcBorders>
                  <w:shd w:val="clear" w:color="auto" w:fill="FFFFFF"/>
                  <w:vAlign w:val="center"/>
                </w:tcPr>
                <w:p w14:paraId="0E02C6E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2F16A821">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0.002</w:t>
                  </w:r>
                </w:p>
              </w:tc>
            </w:tr>
            <w:tr w14:paraId="11E29B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3604703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vAlign w:val="center"/>
                </w:tcPr>
                <w:p w14:paraId="0D110F0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NOx</w:t>
                  </w:r>
                </w:p>
              </w:tc>
              <w:tc>
                <w:tcPr>
                  <w:tcW w:w="806" w:type="pct"/>
                  <w:tcBorders>
                    <w:tl2br w:val="nil"/>
                    <w:tr2bl w:val="nil"/>
                  </w:tcBorders>
                  <w:shd w:val="clear" w:color="auto" w:fill="FFFFFF"/>
                  <w:vAlign w:val="center"/>
                </w:tcPr>
                <w:p w14:paraId="05F1192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c>
                <w:tcPr>
                  <w:tcW w:w="713" w:type="pct"/>
                  <w:tcBorders>
                    <w:tl2br w:val="nil"/>
                    <w:tr2bl w:val="nil"/>
                  </w:tcBorders>
                  <w:shd w:val="clear" w:color="auto" w:fill="FFFFFF"/>
                  <w:vAlign w:val="center"/>
                </w:tcPr>
                <w:p w14:paraId="79F8D2C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w:t>
                  </w:r>
                </w:p>
              </w:tc>
              <w:tc>
                <w:tcPr>
                  <w:tcW w:w="918" w:type="pct"/>
                  <w:tcBorders>
                    <w:tl2br w:val="nil"/>
                    <w:tr2bl w:val="nil"/>
                  </w:tcBorders>
                  <w:shd w:val="clear" w:color="auto" w:fill="FFFFFF"/>
                  <w:vAlign w:val="center"/>
                </w:tcPr>
                <w:p w14:paraId="35697D8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59DFB233">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0.02</w:t>
                  </w:r>
                </w:p>
              </w:tc>
            </w:tr>
            <w:tr w14:paraId="049529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35480B4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vAlign w:val="center"/>
                </w:tcPr>
                <w:p w14:paraId="61AA55C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VOCs</w:t>
                  </w:r>
                </w:p>
              </w:tc>
              <w:tc>
                <w:tcPr>
                  <w:tcW w:w="806" w:type="pct"/>
                  <w:tcBorders>
                    <w:tl2br w:val="nil"/>
                    <w:tr2bl w:val="nil"/>
                  </w:tcBorders>
                  <w:shd w:val="clear" w:color="auto" w:fill="FFFFFF"/>
                  <w:vAlign w:val="center"/>
                </w:tcPr>
                <w:p w14:paraId="68F2ABED">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0.2524</w:t>
                  </w:r>
                </w:p>
              </w:tc>
              <w:tc>
                <w:tcPr>
                  <w:tcW w:w="713" w:type="pct"/>
                  <w:tcBorders>
                    <w:tl2br w:val="nil"/>
                    <w:tr2bl w:val="nil"/>
                  </w:tcBorders>
                  <w:shd w:val="clear" w:color="auto" w:fill="FFFFFF"/>
                  <w:vAlign w:val="center"/>
                </w:tcPr>
                <w:p w14:paraId="7019B30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0.2274</w:t>
                  </w:r>
                </w:p>
              </w:tc>
              <w:tc>
                <w:tcPr>
                  <w:tcW w:w="918" w:type="pct"/>
                  <w:tcBorders>
                    <w:tl2br w:val="nil"/>
                    <w:tr2bl w:val="nil"/>
                  </w:tcBorders>
                  <w:shd w:val="clear" w:color="auto" w:fill="FFFFFF"/>
                  <w:vAlign w:val="center"/>
                </w:tcPr>
                <w:p w14:paraId="24E53F05">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eastAsia="仿宋_GB2312" w:cs="Times New Roman"/>
                      <w:color w:val="auto"/>
                      <w:kern w:val="0"/>
                      <w:sz w:val="21"/>
                      <w:lang w:val="en-US" w:eastAsia="zh-CN"/>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1B2BE243">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0.025</w:t>
                  </w:r>
                </w:p>
              </w:tc>
            </w:tr>
            <w:tr w14:paraId="104298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restart"/>
                  <w:tcBorders>
                    <w:tl2br w:val="nil"/>
                    <w:tr2bl w:val="nil"/>
                  </w:tcBorders>
                  <w:shd w:val="clear" w:color="auto" w:fill="FFFFFF"/>
                  <w:vAlign w:val="center"/>
                </w:tcPr>
                <w:p w14:paraId="0EDE181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val="zh-CN"/>
                    </w:rPr>
                    <w:t>无组织废气</w:t>
                  </w:r>
                </w:p>
              </w:tc>
              <w:tc>
                <w:tcPr>
                  <w:tcW w:w="827" w:type="pct"/>
                  <w:tcBorders>
                    <w:tl2br w:val="nil"/>
                    <w:tr2bl w:val="nil"/>
                  </w:tcBorders>
                  <w:shd w:val="clear" w:color="auto" w:fill="FFFFFF"/>
                  <w:vAlign w:val="center"/>
                </w:tcPr>
                <w:p w14:paraId="2D79EAC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highlight w:val="none"/>
                    </w:rPr>
                    <w:t>颗粒物</w:t>
                  </w:r>
                </w:p>
              </w:tc>
              <w:tc>
                <w:tcPr>
                  <w:tcW w:w="806" w:type="pct"/>
                  <w:tcBorders>
                    <w:tl2br w:val="nil"/>
                    <w:tr2bl w:val="nil"/>
                  </w:tcBorders>
                  <w:shd w:val="clear" w:color="auto" w:fill="FFFFFF"/>
                  <w:vAlign w:val="center"/>
                </w:tcPr>
                <w:p w14:paraId="344EA1E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lang w:val="en-US" w:eastAsia="zh-CN"/>
                    </w:rPr>
                  </w:pPr>
                  <w:r>
                    <w:rPr>
                      <w:rFonts w:hint="eastAsia" w:eastAsia="仿宋_GB2312" w:cs="Times New Roman"/>
                      <w:b w:val="0"/>
                      <w:bCs w:val="0"/>
                      <w:color w:val="auto"/>
                      <w:kern w:val="0"/>
                      <w:sz w:val="21"/>
                      <w:lang w:val="en-US" w:eastAsia="zh-CN"/>
                    </w:rPr>
                    <w:t>0.0055</w:t>
                  </w:r>
                </w:p>
              </w:tc>
              <w:tc>
                <w:tcPr>
                  <w:tcW w:w="713" w:type="pct"/>
                  <w:tcBorders>
                    <w:tl2br w:val="nil"/>
                    <w:tr2bl w:val="nil"/>
                  </w:tcBorders>
                  <w:shd w:val="clear" w:color="auto" w:fill="FFFFFF"/>
                  <w:vAlign w:val="center"/>
                </w:tcPr>
                <w:p w14:paraId="5A51912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sz w:val="21"/>
                    </w:rPr>
                  </w:pPr>
                  <w:r>
                    <w:rPr>
                      <w:rFonts w:hint="default" w:ascii="Times New Roman" w:hAnsi="Times New Roman" w:eastAsia="仿宋_GB2312" w:cs="Times New Roman"/>
                      <w:b w:val="0"/>
                      <w:bCs w:val="0"/>
                      <w:color w:val="auto"/>
                      <w:sz w:val="21"/>
                    </w:rPr>
                    <w:t>0</w:t>
                  </w:r>
                </w:p>
              </w:tc>
              <w:tc>
                <w:tcPr>
                  <w:tcW w:w="918" w:type="pct"/>
                  <w:tcBorders>
                    <w:tl2br w:val="nil"/>
                    <w:tr2bl w:val="nil"/>
                  </w:tcBorders>
                  <w:shd w:val="clear" w:color="auto" w:fill="FFFFFF"/>
                  <w:vAlign w:val="center"/>
                </w:tcPr>
                <w:p w14:paraId="526042A5">
                  <w:pPr>
                    <w:keepNext w:val="0"/>
                    <w:keepLines w:val="0"/>
                    <w:widowControl w:val="0"/>
                    <w:suppressLineNumbers w:val="0"/>
                    <w:snapToGrid w:val="0"/>
                    <w:spacing w:before="0" w:beforeAutospacing="0" w:after="0" w:afterAutospacing="0" w:line="320" w:lineRule="exact"/>
                    <w:ind w:left="0" w:right="0"/>
                    <w:jc w:val="center"/>
                    <w:rPr>
                      <w:rFonts w:hint="eastAsia" w:eastAsia="仿宋_GB2312" w:cs="Times New Roman"/>
                      <w:b w:val="0"/>
                      <w:bCs w:val="0"/>
                      <w:color w:val="auto"/>
                      <w:kern w:val="0"/>
                      <w:sz w:val="21"/>
                      <w:lang w:val="en-US" w:eastAsia="zh-CN"/>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5AE42A5B">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b w:val="0"/>
                      <w:bCs w:val="0"/>
                      <w:color w:val="auto"/>
                      <w:kern w:val="0"/>
                      <w:sz w:val="21"/>
                      <w:szCs w:val="24"/>
                      <w:lang w:val="en-US" w:eastAsia="zh-CN" w:bidi="ar-SA"/>
                    </w:rPr>
                  </w:pPr>
                  <w:r>
                    <w:rPr>
                      <w:rFonts w:hint="eastAsia" w:eastAsia="仿宋_GB2312" w:cs="Times New Roman"/>
                      <w:b w:val="0"/>
                      <w:bCs w:val="0"/>
                      <w:color w:val="auto"/>
                      <w:kern w:val="0"/>
                      <w:sz w:val="21"/>
                      <w:lang w:val="en-US" w:eastAsia="zh-CN"/>
                    </w:rPr>
                    <w:t>0.0055</w:t>
                  </w:r>
                </w:p>
              </w:tc>
            </w:tr>
            <w:tr w14:paraId="35672F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6124E93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827" w:type="pct"/>
                  <w:tcBorders>
                    <w:tl2br w:val="nil"/>
                    <w:tr2bl w:val="nil"/>
                  </w:tcBorders>
                  <w:shd w:val="clear" w:color="auto" w:fill="FFFFFF"/>
                  <w:vAlign w:val="center"/>
                </w:tcPr>
                <w:p w14:paraId="2021189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非甲烷总烃</w:t>
                  </w:r>
                </w:p>
              </w:tc>
              <w:tc>
                <w:tcPr>
                  <w:tcW w:w="806" w:type="pct"/>
                  <w:tcBorders>
                    <w:tl2br w:val="nil"/>
                    <w:tr2bl w:val="nil"/>
                  </w:tcBorders>
                  <w:shd w:val="clear" w:color="auto" w:fill="FFFFFF"/>
                  <w:vAlign w:val="center"/>
                </w:tcPr>
                <w:p w14:paraId="79DC9EC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c>
                <w:tcPr>
                  <w:tcW w:w="713" w:type="pct"/>
                  <w:tcBorders>
                    <w:tl2br w:val="nil"/>
                    <w:tr2bl w:val="nil"/>
                  </w:tcBorders>
                  <w:shd w:val="clear" w:color="auto" w:fill="FFFFFF"/>
                  <w:vAlign w:val="center"/>
                </w:tcPr>
                <w:p w14:paraId="2021495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shd w:val="clear" w:color="auto" w:fill="FFFFFF"/>
                  <w:vAlign w:val="center"/>
                </w:tcPr>
                <w:p w14:paraId="4338541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46FC150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0.02</w:t>
                  </w:r>
                </w:p>
              </w:tc>
            </w:tr>
            <w:tr w14:paraId="0D0CF9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1804515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827" w:type="pct"/>
                  <w:tcBorders>
                    <w:tl2br w:val="nil"/>
                    <w:tr2bl w:val="nil"/>
                  </w:tcBorders>
                  <w:shd w:val="clear" w:color="auto" w:fill="FFFFFF"/>
                  <w:vAlign w:val="center"/>
                </w:tcPr>
                <w:p w14:paraId="051F9B5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0"/>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p>
              </w:tc>
              <w:tc>
                <w:tcPr>
                  <w:tcW w:w="806" w:type="pct"/>
                  <w:tcBorders>
                    <w:tl2br w:val="nil"/>
                    <w:tr2bl w:val="nil"/>
                  </w:tcBorders>
                  <w:shd w:val="clear" w:color="auto" w:fill="FFFFFF"/>
                  <w:vAlign w:val="bottom"/>
                </w:tcPr>
                <w:p w14:paraId="2383F56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713" w:type="pct"/>
                  <w:tcBorders>
                    <w:tl2br w:val="nil"/>
                    <w:tr2bl w:val="nil"/>
                  </w:tcBorders>
                  <w:shd w:val="clear" w:color="auto" w:fill="FFFFFF"/>
                  <w:vAlign w:val="center"/>
                </w:tcPr>
                <w:p w14:paraId="6A5313C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shd w:val="clear" w:color="auto" w:fill="FFFFFF"/>
                  <w:vAlign w:val="center"/>
                </w:tcPr>
                <w:p w14:paraId="177D08D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533EAE89">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0.01</w:t>
                  </w:r>
                </w:p>
              </w:tc>
            </w:tr>
            <w:tr w14:paraId="762E6D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15A1431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827" w:type="pct"/>
                  <w:tcBorders>
                    <w:tl2br w:val="nil"/>
                    <w:tr2bl w:val="nil"/>
                  </w:tcBorders>
                  <w:shd w:val="clear" w:color="auto" w:fill="FFFFFF"/>
                  <w:vAlign w:val="center"/>
                </w:tcPr>
                <w:p w14:paraId="2F032E8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0"/>
                    </w:rPr>
                  </w:pPr>
                  <w:r>
                    <w:rPr>
                      <w:rFonts w:hint="default" w:ascii="Times New Roman" w:hAnsi="Times New Roman" w:eastAsia="仿宋_GB2312" w:cs="Times New Roman"/>
                      <w:color w:val="auto"/>
                      <w:sz w:val="21"/>
                    </w:rPr>
                    <w:t>H</w:t>
                  </w:r>
                  <w:r>
                    <w:rPr>
                      <w:rFonts w:hint="default" w:ascii="Times New Roman" w:hAnsi="Times New Roman" w:eastAsia="仿宋_GB2312" w:cs="Times New Roman"/>
                      <w:color w:val="auto"/>
                      <w:sz w:val="21"/>
                      <w:vertAlign w:val="subscript"/>
                    </w:rPr>
                    <w:t>2</w:t>
                  </w:r>
                  <w:r>
                    <w:rPr>
                      <w:rFonts w:hint="default" w:ascii="Times New Roman" w:hAnsi="Times New Roman" w:eastAsia="仿宋_GB2312" w:cs="Times New Roman"/>
                      <w:color w:val="auto"/>
                      <w:sz w:val="21"/>
                    </w:rPr>
                    <w:t>S</w:t>
                  </w:r>
                </w:p>
              </w:tc>
              <w:tc>
                <w:tcPr>
                  <w:tcW w:w="806" w:type="pct"/>
                  <w:tcBorders>
                    <w:tl2br w:val="nil"/>
                    <w:tr2bl w:val="nil"/>
                  </w:tcBorders>
                  <w:shd w:val="clear" w:color="auto" w:fill="FFFFFF"/>
                  <w:vAlign w:val="bottom"/>
                </w:tcPr>
                <w:p w14:paraId="0FA4B43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713" w:type="pct"/>
                  <w:tcBorders>
                    <w:tl2br w:val="nil"/>
                    <w:tr2bl w:val="nil"/>
                  </w:tcBorders>
                  <w:shd w:val="clear" w:color="auto" w:fill="FFFFFF"/>
                  <w:vAlign w:val="center"/>
                </w:tcPr>
                <w:p w14:paraId="16B0816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shd w:val="clear" w:color="auto" w:fill="FFFFFF"/>
                  <w:vAlign w:val="center"/>
                </w:tcPr>
                <w:p w14:paraId="4758046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6629646F">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0.001</w:t>
                  </w:r>
                </w:p>
              </w:tc>
            </w:tr>
            <w:tr w14:paraId="23AE82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448EBDC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827" w:type="pct"/>
                  <w:tcBorders>
                    <w:tl2br w:val="nil"/>
                    <w:tr2bl w:val="nil"/>
                  </w:tcBorders>
                  <w:shd w:val="clear" w:color="auto" w:fill="FFFFFF"/>
                  <w:vAlign w:val="center"/>
                </w:tcPr>
                <w:p w14:paraId="3B79AB0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highlight w:val="none"/>
                    </w:rPr>
                    <w:t>氯化氢</w:t>
                  </w:r>
                </w:p>
              </w:tc>
              <w:tc>
                <w:tcPr>
                  <w:tcW w:w="806" w:type="pct"/>
                  <w:tcBorders>
                    <w:tl2br w:val="nil"/>
                    <w:tr2bl w:val="nil"/>
                  </w:tcBorders>
                  <w:shd w:val="clear" w:color="auto" w:fill="FFFFFF"/>
                  <w:vAlign w:val="bottom"/>
                </w:tcPr>
                <w:p w14:paraId="41F406A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713" w:type="pct"/>
                  <w:tcBorders>
                    <w:tl2br w:val="nil"/>
                    <w:tr2bl w:val="nil"/>
                  </w:tcBorders>
                  <w:shd w:val="clear" w:color="auto" w:fill="FFFFFF"/>
                  <w:vAlign w:val="center"/>
                </w:tcPr>
                <w:p w14:paraId="631EF36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shd w:val="clear" w:color="auto" w:fill="FFFFFF"/>
                  <w:vAlign w:val="center"/>
                </w:tcPr>
                <w:p w14:paraId="4E4C7CA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39B2911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0.001</w:t>
                  </w:r>
                </w:p>
              </w:tc>
            </w:tr>
            <w:tr w14:paraId="5A260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12BF074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827" w:type="pct"/>
                  <w:tcBorders>
                    <w:tl2br w:val="nil"/>
                    <w:tr2bl w:val="nil"/>
                  </w:tcBorders>
                  <w:shd w:val="clear" w:color="auto" w:fill="FFFFFF"/>
                  <w:vAlign w:val="center"/>
                </w:tcPr>
                <w:p w14:paraId="2C92182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VOCs</w:t>
                  </w:r>
                </w:p>
              </w:tc>
              <w:tc>
                <w:tcPr>
                  <w:tcW w:w="806" w:type="pct"/>
                  <w:tcBorders>
                    <w:tl2br w:val="nil"/>
                    <w:tr2bl w:val="nil"/>
                  </w:tcBorders>
                  <w:shd w:val="clear" w:color="auto" w:fill="FFFFFF"/>
                  <w:vAlign w:val="center"/>
                </w:tcPr>
                <w:p w14:paraId="6679BAE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c>
                <w:tcPr>
                  <w:tcW w:w="713" w:type="pct"/>
                  <w:tcBorders>
                    <w:tl2br w:val="nil"/>
                    <w:tr2bl w:val="nil"/>
                  </w:tcBorders>
                  <w:shd w:val="clear" w:color="auto" w:fill="FFFFFF"/>
                  <w:vAlign w:val="center"/>
                </w:tcPr>
                <w:p w14:paraId="7A6DF01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shd w:val="clear" w:color="auto" w:fill="FFFFFF"/>
                  <w:vAlign w:val="center"/>
                </w:tcPr>
                <w:p w14:paraId="50E6B72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vAlign w:val="center"/>
                </w:tcPr>
                <w:p w14:paraId="49C53E4C">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0.02</w:t>
                  </w:r>
                </w:p>
              </w:tc>
            </w:tr>
            <w:tr w14:paraId="496DD5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restart"/>
                  <w:tcBorders>
                    <w:tl2br w:val="nil"/>
                    <w:tr2bl w:val="nil"/>
                  </w:tcBorders>
                  <w:shd w:val="clear" w:color="auto" w:fill="FFFFFF"/>
                  <w:vAlign w:val="center"/>
                </w:tcPr>
                <w:p w14:paraId="624314B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val="zh-CN"/>
                    </w:rPr>
                    <w:t>接管废水</w:t>
                  </w:r>
                </w:p>
              </w:tc>
              <w:tc>
                <w:tcPr>
                  <w:tcW w:w="827" w:type="pct"/>
                  <w:tcBorders>
                    <w:tl2br w:val="nil"/>
                    <w:tr2bl w:val="nil"/>
                  </w:tcBorders>
                  <w:shd w:val="clear" w:color="auto" w:fill="FFFFFF"/>
                  <w:vAlign w:val="center"/>
                </w:tcPr>
                <w:p w14:paraId="68715A7F">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color w:val="auto"/>
                      <w:sz w:val="21"/>
                      <w:lang w:eastAsia="zh-CN"/>
                    </w:rPr>
                    <w:t>接管</w:t>
                  </w:r>
                  <w:r>
                    <w:rPr>
                      <w:rFonts w:hint="default" w:ascii="Times New Roman" w:hAnsi="Times New Roman" w:eastAsia="仿宋_GB2312" w:cs="Times New Roman"/>
                      <w:color w:val="auto"/>
                      <w:sz w:val="21"/>
                    </w:rPr>
                    <w:t>废水量(m</w:t>
                  </w:r>
                  <w:r>
                    <w:rPr>
                      <w:rFonts w:hint="default" w:ascii="Times New Roman" w:hAnsi="Times New Roman" w:eastAsia="仿宋_GB2312" w:cs="Times New Roman"/>
                      <w:color w:val="auto"/>
                      <w:sz w:val="21"/>
                      <w:vertAlign w:val="superscript"/>
                    </w:rPr>
                    <w:t>3</w:t>
                  </w:r>
                  <w:r>
                    <w:rPr>
                      <w:rFonts w:hint="default" w:ascii="Times New Roman" w:hAnsi="Times New Roman" w:eastAsia="仿宋_GB2312" w:cs="Times New Roman"/>
                      <w:color w:val="auto"/>
                      <w:sz w:val="21"/>
                    </w:rPr>
                    <w:t>/a)</w:t>
                  </w:r>
                </w:p>
              </w:tc>
              <w:tc>
                <w:tcPr>
                  <w:tcW w:w="806" w:type="pct"/>
                  <w:tcBorders>
                    <w:tl2br w:val="nil"/>
                    <w:tr2bl w:val="nil"/>
                  </w:tcBorders>
                  <w:shd w:val="clear" w:color="auto" w:fill="FFFFFF"/>
                  <w:vAlign w:val="center"/>
                </w:tcPr>
                <w:p w14:paraId="4221CFF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szCs w:val="20"/>
                      <w:highlight w:val="none"/>
                      <w:lang w:val="en-US" w:eastAsia="zh-CN"/>
                    </w:rPr>
                  </w:pPr>
                  <w:r>
                    <w:rPr>
                      <w:rFonts w:hint="eastAsia" w:eastAsia="仿宋_GB2312" w:cs="Times New Roman"/>
                      <w:color w:val="auto"/>
                      <w:sz w:val="21"/>
                      <w:szCs w:val="20"/>
                      <w:highlight w:val="none"/>
                      <w:lang w:val="en-US" w:eastAsia="zh-CN"/>
                    </w:rPr>
                    <w:t>1437</w:t>
                  </w:r>
                </w:p>
              </w:tc>
              <w:tc>
                <w:tcPr>
                  <w:tcW w:w="713" w:type="pct"/>
                  <w:tcBorders>
                    <w:tl2br w:val="nil"/>
                    <w:tr2bl w:val="nil"/>
                  </w:tcBorders>
                  <w:shd w:val="clear" w:color="auto" w:fill="FFFFFF"/>
                  <w:vAlign w:val="center"/>
                </w:tcPr>
                <w:p w14:paraId="5180CC5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shd w:val="clear" w:color="auto" w:fill="FFFFFF"/>
                  <w:vAlign w:val="center"/>
                </w:tcPr>
                <w:p w14:paraId="2C263519">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0"/>
                      <w:highlight w:val="none"/>
                      <w:lang w:val="en-US" w:eastAsia="zh-CN" w:bidi="ar-SA"/>
                    </w:rPr>
                  </w:pPr>
                  <w:r>
                    <w:rPr>
                      <w:rFonts w:hint="eastAsia" w:eastAsia="仿宋_GB2312" w:cs="Times New Roman"/>
                      <w:color w:val="auto"/>
                      <w:sz w:val="21"/>
                      <w:szCs w:val="20"/>
                      <w:highlight w:val="none"/>
                      <w:lang w:val="en-US" w:eastAsia="zh-CN"/>
                    </w:rPr>
                    <w:t>1437</w:t>
                  </w:r>
                </w:p>
              </w:tc>
              <w:tc>
                <w:tcPr>
                  <w:tcW w:w="918" w:type="pct"/>
                  <w:tcBorders>
                    <w:tl2br w:val="nil"/>
                    <w:tr2bl w:val="nil"/>
                  </w:tcBorders>
                  <w:shd w:val="clear" w:color="auto" w:fill="FFFFFF"/>
                  <w:vAlign w:val="center"/>
                </w:tcPr>
                <w:p w14:paraId="5B2B4546">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0"/>
                      <w:highlight w:val="none"/>
                      <w:lang w:val="en-US" w:eastAsia="zh-CN" w:bidi="ar-SA"/>
                    </w:rPr>
                  </w:pPr>
                  <w:r>
                    <w:rPr>
                      <w:rFonts w:hint="eastAsia" w:eastAsia="仿宋_GB2312" w:cs="Times New Roman"/>
                      <w:color w:val="auto"/>
                      <w:sz w:val="21"/>
                      <w:szCs w:val="20"/>
                      <w:highlight w:val="none"/>
                      <w:lang w:val="en-US" w:eastAsia="zh-CN"/>
                    </w:rPr>
                    <w:t>1437</w:t>
                  </w:r>
                </w:p>
              </w:tc>
            </w:tr>
            <w:tr w14:paraId="5592B5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61FD0DA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noWrap/>
                  <w:vAlign w:val="center"/>
                </w:tcPr>
                <w:p w14:paraId="40B364F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806" w:type="pct"/>
                  <w:tcBorders>
                    <w:tl2br w:val="nil"/>
                    <w:tr2bl w:val="nil"/>
                  </w:tcBorders>
                  <w:vAlign w:val="center"/>
                </w:tcPr>
                <w:p w14:paraId="41BA1615">
                  <w:pPr>
                    <w:keepNext w:val="0"/>
                    <w:keepLines w:val="0"/>
                    <w:widowControl w:val="0"/>
                    <w:suppressLineNumbers w:val="0"/>
                    <w:snapToGrid w:val="0"/>
                    <w:spacing w:before="0" w:beforeAutospacing="0" w:after="0" w:afterAutospacing="0" w:line="320" w:lineRule="exact"/>
                    <w:ind w:left="0" w:right="0"/>
                    <w:jc w:val="center"/>
                    <w:rPr>
                      <w:rFonts w:hint="default" w:eastAsia="仿宋_GB2312" w:cs="Times New Roman"/>
                      <w:color w:val="auto"/>
                      <w:sz w:val="21"/>
                      <w:szCs w:val="20"/>
                      <w:highlight w:val="none"/>
                      <w:lang w:val="en-US" w:eastAsia="zh-CN"/>
                    </w:rPr>
                  </w:pPr>
                  <w:r>
                    <w:rPr>
                      <w:rFonts w:hint="eastAsia" w:eastAsia="仿宋_GB2312" w:cs="Times New Roman"/>
                      <w:color w:val="auto"/>
                      <w:sz w:val="21"/>
                      <w:szCs w:val="20"/>
                      <w:highlight w:val="none"/>
                      <w:lang w:val="en-US" w:eastAsia="zh-CN"/>
                    </w:rPr>
                    <w:t>0.421</w:t>
                  </w:r>
                </w:p>
              </w:tc>
              <w:tc>
                <w:tcPr>
                  <w:tcW w:w="713" w:type="pct"/>
                  <w:tcBorders>
                    <w:tl2br w:val="nil"/>
                    <w:tr2bl w:val="nil"/>
                  </w:tcBorders>
                  <w:shd w:val="clear" w:color="auto" w:fill="FFFFFF"/>
                  <w:vAlign w:val="center"/>
                </w:tcPr>
                <w:p w14:paraId="03172E3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vAlign w:val="center"/>
                </w:tcPr>
                <w:p w14:paraId="48126C4A">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0.421</w:t>
                  </w:r>
                </w:p>
              </w:tc>
              <w:tc>
                <w:tcPr>
                  <w:tcW w:w="918" w:type="pct"/>
                  <w:tcBorders>
                    <w:tl2br w:val="nil"/>
                    <w:tr2bl w:val="nil"/>
                  </w:tcBorders>
                  <w:vAlign w:val="center"/>
                </w:tcPr>
                <w:p w14:paraId="0BD9DAFE">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0.421</w:t>
                  </w:r>
                </w:p>
              </w:tc>
            </w:tr>
            <w:tr w14:paraId="1829FD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1FFC10E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noWrap/>
                  <w:vAlign w:val="center"/>
                </w:tcPr>
                <w:p w14:paraId="67E7A815">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806" w:type="pct"/>
                  <w:tcBorders>
                    <w:tl2br w:val="nil"/>
                    <w:tr2bl w:val="nil"/>
                  </w:tcBorders>
                  <w:vAlign w:val="center"/>
                </w:tcPr>
                <w:p w14:paraId="52E3D254">
                  <w:pPr>
                    <w:keepNext w:val="0"/>
                    <w:keepLines w:val="0"/>
                    <w:widowControl w:val="0"/>
                    <w:suppressLineNumbers w:val="0"/>
                    <w:snapToGrid w:val="0"/>
                    <w:spacing w:before="0" w:beforeAutospacing="0" w:after="0" w:afterAutospacing="0" w:line="320" w:lineRule="exact"/>
                    <w:ind w:left="0" w:right="0"/>
                    <w:jc w:val="center"/>
                    <w:rPr>
                      <w:rFonts w:hint="default" w:eastAsia="仿宋_GB2312" w:cs="Times New Roman"/>
                      <w:color w:val="auto"/>
                      <w:sz w:val="21"/>
                      <w:szCs w:val="20"/>
                      <w:highlight w:val="none"/>
                      <w:lang w:val="en-US" w:eastAsia="zh-CN"/>
                    </w:rPr>
                  </w:pPr>
                  <w:r>
                    <w:rPr>
                      <w:rFonts w:hint="eastAsia" w:eastAsia="仿宋_GB2312" w:cs="Times New Roman"/>
                      <w:color w:val="auto"/>
                      <w:sz w:val="21"/>
                      <w:szCs w:val="20"/>
                      <w:highlight w:val="none"/>
                      <w:lang w:val="en-US" w:eastAsia="zh-CN"/>
                    </w:rPr>
                    <w:t>0.221</w:t>
                  </w:r>
                </w:p>
              </w:tc>
              <w:tc>
                <w:tcPr>
                  <w:tcW w:w="713" w:type="pct"/>
                  <w:tcBorders>
                    <w:tl2br w:val="nil"/>
                    <w:tr2bl w:val="nil"/>
                  </w:tcBorders>
                  <w:shd w:val="clear" w:color="auto" w:fill="FFFFFF"/>
                  <w:vAlign w:val="center"/>
                </w:tcPr>
                <w:p w14:paraId="53C1449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vAlign w:val="center"/>
                </w:tcPr>
                <w:p w14:paraId="147B9CAF">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0.221</w:t>
                  </w:r>
                </w:p>
              </w:tc>
              <w:tc>
                <w:tcPr>
                  <w:tcW w:w="918" w:type="pct"/>
                  <w:tcBorders>
                    <w:tl2br w:val="nil"/>
                    <w:tr2bl w:val="nil"/>
                  </w:tcBorders>
                  <w:vAlign w:val="center"/>
                </w:tcPr>
                <w:p w14:paraId="69D2E1AC">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0.221</w:t>
                  </w:r>
                </w:p>
              </w:tc>
            </w:tr>
            <w:tr w14:paraId="387C46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F088D8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noWrap/>
                  <w:vAlign w:val="center"/>
                </w:tcPr>
                <w:p w14:paraId="23CF2961">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806" w:type="pct"/>
                  <w:tcBorders>
                    <w:tl2br w:val="nil"/>
                    <w:tr2bl w:val="nil"/>
                  </w:tcBorders>
                  <w:vAlign w:val="center"/>
                </w:tcPr>
                <w:p w14:paraId="678A5459">
                  <w:pPr>
                    <w:keepNext w:val="0"/>
                    <w:keepLines w:val="0"/>
                    <w:widowControl w:val="0"/>
                    <w:suppressLineNumbers w:val="0"/>
                    <w:snapToGrid w:val="0"/>
                    <w:spacing w:before="0" w:beforeAutospacing="0" w:after="0" w:afterAutospacing="0" w:line="320" w:lineRule="exact"/>
                    <w:ind w:left="0" w:right="0"/>
                    <w:jc w:val="center"/>
                    <w:rPr>
                      <w:rFonts w:hint="default" w:eastAsia="仿宋_GB2312" w:cs="Times New Roman"/>
                      <w:color w:val="auto"/>
                      <w:sz w:val="21"/>
                      <w:szCs w:val="20"/>
                      <w:highlight w:val="none"/>
                      <w:lang w:val="en-US" w:eastAsia="zh-CN"/>
                    </w:rPr>
                  </w:pPr>
                  <w:r>
                    <w:rPr>
                      <w:rFonts w:hint="eastAsia" w:eastAsia="仿宋_GB2312" w:cs="Times New Roman"/>
                      <w:color w:val="auto"/>
                      <w:sz w:val="21"/>
                      <w:szCs w:val="20"/>
                      <w:highlight w:val="none"/>
                      <w:lang w:val="en-US" w:eastAsia="zh-CN"/>
                    </w:rPr>
                    <w:t>0.03</w:t>
                  </w:r>
                </w:p>
              </w:tc>
              <w:tc>
                <w:tcPr>
                  <w:tcW w:w="713" w:type="pct"/>
                  <w:tcBorders>
                    <w:tl2br w:val="nil"/>
                    <w:tr2bl w:val="nil"/>
                  </w:tcBorders>
                  <w:shd w:val="clear" w:color="auto" w:fill="FFFFFF"/>
                  <w:vAlign w:val="center"/>
                </w:tcPr>
                <w:p w14:paraId="6FEA20D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vAlign w:val="center"/>
                </w:tcPr>
                <w:p w14:paraId="4B2E5CC7">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0.03</w:t>
                  </w:r>
                </w:p>
              </w:tc>
              <w:tc>
                <w:tcPr>
                  <w:tcW w:w="918" w:type="pct"/>
                  <w:tcBorders>
                    <w:tl2br w:val="nil"/>
                    <w:tr2bl w:val="nil"/>
                  </w:tcBorders>
                  <w:vAlign w:val="center"/>
                </w:tcPr>
                <w:p w14:paraId="7F828E85">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0.03</w:t>
                  </w:r>
                </w:p>
              </w:tc>
            </w:tr>
            <w:tr w14:paraId="0E67C7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14A1C8E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noWrap/>
                  <w:vAlign w:val="center"/>
                </w:tcPr>
                <w:p w14:paraId="763E3B14">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806" w:type="pct"/>
                  <w:tcBorders>
                    <w:tl2br w:val="nil"/>
                    <w:tr2bl w:val="nil"/>
                  </w:tcBorders>
                  <w:vAlign w:val="center"/>
                </w:tcPr>
                <w:p w14:paraId="61E23B2D">
                  <w:pPr>
                    <w:keepNext w:val="0"/>
                    <w:keepLines w:val="0"/>
                    <w:widowControl w:val="0"/>
                    <w:suppressLineNumbers w:val="0"/>
                    <w:snapToGrid w:val="0"/>
                    <w:spacing w:before="0" w:beforeAutospacing="0" w:after="0" w:afterAutospacing="0" w:line="320" w:lineRule="exact"/>
                    <w:ind w:left="0" w:right="0"/>
                    <w:jc w:val="center"/>
                    <w:rPr>
                      <w:rFonts w:hint="default" w:eastAsia="仿宋_GB2312" w:cs="Times New Roman"/>
                      <w:color w:val="auto"/>
                      <w:sz w:val="21"/>
                      <w:szCs w:val="20"/>
                      <w:highlight w:val="none"/>
                      <w:lang w:val="en-US" w:eastAsia="zh-CN"/>
                    </w:rPr>
                  </w:pPr>
                  <w:r>
                    <w:rPr>
                      <w:rFonts w:hint="eastAsia" w:eastAsia="仿宋_GB2312" w:cs="Times New Roman"/>
                      <w:color w:val="auto"/>
                      <w:sz w:val="21"/>
                      <w:szCs w:val="20"/>
                      <w:highlight w:val="none"/>
                      <w:lang w:val="en-US" w:eastAsia="zh-CN"/>
                    </w:rPr>
                    <w:t>0.05</w:t>
                  </w:r>
                </w:p>
              </w:tc>
              <w:tc>
                <w:tcPr>
                  <w:tcW w:w="713" w:type="pct"/>
                  <w:tcBorders>
                    <w:tl2br w:val="nil"/>
                    <w:tr2bl w:val="nil"/>
                  </w:tcBorders>
                  <w:shd w:val="clear" w:color="auto" w:fill="FFFFFF"/>
                  <w:vAlign w:val="center"/>
                </w:tcPr>
                <w:p w14:paraId="7E5A92D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vAlign w:val="center"/>
                </w:tcPr>
                <w:p w14:paraId="2B652772">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0.05</w:t>
                  </w:r>
                </w:p>
              </w:tc>
              <w:tc>
                <w:tcPr>
                  <w:tcW w:w="918" w:type="pct"/>
                  <w:tcBorders>
                    <w:tl2br w:val="nil"/>
                    <w:tr2bl w:val="nil"/>
                  </w:tcBorders>
                  <w:vAlign w:val="center"/>
                </w:tcPr>
                <w:p w14:paraId="5585C4A7">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0.05</w:t>
                  </w:r>
                </w:p>
              </w:tc>
            </w:tr>
            <w:tr w14:paraId="746228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58A300D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noWrap/>
                  <w:vAlign w:val="center"/>
                </w:tcPr>
                <w:p w14:paraId="5E8FF9A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806" w:type="pct"/>
                  <w:tcBorders>
                    <w:tl2br w:val="nil"/>
                    <w:tr2bl w:val="nil"/>
                  </w:tcBorders>
                  <w:vAlign w:val="center"/>
                </w:tcPr>
                <w:p w14:paraId="39D91DEA">
                  <w:pPr>
                    <w:keepNext w:val="0"/>
                    <w:keepLines w:val="0"/>
                    <w:widowControl w:val="0"/>
                    <w:suppressLineNumbers w:val="0"/>
                    <w:snapToGrid w:val="0"/>
                    <w:spacing w:before="0" w:beforeAutospacing="0" w:after="0" w:afterAutospacing="0" w:line="320" w:lineRule="exact"/>
                    <w:ind w:left="0" w:right="0"/>
                    <w:jc w:val="center"/>
                    <w:rPr>
                      <w:rFonts w:hint="default" w:eastAsia="仿宋_GB2312" w:cs="Times New Roman"/>
                      <w:color w:val="auto"/>
                      <w:sz w:val="21"/>
                      <w:szCs w:val="20"/>
                      <w:highlight w:val="none"/>
                      <w:lang w:val="en-US" w:eastAsia="zh-CN"/>
                    </w:rPr>
                  </w:pPr>
                  <w:r>
                    <w:rPr>
                      <w:rFonts w:hint="eastAsia" w:eastAsia="仿宋_GB2312" w:cs="Times New Roman"/>
                      <w:color w:val="auto"/>
                      <w:sz w:val="21"/>
                      <w:szCs w:val="20"/>
                      <w:highlight w:val="none"/>
                      <w:lang w:val="en-US" w:eastAsia="zh-CN"/>
                    </w:rPr>
                    <w:t>0.002</w:t>
                  </w:r>
                </w:p>
              </w:tc>
              <w:tc>
                <w:tcPr>
                  <w:tcW w:w="713" w:type="pct"/>
                  <w:tcBorders>
                    <w:tl2br w:val="nil"/>
                    <w:tr2bl w:val="nil"/>
                  </w:tcBorders>
                  <w:shd w:val="clear" w:color="auto" w:fill="FFFFFF"/>
                  <w:vAlign w:val="center"/>
                </w:tcPr>
                <w:p w14:paraId="20697E5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vAlign w:val="center"/>
                </w:tcPr>
                <w:p w14:paraId="22C3A0FB">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0.002</w:t>
                  </w:r>
                </w:p>
              </w:tc>
              <w:tc>
                <w:tcPr>
                  <w:tcW w:w="918" w:type="pct"/>
                  <w:tcBorders>
                    <w:tl2br w:val="nil"/>
                    <w:tr2bl w:val="nil"/>
                  </w:tcBorders>
                  <w:vAlign w:val="center"/>
                </w:tcPr>
                <w:p w14:paraId="698B5C24">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0.002</w:t>
                  </w:r>
                </w:p>
              </w:tc>
            </w:tr>
            <w:tr w14:paraId="1E7EF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3EDC7AF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shd w:val="clear" w:color="auto" w:fill="FFFFFF"/>
                  <w:noWrap/>
                  <w:vAlign w:val="center"/>
                </w:tcPr>
                <w:p w14:paraId="0029E82D">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806" w:type="pct"/>
                  <w:tcBorders>
                    <w:tl2br w:val="nil"/>
                    <w:tr2bl w:val="nil"/>
                  </w:tcBorders>
                  <w:vAlign w:val="center"/>
                </w:tcPr>
                <w:p w14:paraId="262ABCFD">
                  <w:pPr>
                    <w:keepNext w:val="0"/>
                    <w:keepLines w:val="0"/>
                    <w:widowControl w:val="0"/>
                    <w:suppressLineNumbers w:val="0"/>
                    <w:snapToGrid w:val="0"/>
                    <w:spacing w:before="0" w:beforeAutospacing="0" w:after="0" w:afterAutospacing="0" w:line="320" w:lineRule="exact"/>
                    <w:ind w:left="0" w:right="0"/>
                    <w:jc w:val="center"/>
                    <w:rPr>
                      <w:rFonts w:hint="default" w:eastAsia="仿宋_GB2312" w:cs="Times New Roman"/>
                      <w:color w:val="auto"/>
                      <w:sz w:val="21"/>
                      <w:szCs w:val="20"/>
                      <w:highlight w:val="none"/>
                      <w:lang w:val="en-US" w:eastAsia="zh-CN"/>
                    </w:rPr>
                  </w:pPr>
                  <w:r>
                    <w:rPr>
                      <w:rFonts w:hint="eastAsia" w:eastAsia="仿宋_GB2312" w:cs="Times New Roman"/>
                      <w:color w:val="auto"/>
                      <w:sz w:val="21"/>
                      <w:szCs w:val="20"/>
                      <w:highlight w:val="none"/>
                      <w:lang w:val="en-US" w:eastAsia="zh-CN"/>
                    </w:rPr>
                    <w:t>0.935</w:t>
                  </w:r>
                </w:p>
              </w:tc>
              <w:tc>
                <w:tcPr>
                  <w:tcW w:w="713" w:type="pct"/>
                  <w:tcBorders>
                    <w:tl2br w:val="nil"/>
                    <w:tr2bl w:val="nil"/>
                  </w:tcBorders>
                  <w:shd w:val="clear" w:color="auto" w:fill="FFFFFF"/>
                  <w:vAlign w:val="center"/>
                </w:tcPr>
                <w:p w14:paraId="5793A67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p>
              </w:tc>
              <w:tc>
                <w:tcPr>
                  <w:tcW w:w="918" w:type="pct"/>
                  <w:tcBorders>
                    <w:tl2br w:val="nil"/>
                    <w:tr2bl w:val="nil"/>
                  </w:tcBorders>
                  <w:vAlign w:val="center"/>
                </w:tcPr>
                <w:p w14:paraId="40EA0645">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0.935</w:t>
                  </w:r>
                </w:p>
              </w:tc>
              <w:tc>
                <w:tcPr>
                  <w:tcW w:w="918" w:type="pct"/>
                  <w:tcBorders>
                    <w:tl2br w:val="nil"/>
                    <w:tr2bl w:val="nil"/>
                  </w:tcBorders>
                  <w:vAlign w:val="center"/>
                </w:tcPr>
                <w:p w14:paraId="1324A22C">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1"/>
                      <w:highlight w:val="yellow"/>
                      <w:lang w:val="en-US" w:eastAsia="zh-CN" w:bidi="ar-SA"/>
                    </w:rPr>
                  </w:pPr>
                  <w:r>
                    <w:rPr>
                      <w:rFonts w:hint="eastAsia" w:eastAsia="仿宋_GB2312" w:cs="Times New Roman"/>
                      <w:color w:val="auto"/>
                      <w:sz w:val="21"/>
                      <w:szCs w:val="20"/>
                      <w:highlight w:val="none"/>
                      <w:lang w:val="en-US" w:eastAsia="zh-CN"/>
                    </w:rPr>
                    <w:t>0.935</w:t>
                  </w:r>
                </w:p>
              </w:tc>
            </w:tr>
            <w:tr w14:paraId="2B2981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restart"/>
                  <w:tcBorders>
                    <w:tl2br w:val="nil"/>
                    <w:tr2bl w:val="nil"/>
                  </w:tcBorders>
                  <w:shd w:val="clear" w:color="auto" w:fill="FFFFFF"/>
                  <w:vAlign w:val="center"/>
                </w:tcPr>
                <w:p w14:paraId="742DC0C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固废</w:t>
                  </w:r>
                </w:p>
              </w:tc>
              <w:tc>
                <w:tcPr>
                  <w:tcW w:w="827" w:type="pct"/>
                  <w:tcBorders>
                    <w:tl2br w:val="nil"/>
                    <w:tr2bl w:val="nil"/>
                  </w:tcBorders>
                  <w:vAlign w:val="center"/>
                </w:tcPr>
                <w:p w14:paraId="3357F9E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沾染危险化学品的废包装材料</w:t>
                  </w:r>
                </w:p>
              </w:tc>
              <w:tc>
                <w:tcPr>
                  <w:tcW w:w="806" w:type="pct"/>
                  <w:tcBorders>
                    <w:tl2br w:val="nil"/>
                    <w:tr2bl w:val="nil"/>
                  </w:tcBorders>
                  <w:noWrap/>
                  <w:vAlign w:val="center"/>
                </w:tcPr>
                <w:p w14:paraId="1AF169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0.3702</w:t>
                  </w:r>
                </w:p>
              </w:tc>
              <w:tc>
                <w:tcPr>
                  <w:tcW w:w="713" w:type="pct"/>
                  <w:tcBorders>
                    <w:tl2br w:val="nil"/>
                    <w:tr2bl w:val="nil"/>
                  </w:tcBorders>
                  <w:vAlign w:val="center"/>
                </w:tcPr>
                <w:p w14:paraId="2D4DD6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0.3702</w:t>
                  </w:r>
                </w:p>
              </w:tc>
              <w:tc>
                <w:tcPr>
                  <w:tcW w:w="918" w:type="pct"/>
                  <w:tcBorders>
                    <w:tl2br w:val="nil"/>
                    <w:tr2bl w:val="nil"/>
                  </w:tcBorders>
                  <w:shd w:val="clear" w:color="auto" w:fill="FFFFFF"/>
                  <w:noWrap/>
                  <w:vAlign w:val="center"/>
                </w:tcPr>
                <w:p w14:paraId="42995C9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78E5B2C9">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73ED75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54A7C52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559CCA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车间清洁废物</w:t>
                  </w:r>
                </w:p>
              </w:tc>
              <w:tc>
                <w:tcPr>
                  <w:tcW w:w="806" w:type="pct"/>
                  <w:tcBorders>
                    <w:tl2br w:val="nil"/>
                    <w:tr2bl w:val="nil"/>
                  </w:tcBorders>
                  <w:noWrap/>
                  <w:vAlign w:val="center"/>
                </w:tcPr>
                <w:p w14:paraId="7314E3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0.2</w:t>
                  </w:r>
                </w:p>
              </w:tc>
              <w:tc>
                <w:tcPr>
                  <w:tcW w:w="713" w:type="pct"/>
                  <w:tcBorders>
                    <w:tl2br w:val="nil"/>
                    <w:tr2bl w:val="nil"/>
                  </w:tcBorders>
                  <w:vAlign w:val="center"/>
                </w:tcPr>
                <w:p w14:paraId="503BD23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0.2</w:t>
                  </w:r>
                </w:p>
              </w:tc>
              <w:tc>
                <w:tcPr>
                  <w:tcW w:w="918" w:type="pct"/>
                  <w:tcBorders>
                    <w:tl2br w:val="nil"/>
                    <w:tr2bl w:val="nil"/>
                  </w:tcBorders>
                  <w:shd w:val="clear" w:color="auto" w:fill="FFFFFF"/>
                  <w:noWrap/>
                  <w:vAlign w:val="center"/>
                </w:tcPr>
                <w:p w14:paraId="6D5E5D5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68A5222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644159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CC5868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053C895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废矿物油</w:t>
                  </w:r>
                </w:p>
              </w:tc>
              <w:tc>
                <w:tcPr>
                  <w:tcW w:w="806" w:type="pct"/>
                  <w:tcBorders>
                    <w:tl2br w:val="nil"/>
                    <w:tr2bl w:val="nil"/>
                  </w:tcBorders>
                  <w:noWrap/>
                  <w:vAlign w:val="center"/>
                </w:tcPr>
                <w:p w14:paraId="66F987C2">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eastAsia="zh-CN"/>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w:t>
                  </w:r>
                </w:p>
              </w:tc>
              <w:tc>
                <w:tcPr>
                  <w:tcW w:w="713" w:type="pct"/>
                  <w:tcBorders>
                    <w:tl2br w:val="nil"/>
                    <w:tr2bl w:val="nil"/>
                  </w:tcBorders>
                  <w:vAlign w:val="center"/>
                </w:tcPr>
                <w:p w14:paraId="38B08C51">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eastAsia="zh-CN"/>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w:t>
                  </w:r>
                </w:p>
              </w:tc>
              <w:tc>
                <w:tcPr>
                  <w:tcW w:w="918" w:type="pct"/>
                  <w:tcBorders>
                    <w:tl2br w:val="nil"/>
                    <w:tr2bl w:val="nil"/>
                  </w:tcBorders>
                  <w:shd w:val="clear" w:color="auto" w:fill="FFFFFF"/>
                  <w:noWrap/>
                  <w:vAlign w:val="center"/>
                </w:tcPr>
                <w:p w14:paraId="06CBE57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0A4240C7">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324008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5808B30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0F670E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废树脂</w:t>
                  </w:r>
                </w:p>
              </w:tc>
              <w:tc>
                <w:tcPr>
                  <w:tcW w:w="806" w:type="pct"/>
                  <w:tcBorders>
                    <w:tl2br w:val="nil"/>
                    <w:tr2bl w:val="nil"/>
                  </w:tcBorders>
                  <w:noWrap/>
                  <w:vAlign w:val="center"/>
                </w:tcPr>
                <w:p w14:paraId="500A82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0.37</w:t>
                  </w:r>
                </w:p>
              </w:tc>
              <w:tc>
                <w:tcPr>
                  <w:tcW w:w="713" w:type="pct"/>
                  <w:tcBorders>
                    <w:tl2br w:val="nil"/>
                    <w:tr2bl w:val="nil"/>
                  </w:tcBorders>
                  <w:vAlign w:val="center"/>
                </w:tcPr>
                <w:p w14:paraId="6C41A2B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0.37</w:t>
                  </w:r>
                </w:p>
              </w:tc>
              <w:tc>
                <w:tcPr>
                  <w:tcW w:w="918" w:type="pct"/>
                  <w:tcBorders>
                    <w:tl2br w:val="nil"/>
                    <w:tr2bl w:val="nil"/>
                  </w:tcBorders>
                  <w:shd w:val="clear" w:color="auto" w:fill="FFFFFF"/>
                  <w:noWrap/>
                  <w:vAlign w:val="center"/>
                </w:tcPr>
                <w:p w14:paraId="6C3AD52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50702350">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030B3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3201B0C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7FCA9FF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废陶瓷膜</w:t>
                  </w:r>
                </w:p>
              </w:tc>
              <w:tc>
                <w:tcPr>
                  <w:tcW w:w="806" w:type="pct"/>
                  <w:tcBorders>
                    <w:tl2br w:val="nil"/>
                    <w:tr2bl w:val="nil"/>
                  </w:tcBorders>
                  <w:noWrap/>
                  <w:vAlign w:val="center"/>
                </w:tcPr>
                <w:p w14:paraId="3F33D77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w:t>
                  </w:r>
                </w:p>
              </w:tc>
              <w:tc>
                <w:tcPr>
                  <w:tcW w:w="713" w:type="pct"/>
                  <w:tcBorders>
                    <w:tl2br w:val="nil"/>
                    <w:tr2bl w:val="nil"/>
                  </w:tcBorders>
                  <w:vAlign w:val="center"/>
                </w:tcPr>
                <w:p w14:paraId="6E85ADE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w:t>
                  </w:r>
                </w:p>
              </w:tc>
              <w:tc>
                <w:tcPr>
                  <w:tcW w:w="918" w:type="pct"/>
                  <w:tcBorders>
                    <w:tl2br w:val="nil"/>
                    <w:tr2bl w:val="nil"/>
                  </w:tcBorders>
                  <w:shd w:val="clear" w:color="auto" w:fill="FFFFFF"/>
                  <w:noWrap/>
                  <w:vAlign w:val="center"/>
                </w:tcPr>
                <w:p w14:paraId="1A7DAC7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25FCCB73">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159345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5893530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08FE3C7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废超滤、纳滤膜</w:t>
                  </w:r>
                </w:p>
              </w:tc>
              <w:tc>
                <w:tcPr>
                  <w:tcW w:w="806" w:type="pct"/>
                  <w:tcBorders>
                    <w:tl2br w:val="nil"/>
                    <w:tr2bl w:val="nil"/>
                  </w:tcBorders>
                  <w:noWrap/>
                  <w:vAlign w:val="center"/>
                </w:tcPr>
                <w:p w14:paraId="7F83B59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0.2</w:t>
                  </w:r>
                </w:p>
              </w:tc>
              <w:tc>
                <w:tcPr>
                  <w:tcW w:w="713" w:type="pct"/>
                  <w:tcBorders>
                    <w:tl2br w:val="nil"/>
                    <w:tr2bl w:val="nil"/>
                  </w:tcBorders>
                  <w:vAlign w:val="center"/>
                </w:tcPr>
                <w:p w14:paraId="5127D3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0.2</w:t>
                  </w:r>
                </w:p>
              </w:tc>
              <w:tc>
                <w:tcPr>
                  <w:tcW w:w="918" w:type="pct"/>
                  <w:tcBorders>
                    <w:tl2br w:val="nil"/>
                    <w:tr2bl w:val="nil"/>
                  </w:tcBorders>
                  <w:shd w:val="clear" w:color="auto" w:fill="FFFFFF"/>
                  <w:noWrap/>
                  <w:vAlign w:val="center"/>
                </w:tcPr>
                <w:p w14:paraId="01F242C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7AE30767">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42ED84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203ED8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5C4BFD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废活性炭</w:t>
                  </w:r>
                </w:p>
              </w:tc>
              <w:tc>
                <w:tcPr>
                  <w:tcW w:w="806" w:type="pct"/>
                  <w:tcBorders>
                    <w:tl2br w:val="nil"/>
                    <w:tr2bl w:val="nil"/>
                  </w:tcBorders>
                  <w:noWrap/>
                  <w:vAlign w:val="center"/>
                </w:tcPr>
                <w:p w14:paraId="1ACE493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3.9</w:t>
                  </w:r>
                </w:p>
              </w:tc>
              <w:tc>
                <w:tcPr>
                  <w:tcW w:w="713" w:type="pct"/>
                  <w:tcBorders>
                    <w:tl2br w:val="nil"/>
                    <w:tr2bl w:val="nil"/>
                  </w:tcBorders>
                  <w:vAlign w:val="center"/>
                </w:tcPr>
                <w:p w14:paraId="103D05C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3.9</w:t>
                  </w:r>
                </w:p>
              </w:tc>
              <w:tc>
                <w:tcPr>
                  <w:tcW w:w="918" w:type="pct"/>
                  <w:tcBorders>
                    <w:tl2br w:val="nil"/>
                    <w:tr2bl w:val="nil"/>
                  </w:tcBorders>
                  <w:shd w:val="clear" w:color="auto" w:fill="FFFFFF"/>
                  <w:noWrap/>
                  <w:vAlign w:val="center"/>
                </w:tcPr>
                <w:p w14:paraId="3A9DE90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58CB0BB4">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437B07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65FF05A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36EE08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蒸发残渣</w:t>
                  </w:r>
                </w:p>
              </w:tc>
              <w:tc>
                <w:tcPr>
                  <w:tcW w:w="806" w:type="pct"/>
                  <w:tcBorders>
                    <w:tl2br w:val="nil"/>
                    <w:tr2bl w:val="nil"/>
                  </w:tcBorders>
                  <w:noWrap/>
                  <w:vAlign w:val="center"/>
                </w:tcPr>
                <w:p w14:paraId="3448616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4.9</w:t>
                  </w:r>
                </w:p>
              </w:tc>
              <w:tc>
                <w:tcPr>
                  <w:tcW w:w="713" w:type="pct"/>
                  <w:tcBorders>
                    <w:tl2br w:val="nil"/>
                    <w:tr2bl w:val="nil"/>
                  </w:tcBorders>
                  <w:vAlign w:val="center"/>
                </w:tcPr>
                <w:p w14:paraId="16C6215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4.9</w:t>
                  </w:r>
                </w:p>
              </w:tc>
              <w:tc>
                <w:tcPr>
                  <w:tcW w:w="918" w:type="pct"/>
                  <w:tcBorders>
                    <w:tl2br w:val="nil"/>
                    <w:tr2bl w:val="nil"/>
                  </w:tcBorders>
                  <w:shd w:val="clear" w:color="auto" w:fill="FFFFFF"/>
                  <w:noWrap/>
                  <w:vAlign w:val="center"/>
                </w:tcPr>
                <w:p w14:paraId="0714DD2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6CFE4080">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3EF6A1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316B16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0EC953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污泥</w:t>
                  </w:r>
                </w:p>
              </w:tc>
              <w:tc>
                <w:tcPr>
                  <w:tcW w:w="806" w:type="pct"/>
                  <w:tcBorders>
                    <w:tl2br w:val="nil"/>
                    <w:tr2bl w:val="nil"/>
                  </w:tcBorders>
                  <w:noWrap/>
                  <w:vAlign w:val="center"/>
                </w:tcPr>
                <w:p w14:paraId="06D33DA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c>
                <w:tcPr>
                  <w:tcW w:w="713" w:type="pct"/>
                  <w:tcBorders>
                    <w:tl2br w:val="nil"/>
                    <w:tr2bl w:val="nil"/>
                  </w:tcBorders>
                  <w:vAlign w:val="center"/>
                </w:tcPr>
                <w:p w14:paraId="4F4BE8B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c>
                <w:tcPr>
                  <w:tcW w:w="918" w:type="pct"/>
                  <w:tcBorders>
                    <w:tl2br w:val="nil"/>
                    <w:tr2bl w:val="nil"/>
                  </w:tcBorders>
                  <w:shd w:val="clear" w:color="auto" w:fill="FFFFFF"/>
                  <w:noWrap/>
                  <w:vAlign w:val="center"/>
                </w:tcPr>
                <w:p w14:paraId="7170DEC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3B5D8405">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26DC9A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3E53816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78E93F1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质检区废物</w:t>
                  </w:r>
                </w:p>
              </w:tc>
              <w:tc>
                <w:tcPr>
                  <w:tcW w:w="806" w:type="pct"/>
                  <w:tcBorders>
                    <w:tl2br w:val="nil"/>
                    <w:tr2bl w:val="nil"/>
                  </w:tcBorders>
                  <w:noWrap/>
                  <w:vAlign w:val="center"/>
                </w:tcPr>
                <w:p w14:paraId="2478D97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0.5</w:t>
                  </w:r>
                </w:p>
              </w:tc>
              <w:tc>
                <w:tcPr>
                  <w:tcW w:w="713" w:type="pct"/>
                  <w:tcBorders>
                    <w:tl2br w:val="nil"/>
                    <w:tr2bl w:val="nil"/>
                  </w:tcBorders>
                  <w:vAlign w:val="center"/>
                </w:tcPr>
                <w:p w14:paraId="2AB63F6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0.5</w:t>
                  </w:r>
                </w:p>
              </w:tc>
              <w:tc>
                <w:tcPr>
                  <w:tcW w:w="918" w:type="pct"/>
                  <w:tcBorders>
                    <w:tl2br w:val="nil"/>
                    <w:tr2bl w:val="nil"/>
                  </w:tcBorders>
                  <w:shd w:val="clear" w:color="auto" w:fill="FFFFFF"/>
                  <w:noWrap/>
                  <w:vAlign w:val="center"/>
                </w:tcPr>
                <w:p w14:paraId="268AAE6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59971EC9">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6A8A29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22EBD15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7B2279D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未沾染危险废物的废包装材料</w:t>
                  </w:r>
                </w:p>
              </w:tc>
              <w:tc>
                <w:tcPr>
                  <w:tcW w:w="806" w:type="pct"/>
                  <w:tcBorders>
                    <w:tl2br w:val="nil"/>
                    <w:tr2bl w:val="nil"/>
                  </w:tcBorders>
                  <w:noWrap/>
                  <w:vAlign w:val="center"/>
                </w:tcPr>
                <w:p w14:paraId="5AFC22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0.53</w:t>
                  </w:r>
                </w:p>
              </w:tc>
              <w:tc>
                <w:tcPr>
                  <w:tcW w:w="713" w:type="pct"/>
                  <w:tcBorders>
                    <w:tl2br w:val="nil"/>
                    <w:tr2bl w:val="nil"/>
                  </w:tcBorders>
                  <w:vAlign w:val="center"/>
                </w:tcPr>
                <w:p w14:paraId="3E92290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rPr>
                  </w:pPr>
                  <w:r>
                    <w:rPr>
                      <w:rFonts w:hint="eastAsia" w:eastAsia="仿宋_GB2312" w:cs="Times New Roman"/>
                      <w:color w:val="auto"/>
                      <w:kern w:val="0"/>
                      <w:sz w:val="21"/>
                      <w:lang w:val="en-US" w:eastAsia="zh-CN"/>
                    </w:rPr>
                    <w:t>0.53</w:t>
                  </w:r>
                </w:p>
              </w:tc>
              <w:tc>
                <w:tcPr>
                  <w:tcW w:w="918" w:type="pct"/>
                  <w:tcBorders>
                    <w:tl2br w:val="nil"/>
                    <w:tr2bl w:val="nil"/>
                  </w:tcBorders>
                  <w:shd w:val="clear" w:color="auto" w:fill="FFFFFF"/>
                  <w:noWrap/>
                  <w:vAlign w:val="center"/>
                </w:tcPr>
                <w:p w14:paraId="170B089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536F51B0">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486A50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471DD73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1D13DBA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浓缩菌液</w:t>
                  </w:r>
                </w:p>
              </w:tc>
              <w:tc>
                <w:tcPr>
                  <w:tcW w:w="806" w:type="pct"/>
                  <w:tcBorders>
                    <w:tl2br w:val="nil"/>
                    <w:tr2bl w:val="nil"/>
                  </w:tcBorders>
                  <w:noWrap/>
                  <w:vAlign w:val="center"/>
                </w:tcPr>
                <w:p w14:paraId="57BF0F0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10.872</w:t>
                  </w:r>
                </w:p>
              </w:tc>
              <w:tc>
                <w:tcPr>
                  <w:tcW w:w="713" w:type="pct"/>
                  <w:tcBorders>
                    <w:tl2br w:val="nil"/>
                    <w:tr2bl w:val="nil"/>
                  </w:tcBorders>
                  <w:vAlign w:val="center"/>
                </w:tcPr>
                <w:p w14:paraId="79F4FEA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10.872</w:t>
                  </w:r>
                </w:p>
              </w:tc>
              <w:tc>
                <w:tcPr>
                  <w:tcW w:w="918" w:type="pct"/>
                  <w:tcBorders>
                    <w:tl2br w:val="nil"/>
                    <w:tr2bl w:val="nil"/>
                  </w:tcBorders>
                  <w:shd w:val="clear" w:color="auto" w:fill="FFFFFF"/>
                  <w:noWrap/>
                  <w:vAlign w:val="center"/>
                </w:tcPr>
                <w:p w14:paraId="1F9E3C7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2BD932A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70424F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49D7A58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35BE188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废活性炭</w:t>
                  </w:r>
                </w:p>
              </w:tc>
              <w:tc>
                <w:tcPr>
                  <w:tcW w:w="806" w:type="pct"/>
                  <w:tcBorders>
                    <w:tl2br w:val="nil"/>
                    <w:tr2bl w:val="nil"/>
                  </w:tcBorders>
                  <w:noWrap/>
                  <w:vAlign w:val="center"/>
                </w:tcPr>
                <w:p w14:paraId="6284AC4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0.8</w:t>
                  </w:r>
                </w:p>
              </w:tc>
              <w:tc>
                <w:tcPr>
                  <w:tcW w:w="713" w:type="pct"/>
                  <w:tcBorders>
                    <w:tl2br w:val="nil"/>
                    <w:tr2bl w:val="nil"/>
                  </w:tcBorders>
                  <w:vAlign w:val="center"/>
                </w:tcPr>
                <w:p w14:paraId="34424EB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0.8</w:t>
                  </w:r>
                </w:p>
              </w:tc>
              <w:tc>
                <w:tcPr>
                  <w:tcW w:w="918" w:type="pct"/>
                  <w:tcBorders>
                    <w:tl2br w:val="nil"/>
                    <w:tr2bl w:val="nil"/>
                  </w:tcBorders>
                  <w:shd w:val="clear" w:color="auto" w:fill="FFFFFF"/>
                  <w:noWrap/>
                  <w:vAlign w:val="center"/>
                </w:tcPr>
                <w:p w14:paraId="4807C49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46093917">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4F6868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739A39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192A32E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滤膜</w:t>
                  </w:r>
                </w:p>
              </w:tc>
              <w:tc>
                <w:tcPr>
                  <w:tcW w:w="806" w:type="pct"/>
                  <w:tcBorders>
                    <w:tl2br w:val="nil"/>
                    <w:tr2bl w:val="nil"/>
                  </w:tcBorders>
                  <w:noWrap/>
                  <w:vAlign w:val="center"/>
                </w:tcPr>
                <w:p w14:paraId="5352457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0.6</w:t>
                  </w:r>
                </w:p>
              </w:tc>
              <w:tc>
                <w:tcPr>
                  <w:tcW w:w="713" w:type="pct"/>
                  <w:tcBorders>
                    <w:tl2br w:val="nil"/>
                    <w:tr2bl w:val="nil"/>
                  </w:tcBorders>
                  <w:vAlign w:val="center"/>
                </w:tcPr>
                <w:p w14:paraId="53E3D3E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0.6</w:t>
                  </w:r>
                </w:p>
              </w:tc>
              <w:tc>
                <w:tcPr>
                  <w:tcW w:w="918" w:type="pct"/>
                  <w:tcBorders>
                    <w:tl2br w:val="nil"/>
                    <w:tr2bl w:val="nil"/>
                  </w:tcBorders>
                  <w:shd w:val="clear" w:color="auto" w:fill="FFFFFF"/>
                  <w:noWrap/>
                  <w:vAlign w:val="center"/>
                </w:tcPr>
                <w:p w14:paraId="088BE75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5B2506F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2A432E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6672D95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4DF824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废滤芯</w:t>
                  </w:r>
                </w:p>
              </w:tc>
              <w:tc>
                <w:tcPr>
                  <w:tcW w:w="806" w:type="pct"/>
                  <w:tcBorders>
                    <w:tl2br w:val="nil"/>
                    <w:tr2bl w:val="nil"/>
                  </w:tcBorders>
                  <w:noWrap/>
                  <w:vAlign w:val="center"/>
                </w:tcPr>
                <w:p w14:paraId="1B4F79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0.5</w:t>
                  </w:r>
                </w:p>
              </w:tc>
              <w:tc>
                <w:tcPr>
                  <w:tcW w:w="713" w:type="pct"/>
                  <w:tcBorders>
                    <w:tl2br w:val="nil"/>
                    <w:tr2bl w:val="nil"/>
                  </w:tcBorders>
                  <w:vAlign w:val="center"/>
                </w:tcPr>
                <w:p w14:paraId="32D0EA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0.5</w:t>
                  </w:r>
                </w:p>
              </w:tc>
              <w:tc>
                <w:tcPr>
                  <w:tcW w:w="918" w:type="pct"/>
                  <w:tcBorders>
                    <w:tl2br w:val="nil"/>
                    <w:tr2bl w:val="nil"/>
                  </w:tcBorders>
                  <w:shd w:val="clear" w:color="auto" w:fill="FFFFFF"/>
                  <w:noWrap/>
                  <w:vAlign w:val="center"/>
                </w:tcPr>
                <w:p w14:paraId="5ECA62B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4E0DB57F">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7C88C8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129279F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58A250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废离子交换树脂</w:t>
                  </w:r>
                </w:p>
              </w:tc>
              <w:tc>
                <w:tcPr>
                  <w:tcW w:w="806" w:type="pct"/>
                  <w:tcBorders>
                    <w:tl2br w:val="nil"/>
                    <w:tr2bl w:val="nil"/>
                  </w:tcBorders>
                  <w:noWrap/>
                  <w:vAlign w:val="center"/>
                </w:tcPr>
                <w:p w14:paraId="67D4662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0.8</w:t>
                  </w:r>
                </w:p>
              </w:tc>
              <w:tc>
                <w:tcPr>
                  <w:tcW w:w="713" w:type="pct"/>
                  <w:tcBorders>
                    <w:tl2br w:val="nil"/>
                    <w:tr2bl w:val="nil"/>
                  </w:tcBorders>
                  <w:vAlign w:val="center"/>
                </w:tcPr>
                <w:p w14:paraId="0E8EAA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0.8</w:t>
                  </w:r>
                </w:p>
              </w:tc>
              <w:tc>
                <w:tcPr>
                  <w:tcW w:w="918" w:type="pct"/>
                  <w:tcBorders>
                    <w:tl2br w:val="nil"/>
                    <w:tr2bl w:val="nil"/>
                  </w:tcBorders>
                  <w:shd w:val="clear" w:color="auto" w:fill="FFFFFF"/>
                  <w:noWrap/>
                  <w:vAlign w:val="center"/>
                </w:tcPr>
                <w:p w14:paraId="4E81602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3C46B4FB">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401402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77358EAF">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545EE08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废胶囊</w:t>
                  </w:r>
                </w:p>
              </w:tc>
              <w:tc>
                <w:tcPr>
                  <w:tcW w:w="806" w:type="pct"/>
                  <w:tcBorders>
                    <w:tl2br w:val="nil"/>
                    <w:tr2bl w:val="nil"/>
                  </w:tcBorders>
                  <w:noWrap/>
                  <w:vAlign w:val="center"/>
                </w:tcPr>
                <w:p w14:paraId="411F24A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0.039</w:t>
                  </w:r>
                </w:p>
              </w:tc>
              <w:tc>
                <w:tcPr>
                  <w:tcW w:w="713" w:type="pct"/>
                  <w:tcBorders>
                    <w:tl2br w:val="nil"/>
                    <w:tr2bl w:val="nil"/>
                  </w:tcBorders>
                  <w:vAlign w:val="center"/>
                </w:tcPr>
                <w:p w14:paraId="445CF4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0.039</w:t>
                  </w:r>
                </w:p>
              </w:tc>
              <w:tc>
                <w:tcPr>
                  <w:tcW w:w="918" w:type="pct"/>
                  <w:tcBorders>
                    <w:tl2br w:val="nil"/>
                    <w:tr2bl w:val="nil"/>
                  </w:tcBorders>
                  <w:shd w:val="clear" w:color="auto" w:fill="FFFFFF"/>
                  <w:noWrap/>
                  <w:vAlign w:val="center"/>
                </w:tcPr>
                <w:p w14:paraId="5C6C81F0">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073A2935">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r w14:paraId="06EF24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0B0704BE">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768EF950">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eastAsia="zh-CN"/>
                    </w:rPr>
                  </w:pPr>
                  <w:r>
                    <w:rPr>
                      <w:rFonts w:hint="eastAsia" w:eastAsia="仿宋_GB2312" w:cs="Times New Roman"/>
                      <w:color w:val="auto"/>
                      <w:kern w:val="0"/>
                      <w:sz w:val="21"/>
                      <w:lang w:eastAsia="zh-CN"/>
                    </w:rPr>
                    <w:t>离心废渣</w:t>
                  </w:r>
                </w:p>
              </w:tc>
              <w:tc>
                <w:tcPr>
                  <w:tcW w:w="806" w:type="pct"/>
                  <w:tcBorders>
                    <w:tl2br w:val="nil"/>
                    <w:tr2bl w:val="nil"/>
                  </w:tcBorders>
                  <w:noWrap/>
                  <w:vAlign w:val="center"/>
                </w:tcPr>
                <w:p w14:paraId="0769801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0.36</w:t>
                  </w:r>
                </w:p>
              </w:tc>
              <w:tc>
                <w:tcPr>
                  <w:tcW w:w="713" w:type="pct"/>
                  <w:tcBorders>
                    <w:tl2br w:val="nil"/>
                    <w:tr2bl w:val="nil"/>
                  </w:tcBorders>
                  <w:vAlign w:val="center"/>
                </w:tcPr>
                <w:p w14:paraId="2C796FE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0.36</w:t>
                  </w:r>
                </w:p>
              </w:tc>
              <w:tc>
                <w:tcPr>
                  <w:tcW w:w="918" w:type="pct"/>
                  <w:tcBorders>
                    <w:tl2br w:val="nil"/>
                    <w:tr2bl w:val="nil"/>
                  </w:tcBorders>
                  <w:shd w:val="clear" w:color="auto" w:fill="FFFFFF"/>
                  <w:noWrap/>
                  <w:vAlign w:val="center"/>
                </w:tcPr>
                <w:p w14:paraId="4B8335C7">
                  <w:pPr>
                    <w:keepNext w:val="0"/>
                    <w:keepLines w:val="0"/>
                    <w:widowControl w:val="0"/>
                    <w:suppressLineNumbers w:val="0"/>
                    <w:snapToGrid w:val="0"/>
                    <w:spacing w:before="0" w:beforeAutospacing="0" w:after="0" w:afterAutospacing="0" w:line="320" w:lineRule="exact"/>
                    <w:ind w:left="0" w:right="0"/>
                    <w:jc w:val="center"/>
                    <w:rPr>
                      <w:rFonts w:hint="eastAsia" w:eastAsia="仿宋_GB2312" w:cs="Times New Roman"/>
                      <w:color w:val="auto"/>
                      <w:sz w:val="21"/>
                      <w:lang w:val="en-US" w:eastAsia="zh-CN"/>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52DB6F71">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eastAsia" w:eastAsia="仿宋_GB2312" w:cs="Times New Roman"/>
                      <w:color w:val="auto"/>
                      <w:sz w:val="21"/>
                      <w:lang w:val="en-US" w:eastAsia="zh-CN"/>
                    </w:rPr>
                    <w:t>0</w:t>
                  </w:r>
                </w:p>
              </w:tc>
            </w:tr>
            <w:tr w14:paraId="6A7A2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816" w:type="pct"/>
                  <w:vMerge w:val="continue"/>
                  <w:tcBorders>
                    <w:tl2br w:val="nil"/>
                    <w:tr2bl w:val="nil"/>
                  </w:tcBorders>
                  <w:shd w:val="clear" w:color="auto" w:fill="FFFFFF"/>
                  <w:vAlign w:val="center"/>
                </w:tcPr>
                <w:p w14:paraId="19159CB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27" w:type="pct"/>
                  <w:tcBorders>
                    <w:tl2br w:val="nil"/>
                    <w:tr2bl w:val="nil"/>
                  </w:tcBorders>
                  <w:vAlign w:val="center"/>
                </w:tcPr>
                <w:p w14:paraId="23D50AD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生活垃圾</w:t>
                  </w:r>
                </w:p>
              </w:tc>
              <w:tc>
                <w:tcPr>
                  <w:tcW w:w="806" w:type="pct"/>
                  <w:tcBorders>
                    <w:tl2br w:val="nil"/>
                    <w:tr2bl w:val="nil"/>
                  </w:tcBorders>
                  <w:noWrap/>
                  <w:vAlign w:val="center"/>
                </w:tcPr>
                <w:p w14:paraId="4D513F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4.8</w:t>
                  </w:r>
                </w:p>
              </w:tc>
              <w:tc>
                <w:tcPr>
                  <w:tcW w:w="713" w:type="pct"/>
                  <w:tcBorders>
                    <w:tl2br w:val="nil"/>
                    <w:tr2bl w:val="nil"/>
                  </w:tcBorders>
                  <w:vAlign w:val="center"/>
                </w:tcPr>
                <w:p w14:paraId="7F2400A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4.8</w:t>
                  </w:r>
                </w:p>
              </w:tc>
              <w:tc>
                <w:tcPr>
                  <w:tcW w:w="918" w:type="pct"/>
                  <w:tcBorders>
                    <w:tl2br w:val="nil"/>
                    <w:tr2bl w:val="nil"/>
                  </w:tcBorders>
                  <w:shd w:val="clear" w:color="auto" w:fill="FFFFFF"/>
                  <w:noWrap/>
                  <w:vAlign w:val="center"/>
                </w:tcPr>
                <w:p w14:paraId="3CB1714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cs="Times New Roman"/>
                      <w:b w:val="0"/>
                      <w:bCs w:val="0"/>
                      <w:color w:val="auto"/>
                      <w:kern w:val="0"/>
                      <w:sz w:val="21"/>
                      <w:lang w:val="en-US" w:eastAsia="zh-CN"/>
                    </w:rPr>
                    <w:t>/</w:t>
                  </w:r>
                </w:p>
              </w:tc>
              <w:tc>
                <w:tcPr>
                  <w:tcW w:w="918" w:type="pct"/>
                  <w:tcBorders>
                    <w:tl2br w:val="nil"/>
                    <w:tr2bl w:val="nil"/>
                  </w:tcBorders>
                  <w:shd w:val="clear" w:color="auto" w:fill="FFFFFF"/>
                  <w:noWrap/>
                  <w:vAlign w:val="center"/>
                </w:tcPr>
                <w:p w14:paraId="254E366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0</w:t>
                  </w:r>
                </w:p>
              </w:tc>
            </w:tr>
          </w:tbl>
          <w:p w14:paraId="49EC66E1">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（1）大气污染物</w:t>
            </w:r>
          </w:p>
          <w:p w14:paraId="7BF479E9">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eastAsia="仿宋_GB2312"/>
                <w:color w:val="auto"/>
                <w:sz w:val="24"/>
                <w:lang w:val="en-US" w:eastAsia="zh-CN"/>
              </w:rPr>
            </w:pPr>
            <w:r>
              <w:rPr>
                <w:rFonts w:hint="default" w:eastAsia="仿宋_GB2312"/>
                <w:color w:val="auto"/>
                <w:sz w:val="24"/>
              </w:rPr>
              <w:t>根据</w:t>
            </w:r>
            <w:r>
              <w:rPr>
                <w:rFonts w:hint="eastAsia" w:eastAsia="仿宋_GB2312"/>
                <w:color w:val="auto"/>
                <w:sz w:val="24"/>
                <w:lang w:eastAsia="zh-CN"/>
              </w:rPr>
              <w:t>《关于印发&lt;建设项目主要污染物排放总量指标审核及管理暂行办法&gt;的通知》</w:t>
            </w:r>
            <w:r>
              <w:rPr>
                <w:rFonts w:hint="default" w:eastAsia="仿宋_GB2312"/>
                <w:color w:val="auto"/>
                <w:sz w:val="24"/>
              </w:rPr>
              <w:t>（环发[2014]197号）的要求：“严格落实污染物排放总量控制制度，把主要污染物排放总量指标作为建设项目环境影响评价审批的前置条件。排放主要污染物的建设项目，在环境影响评价文件审批前，须取得主要污染物排放总量指标”。</w:t>
            </w:r>
            <w:r>
              <w:rPr>
                <w:rFonts w:hint="eastAsia" w:eastAsia="仿宋_GB2312"/>
                <w:color w:val="auto"/>
                <w:sz w:val="24"/>
                <w:highlight w:val="none"/>
              </w:rPr>
              <w:t>本项目建成后全厂新增</w:t>
            </w:r>
            <w:r>
              <w:rPr>
                <w:rFonts w:hint="eastAsia" w:eastAsia="仿宋_GB2312"/>
                <w:color w:val="auto"/>
                <w:sz w:val="24"/>
                <w:highlight w:val="none"/>
                <w:lang w:val="en-US" w:eastAsia="zh-CN"/>
              </w:rPr>
              <w:t>VOCs</w:t>
            </w:r>
            <w:r>
              <w:rPr>
                <w:rFonts w:hint="eastAsia" w:eastAsia="仿宋_GB2312"/>
                <w:color w:val="auto"/>
                <w:sz w:val="24"/>
                <w:highlight w:val="none"/>
              </w:rPr>
              <w:t>（有组织及无组织）0.</w:t>
            </w:r>
            <w:r>
              <w:rPr>
                <w:rFonts w:hint="eastAsia" w:eastAsia="仿宋_GB2312"/>
                <w:color w:val="auto"/>
                <w:sz w:val="24"/>
                <w:highlight w:val="none"/>
                <w:lang w:val="en-US" w:eastAsia="zh-CN"/>
              </w:rPr>
              <w:t>045</w:t>
            </w:r>
            <w:r>
              <w:rPr>
                <w:rFonts w:hint="eastAsia" w:eastAsia="仿宋_GB2312"/>
                <w:color w:val="auto"/>
                <w:sz w:val="24"/>
                <w:highlight w:val="none"/>
              </w:rPr>
              <w:t>t/a，新增颗粒物（有组织及无组织）0.</w:t>
            </w:r>
            <w:r>
              <w:rPr>
                <w:rFonts w:hint="eastAsia" w:eastAsia="仿宋_GB2312"/>
                <w:color w:val="auto"/>
                <w:sz w:val="24"/>
                <w:highlight w:val="none"/>
                <w:lang w:val="en-US" w:eastAsia="zh-CN"/>
              </w:rPr>
              <w:t>0105</w:t>
            </w:r>
            <w:r>
              <w:rPr>
                <w:rFonts w:hint="eastAsia" w:eastAsia="仿宋_GB2312"/>
                <w:color w:val="auto"/>
                <w:sz w:val="24"/>
                <w:highlight w:val="none"/>
              </w:rPr>
              <w:t>t/a</w:t>
            </w:r>
            <w:r>
              <w:rPr>
                <w:rFonts w:hint="eastAsia" w:eastAsia="仿宋_GB2312"/>
                <w:color w:val="auto"/>
                <w:sz w:val="24"/>
                <w:highlight w:val="none"/>
                <w:lang w:eastAsia="zh-CN"/>
              </w:rPr>
              <w:t>，</w:t>
            </w:r>
            <w:r>
              <w:rPr>
                <w:rFonts w:hint="eastAsia" w:eastAsia="仿宋_GB2312"/>
                <w:color w:val="auto"/>
                <w:sz w:val="24"/>
                <w:highlight w:val="none"/>
              </w:rPr>
              <w:t>新增</w:t>
            </w:r>
            <w:r>
              <w:rPr>
                <w:rFonts w:hint="eastAsia" w:eastAsia="仿宋_GB2312"/>
                <w:color w:val="auto"/>
                <w:sz w:val="24"/>
                <w:highlight w:val="none"/>
                <w:lang w:val="en-US" w:eastAsia="zh-CN"/>
              </w:rPr>
              <w:t>SO</w:t>
            </w:r>
            <w:r>
              <w:rPr>
                <w:rFonts w:hint="eastAsia" w:eastAsia="仿宋_GB2312"/>
                <w:color w:val="auto"/>
                <w:sz w:val="24"/>
                <w:highlight w:val="none"/>
                <w:vertAlign w:val="subscript"/>
                <w:lang w:val="en-US" w:eastAsia="zh-CN"/>
              </w:rPr>
              <w:t>2</w:t>
            </w:r>
            <w:r>
              <w:rPr>
                <w:rFonts w:hint="eastAsia" w:eastAsia="仿宋_GB2312"/>
                <w:color w:val="auto"/>
                <w:sz w:val="24"/>
                <w:highlight w:val="none"/>
              </w:rPr>
              <w:t>（有组织及无组织）0</w:t>
            </w:r>
            <w:r>
              <w:rPr>
                <w:rFonts w:hint="eastAsia" w:eastAsia="仿宋_GB2312"/>
                <w:color w:val="auto"/>
                <w:sz w:val="24"/>
                <w:highlight w:val="none"/>
                <w:lang w:val="en-US" w:eastAsia="zh-CN"/>
              </w:rPr>
              <w:t>.002</w:t>
            </w:r>
            <w:r>
              <w:rPr>
                <w:rFonts w:hint="eastAsia" w:eastAsia="仿宋_GB2312"/>
                <w:color w:val="auto"/>
                <w:sz w:val="24"/>
                <w:highlight w:val="none"/>
              </w:rPr>
              <w:t>t/a</w:t>
            </w:r>
            <w:r>
              <w:rPr>
                <w:rFonts w:hint="eastAsia" w:eastAsia="仿宋_GB2312"/>
                <w:color w:val="auto"/>
                <w:sz w:val="24"/>
                <w:highlight w:val="none"/>
                <w:lang w:eastAsia="zh-CN"/>
              </w:rPr>
              <w:t>，</w:t>
            </w:r>
            <w:r>
              <w:rPr>
                <w:rFonts w:hint="eastAsia" w:eastAsia="仿宋_GB2312"/>
                <w:color w:val="auto"/>
                <w:sz w:val="24"/>
                <w:highlight w:val="none"/>
              </w:rPr>
              <w:t>新增</w:t>
            </w:r>
            <w:r>
              <w:rPr>
                <w:rFonts w:hint="eastAsia" w:eastAsia="仿宋_GB2312"/>
                <w:color w:val="auto"/>
                <w:sz w:val="24"/>
                <w:highlight w:val="none"/>
                <w:lang w:val="en-US" w:eastAsia="zh-CN"/>
              </w:rPr>
              <w:t>NOx</w:t>
            </w:r>
            <w:r>
              <w:rPr>
                <w:rFonts w:hint="eastAsia" w:eastAsia="仿宋_GB2312"/>
                <w:color w:val="auto"/>
                <w:sz w:val="24"/>
                <w:highlight w:val="none"/>
              </w:rPr>
              <w:t>（有组织及无组织）0.</w:t>
            </w:r>
            <w:r>
              <w:rPr>
                <w:rFonts w:hint="eastAsia" w:eastAsia="仿宋_GB2312"/>
                <w:color w:val="auto"/>
                <w:sz w:val="24"/>
                <w:highlight w:val="none"/>
                <w:lang w:val="en-US" w:eastAsia="zh-CN"/>
              </w:rPr>
              <w:t>02</w:t>
            </w:r>
            <w:r>
              <w:rPr>
                <w:rFonts w:hint="eastAsia" w:eastAsia="仿宋_GB2312"/>
                <w:color w:val="auto"/>
                <w:sz w:val="24"/>
                <w:highlight w:val="none"/>
              </w:rPr>
              <w:t>t/a</w:t>
            </w:r>
            <w:r>
              <w:rPr>
                <w:rFonts w:hint="eastAsia" w:eastAsia="仿宋_GB2312"/>
                <w:color w:val="auto"/>
                <w:sz w:val="24"/>
                <w:lang w:val="en-US" w:eastAsia="zh-CN"/>
              </w:rPr>
              <w:t>。</w:t>
            </w:r>
          </w:p>
          <w:p w14:paraId="05D0288A">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1D35AD"/>
                <w:sz w:val="24"/>
              </w:rPr>
            </w:pPr>
            <w:r>
              <w:rPr>
                <w:rFonts w:hint="default" w:eastAsia="仿宋_GB2312"/>
                <w:color w:val="1D35AD"/>
                <w:sz w:val="24"/>
              </w:rPr>
              <w:t>（2）水污染物</w:t>
            </w:r>
          </w:p>
          <w:p w14:paraId="7DE6513B">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rPr>
                <w:rFonts w:hint="default"/>
              </w:rPr>
            </w:pPr>
            <w:r>
              <w:rPr>
                <w:rFonts w:hint="default" w:eastAsia="仿宋_GB2312"/>
                <w:color w:val="1D35AD"/>
                <w:sz w:val="24"/>
              </w:rPr>
              <w:t>本项目建成后新增生活污水</w:t>
            </w:r>
            <w:r>
              <w:rPr>
                <w:rFonts w:hint="eastAsia" w:eastAsia="仿宋_GB2312"/>
                <w:color w:val="1D35AD"/>
                <w:sz w:val="24"/>
                <w:lang w:eastAsia="zh-CN"/>
              </w:rPr>
              <w:t>（</w:t>
            </w:r>
            <w:r>
              <w:rPr>
                <w:rFonts w:hint="eastAsia" w:eastAsia="仿宋_GB2312"/>
                <w:color w:val="1D35AD"/>
                <w:sz w:val="24"/>
                <w:lang w:val="en-US" w:eastAsia="zh-CN"/>
              </w:rPr>
              <w:t>1012</w:t>
            </w:r>
            <w:r>
              <w:rPr>
                <w:rFonts w:hint="default" w:eastAsia="仿宋_GB2312"/>
                <w:color w:val="1D35AD"/>
                <w:sz w:val="24"/>
              </w:rPr>
              <w:t>m</w:t>
            </w:r>
            <w:r>
              <w:rPr>
                <w:rFonts w:hint="default" w:eastAsia="仿宋_GB2312"/>
                <w:color w:val="1D35AD"/>
                <w:sz w:val="24"/>
                <w:vertAlign w:val="superscript"/>
              </w:rPr>
              <w:t>3</w:t>
            </w:r>
            <w:r>
              <w:rPr>
                <w:rFonts w:hint="default" w:eastAsia="仿宋_GB2312"/>
                <w:color w:val="1D35AD"/>
                <w:sz w:val="24"/>
              </w:rPr>
              <w:t>/a</w:t>
            </w:r>
            <w:r>
              <w:rPr>
                <w:rFonts w:hint="eastAsia" w:eastAsia="仿宋_GB2312"/>
                <w:color w:val="1D35AD"/>
                <w:sz w:val="24"/>
                <w:lang w:eastAsia="zh-CN"/>
              </w:rPr>
              <w:t>）和</w:t>
            </w:r>
            <w:r>
              <w:rPr>
                <w:rFonts w:hint="eastAsia" w:eastAsia="仿宋_GB2312"/>
                <w:color w:val="1D35AD"/>
                <w:sz w:val="24"/>
              </w:rPr>
              <w:t>纯水制备过程中产生浓水</w:t>
            </w:r>
            <w:r>
              <w:rPr>
                <w:rFonts w:hint="eastAsia" w:eastAsia="仿宋_GB2312"/>
                <w:color w:val="1D35AD"/>
                <w:sz w:val="24"/>
                <w:lang w:eastAsia="zh-CN"/>
              </w:rPr>
              <w:t>（</w:t>
            </w:r>
            <w:r>
              <w:rPr>
                <w:rFonts w:hint="eastAsia" w:eastAsia="仿宋_GB2312"/>
                <w:color w:val="1D35AD"/>
                <w:sz w:val="24"/>
                <w:lang w:val="en-US" w:eastAsia="zh-CN"/>
              </w:rPr>
              <w:t>425</w:t>
            </w:r>
            <w:r>
              <w:rPr>
                <w:rFonts w:hint="default" w:eastAsia="仿宋_GB2312"/>
                <w:color w:val="1D35AD"/>
                <w:sz w:val="24"/>
              </w:rPr>
              <w:t>m</w:t>
            </w:r>
            <w:r>
              <w:rPr>
                <w:rFonts w:hint="default" w:eastAsia="仿宋_GB2312"/>
                <w:color w:val="1D35AD"/>
                <w:sz w:val="24"/>
                <w:vertAlign w:val="superscript"/>
              </w:rPr>
              <w:t>3</w:t>
            </w:r>
            <w:r>
              <w:rPr>
                <w:rFonts w:hint="default" w:eastAsia="仿宋_GB2312"/>
                <w:color w:val="1D35AD"/>
                <w:sz w:val="24"/>
              </w:rPr>
              <w:t>/a</w:t>
            </w:r>
            <w:r>
              <w:rPr>
                <w:rFonts w:hint="eastAsia" w:eastAsia="仿宋_GB2312"/>
                <w:color w:val="1D35AD"/>
                <w:sz w:val="24"/>
                <w:lang w:eastAsia="zh-CN"/>
              </w:rPr>
              <w:t>），混合废水</w:t>
            </w:r>
            <w:r>
              <w:rPr>
                <w:rFonts w:hint="default" w:eastAsia="仿宋_GB2312"/>
                <w:color w:val="1D35AD"/>
                <w:sz w:val="24"/>
              </w:rPr>
              <w:t>排放量为</w:t>
            </w:r>
            <w:r>
              <w:rPr>
                <w:rFonts w:hint="eastAsia" w:eastAsia="仿宋_GB2312"/>
                <w:color w:val="1D35AD"/>
                <w:sz w:val="24"/>
                <w:lang w:val="en-US" w:eastAsia="zh-CN"/>
              </w:rPr>
              <w:t>1437</w:t>
            </w:r>
            <w:r>
              <w:rPr>
                <w:rFonts w:hint="default" w:eastAsia="仿宋_GB2312"/>
                <w:color w:val="1D35AD"/>
                <w:sz w:val="24"/>
              </w:rPr>
              <w:t>m</w:t>
            </w:r>
            <w:r>
              <w:rPr>
                <w:rFonts w:hint="default" w:eastAsia="仿宋_GB2312"/>
                <w:color w:val="1D35AD"/>
                <w:sz w:val="24"/>
                <w:vertAlign w:val="superscript"/>
              </w:rPr>
              <w:t>3</w:t>
            </w:r>
            <w:r>
              <w:rPr>
                <w:rFonts w:hint="default" w:eastAsia="仿宋_GB2312"/>
                <w:color w:val="1D35AD"/>
                <w:sz w:val="24"/>
              </w:rPr>
              <w:t>/a</w:t>
            </w:r>
            <w:r>
              <w:rPr>
                <w:rFonts w:hint="eastAsia" w:eastAsia="仿宋_GB2312"/>
                <w:color w:val="1D35AD"/>
                <w:sz w:val="24"/>
                <w:lang w:eastAsia="zh-CN"/>
              </w:rPr>
              <w:t>，</w:t>
            </w:r>
            <w:r>
              <w:rPr>
                <w:rFonts w:hint="default" w:eastAsia="仿宋_GB2312"/>
                <w:color w:val="1D35AD"/>
                <w:sz w:val="24"/>
              </w:rPr>
              <w:t>经厂区污水管网接入市政污水管网，排入常州金坛第二污水处理有限公司集中处理</w:t>
            </w:r>
            <w:r>
              <w:rPr>
                <w:rFonts w:hint="eastAsia" w:eastAsia="仿宋_GB2312"/>
                <w:color w:val="1D35AD"/>
                <w:sz w:val="24"/>
                <w:lang w:eastAsia="zh-CN"/>
              </w:rPr>
              <w:t>。其中，</w:t>
            </w:r>
            <w:r>
              <w:rPr>
                <w:rFonts w:hint="eastAsia" w:eastAsia="仿宋_GB2312"/>
                <w:color w:val="1D35AD"/>
                <w:sz w:val="24"/>
              </w:rPr>
              <w:t>纯水制备过程中产生浓水</w:t>
            </w:r>
            <w:r>
              <w:rPr>
                <w:rFonts w:hint="eastAsia" w:eastAsia="仿宋_GB2312"/>
                <w:color w:val="1D35AD"/>
                <w:sz w:val="24"/>
                <w:lang w:eastAsia="zh-CN"/>
              </w:rPr>
              <w:t>为</w:t>
            </w:r>
            <w:r>
              <w:rPr>
                <w:rFonts w:hint="eastAsia" w:eastAsia="仿宋_GB2312"/>
                <w:color w:val="1D35AD"/>
                <w:sz w:val="24"/>
                <w:lang w:val="en-US" w:eastAsia="zh-CN"/>
              </w:rPr>
              <w:t>425</w:t>
            </w:r>
            <w:r>
              <w:rPr>
                <w:rFonts w:hint="default" w:eastAsia="仿宋_GB2312"/>
                <w:color w:val="1D35AD"/>
                <w:sz w:val="24"/>
              </w:rPr>
              <w:t>m</w:t>
            </w:r>
            <w:r>
              <w:rPr>
                <w:rFonts w:hint="default" w:eastAsia="仿宋_GB2312"/>
                <w:color w:val="1D35AD"/>
                <w:sz w:val="24"/>
                <w:vertAlign w:val="superscript"/>
              </w:rPr>
              <w:t>3</w:t>
            </w:r>
            <w:r>
              <w:rPr>
                <w:rFonts w:hint="default" w:eastAsia="仿宋_GB2312"/>
                <w:color w:val="1D35AD"/>
                <w:sz w:val="24"/>
              </w:rPr>
              <w:t>/a</w:t>
            </w:r>
            <w:r>
              <w:rPr>
                <w:rFonts w:hint="eastAsia" w:eastAsia="仿宋_GB2312"/>
                <w:color w:val="1D35AD"/>
                <w:sz w:val="24"/>
                <w:lang w:eastAsia="zh-CN"/>
              </w:rPr>
              <w:t>，新增COD</w:t>
            </w:r>
            <w:r>
              <w:rPr>
                <w:rFonts w:hint="eastAsia" w:eastAsia="仿宋_GB2312"/>
                <w:color w:val="1D35AD"/>
                <w:sz w:val="24"/>
                <w:lang w:val="en-US" w:eastAsia="zh-CN"/>
              </w:rPr>
              <w:t xml:space="preserve"> </w:t>
            </w:r>
            <w:r>
              <w:rPr>
                <w:rFonts w:hint="eastAsia" w:eastAsia="仿宋_GB2312"/>
                <w:color w:val="1D35AD"/>
                <w:sz w:val="24"/>
                <w:lang w:eastAsia="zh-CN"/>
              </w:rPr>
              <w:t>0.0</w:t>
            </w:r>
            <w:r>
              <w:rPr>
                <w:rFonts w:hint="eastAsia" w:eastAsia="仿宋_GB2312"/>
                <w:color w:val="1D35AD"/>
                <w:sz w:val="24"/>
                <w:lang w:val="en-US" w:eastAsia="zh-CN"/>
              </w:rPr>
              <w:t>21</w:t>
            </w:r>
            <w:r>
              <w:rPr>
                <w:rFonts w:hint="eastAsia" w:eastAsia="仿宋_GB2312"/>
                <w:color w:val="1D35AD"/>
                <w:sz w:val="24"/>
                <w:lang w:eastAsia="zh-CN"/>
              </w:rPr>
              <w:t>t/a。</w:t>
            </w:r>
          </w:p>
          <w:p w14:paraId="5C8DB751">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（3）固体废物</w:t>
            </w:r>
          </w:p>
          <w:p w14:paraId="1B2DF400">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highlight w:val="yellow"/>
              </w:rPr>
            </w:pPr>
            <w:r>
              <w:rPr>
                <w:rFonts w:hint="default" w:eastAsia="仿宋_GB2312"/>
                <w:color w:val="auto"/>
                <w:sz w:val="24"/>
              </w:rPr>
              <w:t>本项目固体废物均得到有效处置，实现“零排放”，故企业不需申请总量指标。</w:t>
            </w:r>
          </w:p>
          <w:p w14:paraId="584625ED">
            <w:pPr>
              <w:keepNext w:val="0"/>
              <w:keepLines w:val="0"/>
              <w:suppressLineNumbers w:val="0"/>
              <w:adjustRightInd w:val="0"/>
              <w:snapToGrid w:val="0"/>
              <w:spacing w:before="0" w:beforeAutospacing="0" w:after="0" w:afterAutospacing="0" w:line="400" w:lineRule="exact"/>
              <w:ind w:left="0" w:right="0"/>
              <w:rPr>
                <w:rFonts w:hint="default" w:eastAsia="仿宋_GB2312"/>
                <w:color w:val="auto"/>
                <w:kern w:val="0"/>
                <w:sz w:val="24"/>
              </w:rPr>
            </w:pPr>
          </w:p>
          <w:p w14:paraId="49E254D3">
            <w:pPr>
              <w:keepNext w:val="0"/>
              <w:keepLines w:val="0"/>
              <w:suppressLineNumbers w:val="0"/>
              <w:adjustRightInd w:val="0"/>
              <w:snapToGrid w:val="0"/>
              <w:spacing w:before="0" w:beforeAutospacing="0" w:after="0" w:afterAutospacing="0" w:line="400" w:lineRule="exact"/>
              <w:ind w:left="0" w:right="0"/>
              <w:rPr>
                <w:rFonts w:hint="default" w:eastAsia="仿宋_GB2312"/>
                <w:color w:val="auto"/>
                <w:kern w:val="0"/>
                <w:sz w:val="24"/>
              </w:rPr>
            </w:pPr>
          </w:p>
          <w:p w14:paraId="3401E512">
            <w:pPr>
              <w:pStyle w:val="74"/>
              <w:keepNext w:val="0"/>
              <w:keepLines w:val="0"/>
              <w:suppressLineNumbers w:val="0"/>
              <w:spacing w:before="0" w:beforeAutospacing="0" w:after="0" w:afterAutospacing="0"/>
              <w:ind w:left="0" w:right="0"/>
              <w:rPr>
                <w:rFonts w:hint="default" w:eastAsia="仿宋_GB2312"/>
                <w:color w:val="auto"/>
                <w:kern w:val="0"/>
                <w:sz w:val="24"/>
              </w:rPr>
            </w:pPr>
          </w:p>
          <w:p w14:paraId="1A0E8DF7">
            <w:pPr>
              <w:keepNext w:val="0"/>
              <w:keepLines w:val="0"/>
              <w:suppressLineNumbers w:val="0"/>
              <w:spacing w:before="0" w:beforeAutospacing="0" w:after="0" w:afterAutospacing="0"/>
              <w:ind w:left="0" w:right="0"/>
              <w:rPr>
                <w:rFonts w:hint="default" w:eastAsia="仿宋_GB2312"/>
                <w:color w:val="auto"/>
                <w:kern w:val="0"/>
                <w:sz w:val="24"/>
              </w:rPr>
            </w:pPr>
          </w:p>
          <w:p w14:paraId="1806D377">
            <w:pPr>
              <w:pStyle w:val="74"/>
              <w:keepNext w:val="0"/>
              <w:keepLines w:val="0"/>
              <w:suppressLineNumbers w:val="0"/>
              <w:spacing w:before="0" w:beforeAutospacing="0" w:after="0" w:afterAutospacing="0"/>
              <w:ind w:left="0" w:right="0"/>
              <w:rPr>
                <w:rFonts w:hint="default" w:eastAsia="仿宋_GB2312"/>
                <w:color w:val="auto"/>
                <w:kern w:val="0"/>
                <w:sz w:val="24"/>
              </w:rPr>
            </w:pPr>
          </w:p>
          <w:p w14:paraId="5FA0FAC4">
            <w:pPr>
              <w:keepNext w:val="0"/>
              <w:keepLines w:val="0"/>
              <w:suppressLineNumbers w:val="0"/>
              <w:adjustRightInd w:val="0"/>
              <w:snapToGrid w:val="0"/>
              <w:spacing w:before="0" w:beforeAutospacing="0" w:after="0" w:afterAutospacing="0" w:line="400" w:lineRule="exact"/>
              <w:ind w:left="0" w:right="0"/>
              <w:rPr>
                <w:rFonts w:hint="default" w:eastAsia="仿宋_GB2312"/>
                <w:color w:val="auto"/>
                <w:kern w:val="0"/>
                <w:sz w:val="24"/>
              </w:rPr>
            </w:pPr>
          </w:p>
          <w:p w14:paraId="03937FB0">
            <w:pPr>
              <w:keepNext w:val="0"/>
              <w:keepLines w:val="0"/>
              <w:suppressLineNumbers w:val="0"/>
              <w:adjustRightInd w:val="0"/>
              <w:snapToGrid w:val="0"/>
              <w:spacing w:before="0" w:beforeAutospacing="0" w:after="0" w:afterAutospacing="0" w:line="400" w:lineRule="exact"/>
              <w:ind w:left="0" w:right="0"/>
              <w:rPr>
                <w:rFonts w:hint="default" w:eastAsia="仿宋_GB2312"/>
                <w:color w:val="auto"/>
                <w:kern w:val="0"/>
                <w:sz w:val="24"/>
              </w:rPr>
            </w:pPr>
          </w:p>
        </w:tc>
      </w:tr>
    </w:tbl>
    <w:p w14:paraId="0806E1DA">
      <w:pPr>
        <w:adjustRightInd w:val="0"/>
        <w:snapToGrid w:val="0"/>
        <w:spacing w:line="100" w:lineRule="exact"/>
        <w:rPr>
          <w:rFonts w:eastAsia="仿宋_GB2312"/>
          <w:snapToGrid w:val="0"/>
          <w:color w:val="auto"/>
          <w:sz w:val="36"/>
          <w:szCs w:val="36"/>
        </w:rPr>
      </w:pPr>
    </w:p>
    <w:p w14:paraId="57C1569E">
      <w:pPr>
        <w:adjustRightInd w:val="0"/>
        <w:snapToGrid w:val="0"/>
        <w:rPr>
          <w:rFonts w:eastAsia="仿宋_GB2312"/>
          <w:snapToGrid w:val="0"/>
          <w:color w:val="auto"/>
          <w:sz w:val="36"/>
          <w:szCs w:val="36"/>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p w14:paraId="3BD013DB">
      <w:pPr>
        <w:pStyle w:val="81"/>
        <w:jc w:val="center"/>
        <w:outlineLvl w:val="0"/>
        <w:rPr>
          <w:rFonts w:ascii="Times New Roman" w:hAnsi="Times New Roman" w:eastAsia="仿宋_GB2312"/>
          <w:b/>
          <w:snapToGrid w:val="0"/>
          <w:color w:val="auto"/>
          <w:sz w:val="30"/>
          <w:szCs w:val="30"/>
        </w:rPr>
      </w:pPr>
      <w:r>
        <w:rPr>
          <w:rFonts w:ascii="Times New Roman" w:hAnsi="Times New Roman" w:eastAsia="仿宋_GB2312"/>
          <w:b/>
          <w:snapToGrid w:val="0"/>
          <w:color w:val="auto"/>
          <w:sz w:val="30"/>
          <w:szCs w:val="30"/>
        </w:rPr>
        <w:t>四、主要环境影响和保护措施</w:t>
      </w:r>
    </w:p>
    <w:tbl>
      <w:tblPr>
        <w:tblStyle w:val="87"/>
        <w:tblW w:w="53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8938"/>
      </w:tblGrid>
      <w:tr w14:paraId="2D119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579" w:type="dxa"/>
            <w:tcMar>
              <w:left w:w="28" w:type="dxa"/>
              <w:right w:w="28" w:type="dxa"/>
            </w:tcMar>
            <w:vAlign w:val="center"/>
          </w:tcPr>
          <w:p w14:paraId="1C0549E5">
            <w:pPr>
              <w:pStyle w:val="8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bCs/>
                <w:color w:val="auto"/>
                <w:kern w:val="2"/>
                <w:szCs w:val="24"/>
              </w:rPr>
            </w:pPr>
            <w:r>
              <w:rPr>
                <w:rFonts w:hint="default" w:ascii="Times New Roman" w:hAnsi="Times New Roman" w:eastAsia="仿宋_GB2312"/>
                <w:color w:val="auto"/>
                <w:kern w:val="2"/>
                <w:szCs w:val="24"/>
              </w:rPr>
              <w:t>施工期环境保护措施</w:t>
            </w:r>
          </w:p>
        </w:tc>
        <w:tc>
          <w:tcPr>
            <w:tcW w:w="8858" w:type="dxa"/>
            <w:vAlign w:val="center"/>
          </w:tcPr>
          <w:p w14:paraId="6A9252CB">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1、施工期大气环境保护措施</w:t>
            </w:r>
          </w:p>
          <w:p w14:paraId="5084E88B">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本项目施工期主要工作内容为对租赁的厂房进行装修改造，本项目不涉及土建工程，仅涉及设备安装及厂房内装饰，施工期的环境影响较小，相应采取的防治措施如下。</w:t>
            </w:r>
          </w:p>
          <w:p w14:paraId="5FCDFF79">
            <w:pPr>
              <w:keepNext w:val="0"/>
              <w:keepLines w:val="0"/>
              <w:suppressLineNumbers w:val="0"/>
              <w:spacing w:before="0" w:beforeAutospacing="0" w:after="0" w:afterAutospacing="0" w:line="500" w:lineRule="exact"/>
              <w:ind w:left="0" w:right="0" w:firstLine="480" w:firstLineChars="200"/>
              <w:rPr>
                <w:rFonts w:hint="default"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（1）噪声</w:t>
            </w:r>
          </w:p>
          <w:p w14:paraId="49C6ADE8">
            <w:pPr>
              <w:keepNext w:val="0"/>
              <w:keepLines w:val="0"/>
              <w:suppressLineNumbers w:val="0"/>
              <w:spacing w:before="0" w:beforeAutospacing="0" w:after="0" w:afterAutospacing="0" w:line="500" w:lineRule="exact"/>
              <w:ind w:left="0" w:right="0" w:firstLine="480" w:firstLineChars="200"/>
              <w:rPr>
                <w:rFonts w:hint="default"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本项目施工期噪声源主要为运输车辆及各种施工机械。通过合理安排施工作业时间、加强施工管理、选用低噪声施工工具及隔声等措施控制施工期的噪声影响。</w:t>
            </w:r>
          </w:p>
          <w:p w14:paraId="01761BAD">
            <w:pPr>
              <w:keepNext w:val="0"/>
              <w:keepLines w:val="0"/>
              <w:suppressLineNumbers w:val="0"/>
              <w:spacing w:before="0" w:beforeAutospacing="0" w:after="0" w:afterAutospacing="0" w:line="500" w:lineRule="exact"/>
              <w:ind w:left="0" w:right="0" w:firstLine="480" w:firstLineChars="200"/>
              <w:rPr>
                <w:rFonts w:hint="default"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（2）废气</w:t>
            </w:r>
          </w:p>
          <w:p w14:paraId="243A7E17">
            <w:pPr>
              <w:keepNext w:val="0"/>
              <w:keepLines w:val="0"/>
              <w:suppressLineNumbers w:val="0"/>
              <w:spacing w:before="0" w:beforeAutospacing="0" w:after="0" w:afterAutospacing="0" w:line="500" w:lineRule="exact"/>
              <w:ind w:left="0" w:right="0" w:firstLine="480" w:firstLineChars="200"/>
              <w:rPr>
                <w:rFonts w:hint="default"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施工过程中废气主要来源于施工机械驱动设备和运输及施工车辆所排放的废气。通过设置施工围栏以缩小施工扬尘扩散范围、大风天气停止作业等措施控制施工期的大气影响。</w:t>
            </w:r>
          </w:p>
          <w:p w14:paraId="5C0719C3">
            <w:pPr>
              <w:keepNext w:val="0"/>
              <w:keepLines w:val="0"/>
              <w:suppressLineNumbers w:val="0"/>
              <w:spacing w:before="0" w:beforeAutospacing="0" w:after="0" w:afterAutospacing="0" w:line="500" w:lineRule="exact"/>
              <w:ind w:left="0" w:right="0" w:firstLine="480" w:firstLineChars="200"/>
              <w:rPr>
                <w:rFonts w:hint="default"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（3）废水</w:t>
            </w:r>
          </w:p>
          <w:p w14:paraId="0982D295">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1）施工废水：各种施工机械设备运转的冷却水及洗涤用水和施工现场清洗、建材清洗、混凝土养护、设备水压试验等产生的废水，这部分废水含有一定量的油污和泥砂。</w:t>
            </w:r>
          </w:p>
          <w:p w14:paraId="6FA6632D">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2）生活污水：施工队伍的生活活动产生一定量的生活污水，包括食堂用水、洗涤废水和冲厕水。生活污水含有大量细菌和病原体。</w:t>
            </w:r>
          </w:p>
          <w:p w14:paraId="1534C9C9">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上述废水水量不大，但如果不经处理或处理不当，同样会危害环境。其污染防范措施主要有：</w:t>
            </w:r>
          </w:p>
          <w:p w14:paraId="451CE899">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sz w:val="24"/>
              </w:rPr>
            </w:pPr>
            <w:r>
              <w:rPr>
                <w:rFonts w:hint="default" w:ascii="Times New Roman" w:hAnsi="Times New Roman" w:cs="Times New Roman"/>
                <w:color w:val="auto"/>
                <w:sz w:val="24"/>
              </w:rPr>
              <w:t>①</w:t>
            </w:r>
            <w:r>
              <w:rPr>
                <w:rFonts w:hint="default" w:ascii="Times New Roman" w:hAnsi="Times New Roman" w:eastAsia="仿宋_GB2312" w:cs="Times New Roman"/>
                <w:color w:val="auto"/>
                <w:sz w:val="24"/>
              </w:rPr>
              <w:t>加强施工期管理，针对施工期污水产生过程不连续、污水种类较单一等特点，可采取相应措施，有效控制污水中污染物的产生量；</w:t>
            </w:r>
          </w:p>
          <w:p w14:paraId="03B70A8A">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sz w:val="24"/>
              </w:rPr>
            </w:pPr>
            <w:r>
              <w:rPr>
                <w:rFonts w:hint="default" w:ascii="Times New Roman" w:hAnsi="Times New Roman" w:cs="Times New Roman"/>
                <w:color w:val="auto"/>
                <w:sz w:val="24"/>
              </w:rPr>
              <w:t>②</w:t>
            </w:r>
            <w:r>
              <w:rPr>
                <w:rFonts w:hint="default" w:ascii="Times New Roman" w:hAnsi="Times New Roman" w:eastAsia="仿宋_GB2312" w:cs="Times New Roman"/>
                <w:color w:val="auto"/>
                <w:sz w:val="24"/>
              </w:rPr>
              <w:t>施工现场建造沉淀池、隔油池等污水临时处理设施，对含油量高的施工机械冲洗水或悬浮物含量高的其它施工废水需经处理后方可排放；</w:t>
            </w:r>
          </w:p>
          <w:p w14:paraId="14AB33CC">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仿宋_GB2312" w:cs="Times New Roman"/>
                <w:color w:val="auto"/>
                <w:sz w:val="24"/>
              </w:rPr>
            </w:pPr>
            <w:r>
              <w:rPr>
                <w:rFonts w:hint="default" w:ascii="Times New Roman" w:hAnsi="Times New Roman" w:cs="Times New Roman"/>
                <w:color w:val="auto"/>
                <w:sz w:val="24"/>
              </w:rPr>
              <w:t>③</w:t>
            </w:r>
            <w:r>
              <w:rPr>
                <w:rFonts w:hint="default" w:ascii="Times New Roman" w:hAnsi="Times New Roman" w:eastAsia="仿宋_GB2312" w:cs="Times New Roman"/>
                <w:color w:val="auto"/>
                <w:sz w:val="24"/>
              </w:rPr>
              <w:t>水泥、黄砂、石灰类的建筑材料需集中堆放，并采取一定防雨措施，及时清扫施工过程中抛洒的上述建筑材料，以免这些物质随雨水冲刷污染附近水体。</w:t>
            </w:r>
          </w:p>
          <w:p w14:paraId="206842F5">
            <w:pPr>
              <w:keepNext w:val="0"/>
              <w:keepLines w:val="0"/>
              <w:suppressLineNumbers w:val="0"/>
              <w:spacing w:before="0" w:beforeAutospacing="0" w:after="0" w:afterAutospacing="0" w:line="500" w:lineRule="exact"/>
              <w:ind w:left="0" w:right="0" w:firstLine="480" w:firstLineChars="200"/>
              <w:rPr>
                <w:rFonts w:hint="default"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（4）固废</w:t>
            </w:r>
          </w:p>
          <w:p w14:paraId="18D493C9">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000000" w:themeColor="text1"/>
                <w:sz w:val="24"/>
                <w14:textFill>
                  <w14:solidFill>
                    <w14:schemeClr w14:val="tx1"/>
                  </w14:solidFill>
                </w14:textFill>
              </w:rPr>
              <w:t>施工期产生的固体废弃物主要有施工过程中产生的现场垃圾和由施工人员产生的生活垃圾两类，若处理不当会对地表水、大气和土壤产生环境影响。本项目施工期拟采取如下控制措施：①施工人员的生活垃圾要实行袋装化，由环卫部门定期清运。②对施工现场及时清理，施工垃圾及时清运、加以利用</w:t>
            </w:r>
            <w:r>
              <w:rPr>
                <w:rFonts w:hint="eastAsia" w:ascii="Times New Roman" w:hAnsi="Times New Roman" w:eastAsia="仿宋_GB2312"/>
                <w:sz w:val="24"/>
              </w:rPr>
              <w:t>。</w:t>
            </w:r>
          </w:p>
          <w:p w14:paraId="383B8E16">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p>
          <w:p w14:paraId="43D25529">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p>
          <w:p w14:paraId="3FE1DF2A">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p>
          <w:p w14:paraId="0455A062">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p>
          <w:p w14:paraId="4941B4EE">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p>
          <w:p w14:paraId="2A33CBA1">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2451B8B2">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7CA4B7BE">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2E8509D2">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08A31A9F">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28BCAF35">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42954152">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6EE22F26">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1454E3ED">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2A90B485">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75848FEF">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5AED989D">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6301B9B7">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6E5C8C7C">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23784773">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323608F2">
            <w:pPr>
              <w:keepNext w:val="0"/>
              <w:keepLines w:val="0"/>
              <w:suppressLineNumbers w:val="0"/>
              <w:spacing w:before="0" w:beforeAutospacing="0" w:after="0" w:afterAutospacing="0" w:line="500" w:lineRule="exact"/>
              <w:ind w:left="0" w:right="0" w:firstLine="482" w:firstLineChars="200"/>
              <w:rPr>
                <w:rFonts w:hint="default" w:eastAsia="仿宋_GB2312"/>
                <w:b/>
                <w:color w:val="auto"/>
                <w:sz w:val="24"/>
              </w:rPr>
            </w:pPr>
          </w:p>
          <w:p w14:paraId="149CFEBF">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p>
        </w:tc>
      </w:tr>
    </w:tbl>
    <w:p w14:paraId="53B19544">
      <w:pPr>
        <w:rPr>
          <w:color w:val="auto"/>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tbl>
      <w:tblPr>
        <w:tblStyle w:val="87"/>
        <w:tblW w:w="50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3452"/>
      </w:tblGrid>
      <w:tr w14:paraId="077B1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54" w:type="pct"/>
            <w:tcMar>
              <w:left w:w="28" w:type="dxa"/>
              <w:right w:w="28" w:type="dxa"/>
            </w:tcMar>
            <w:vAlign w:val="center"/>
          </w:tcPr>
          <w:p w14:paraId="476749A8">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运营</w:t>
            </w:r>
          </w:p>
          <w:p w14:paraId="10A63E3F">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期环</w:t>
            </w:r>
          </w:p>
          <w:p w14:paraId="7201C17B">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境影</w:t>
            </w:r>
          </w:p>
          <w:p w14:paraId="2384D51E">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响和</w:t>
            </w:r>
          </w:p>
          <w:p w14:paraId="1306D7BD">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保护</w:t>
            </w:r>
          </w:p>
          <w:p w14:paraId="7B542DA8">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措施</w:t>
            </w:r>
          </w:p>
        </w:tc>
        <w:tc>
          <w:tcPr>
            <w:tcW w:w="4745" w:type="pct"/>
            <w:vAlign w:val="center"/>
          </w:tcPr>
          <w:p w14:paraId="21DDD134">
            <w:pPr>
              <w:keepNext w:val="0"/>
              <w:keepLines w:val="0"/>
              <w:widowControl/>
              <w:suppressLineNumbers w:val="0"/>
              <w:adjustRightInd w:val="0"/>
              <w:snapToGrid w:val="0"/>
              <w:spacing w:before="0" w:beforeAutospacing="0" w:after="0" w:afterAutospacing="0" w:line="500" w:lineRule="exact"/>
              <w:ind w:left="0" w:right="0"/>
              <w:jc w:val="left"/>
              <w:rPr>
                <w:rFonts w:hint="default" w:eastAsia="仿宋_GB2312"/>
                <w:b/>
                <w:bCs/>
                <w:color w:val="auto"/>
                <w:sz w:val="24"/>
              </w:rPr>
            </w:pPr>
            <w:r>
              <w:rPr>
                <w:rFonts w:hint="default" w:eastAsia="仿宋_GB2312"/>
                <w:b/>
                <w:bCs/>
                <w:color w:val="auto"/>
                <w:sz w:val="24"/>
              </w:rPr>
              <w:t>一、废气环境影响和保护措施</w:t>
            </w:r>
          </w:p>
          <w:p w14:paraId="5E3CFE2D">
            <w:pPr>
              <w:keepNext w:val="0"/>
              <w:keepLines w:val="0"/>
              <w:suppressLineNumbers w:val="0"/>
              <w:snapToGrid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1、废气源强</w:t>
            </w:r>
          </w:p>
          <w:p w14:paraId="73AD8AD4">
            <w:pPr>
              <w:keepNext w:val="0"/>
              <w:keepLines w:val="0"/>
              <w:suppressLineNumbers w:val="0"/>
              <w:snapToGrid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（1）有组织废气</w:t>
            </w:r>
          </w:p>
          <w:p w14:paraId="4A0F0051">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w:t>
            </w:r>
            <w:r>
              <w:rPr>
                <w:rFonts w:hint="eastAsia" w:eastAsia="仿宋_GB2312"/>
                <w:b/>
                <w:color w:val="auto"/>
                <w:sz w:val="22"/>
                <w:szCs w:val="22"/>
                <w:lang w:val="en-US" w:eastAsia="zh-CN"/>
              </w:rPr>
              <w:t>2</w:t>
            </w:r>
            <w:r>
              <w:rPr>
                <w:rFonts w:hint="default" w:eastAsia="仿宋_GB2312"/>
                <w:b/>
                <w:color w:val="auto"/>
                <w:sz w:val="22"/>
                <w:szCs w:val="22"/>
              </w:rPr>
              <w:t xml:space="preserve">  本项目有组织废气产生情况</w:t>
            </w:r>
          </w:p>
          <w:tbl>
            <w:tblPr>
              <w:tblStyle w:val="87"/>
              <w:tblW w:w="128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980"/>
              <w:gridCol w:w="1401"/>
              <w:gridCol w:w="1343"/>
              <w:gridCol w:w="1708"/>
              <w:gridCol w:w="1442"/>
              <w:gridCol w:w="1090"/>
              <w:gridCol w:w="977"/>
              <w:gridCol w:w="1255"/>
              <w:gridCol w:w="611"/>
              <w:gridCol w:w="650"/>
              <w:gridCol w:w="609"/>
            </w:tblGrid>
            <w:tr w14:paraId="0E077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restart"/>
                  <w:noWrap/>
                  <w:vAlign w:val="center"/>
                </w:tcPr>
                <w:p w14:paraId="218893E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产品名称</w:t>
                  </w:r>
                </w:p>
              </w:tc>
              <w:tc>
                <w:tcPr>
                  <w:tcW w:w="980" w:type="dxa"/>
                  <w:vMerge w:val="restart"/>
                  <w:vAlign w:val="center"/>
                </w:tcPr>
                <w:p w14:paraId="4F426A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废气编号</w:t>
                  </w:r>
                </w:p>
              </w:tc>
              <w:tc>
                <w:tcPr>
                  <w:tcW w:w="1401" w:type="dxa"/>
                  <w:vMerge w:val="restart"/>
                  <w:vAlign w:val="center"/>
                </w:tcPr>
                <w:p w14:paraId="0FB734F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废气量（m</w:t>
                  </w:r>
                  <w:r>
                    <w:rPr>
                      <w:rFonts w:hint="default" w:ascii="Times New Roman" w:hAnsi="Times New Roman" w:eastAsia="仿宋_GB2312" w:cs="Times New Roman"/>
                      <w:b/>
                      <w:bCs/>
                      <w:color w:val="auto"/>
                      <w:kern w:val="0"/>
                      <w:sz w:val="21"/>
                      <w:vertAlign w:val="superscript"/>
                    </w:rPr>
                    <w:t>3</w:t>
                  </w:r>
                  <w:r>
                    <w:rPr>
                      <w:rFonts w:hint="default" w:ascii="Times New Roman" w:hAnsi="Times New Roman" w:eastAsia="仿宋_GB2312" w:cs="Times New Roman"/>
                      <w:b/>
                      <w:bCs/>
                      <w:color w:val="auto"/>
                      <w:kern w:val="0"/>
                      <w:sz w:val="21"/>
                    </w:rPr>
                    <w:t>/h）</w:t>
                  </w:r>
                </w:p>
              </w:tc>
              <w:tc>
                <w:tcPr>
                  <w:tcW w:w="1343" w:type="dxa"/>
                  <w:vMerge w:val="restart"/>
                  <w:vAlign w:val="center"/>
                </w:tcPr>
                <w:p w14:paraId="72D0B4F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年工作时间（h/a）</w:t>
                  </w:r>
                </w:p>
              </w:tc>
              <w:tc>
                <w:tcPr>
                  <w:tcW w:w="1708" w:type="dxa"/>
                  <w:vMerge w:val="restart"/>
                  <w:vAlign w:val="center"/>
                </w:tcPr>
                <w:p w14:paraId="03254B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产生工段</w:t>
                  </w:r>
                </w:p>
              </w:tc>
              <w:tc>
                <w:tcPr>
                  <w:tcW w:w="1442" w:type="dxa"/>
                  <w:vMerge w:val="restart"/>
                  <w:vAlign w:val="center"/>
                </w:tcPr>
                <w:p w14:paraId="7A8D45B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污染物名称</w:t>
                  </w:r>
                </w:p>
              </w:tc>
              <w:tc>
                <w:tcPr>
                  <w:tcW w:w="1090" w:type="dxa"/>
                  <w:vMerge w:val="restart"/>
                  <w:vAlign w:val="center"/>
                </w:tcPr>
                <w:p w14:paraId="3CC69DB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产生速率（kg/h）</w:t>
                  </w:r>
                </w:p>
              </w:tc>
              <w:tc>
                <w:tcPr>
                  <w:tcW w:w="977" w:type="dxa"/>
                  <w:vMerge w:val="restart"/>
                  <w:vAlign w:val="center"/>
                </w:tcPr>
                <w:p w14:paraId="7C78123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产生量（t/a）</w:t>
                  </w:r>
                </w:p>
              </w:tc>
              <w:tc>
                <w:tcPr>
                  <w:tcW w:w="1255" w:type="dxa"/>
                  <w:vMerge w:val="restart"/>
                  <w:vAlign w:val="center"/>
                </w:tcPr>
                <w:p w14:paraId="474655C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污染防治措施</w:t>
                  </w:r>
                </w:p>
              </w:tc>
              <w:tc>
                <w:tcPr>
                  <w:tcW w:w="1870" w:type="dxa"/>
                  <w:gridSpan w:val="3"/>
                  <w:vAlign w:val="center"/>
                </w:tcPr>
                <w:p w14:paraId="7EA6FF5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排气筒参数</w:t>
                  </w:r>
                </w:p>
              </w:tc>
            </w:tr>
            <w:tr w14:paraId="7D344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4A63748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980" w:type="dxa"/>
                  <w:vMerge w:val="continue"/>
                  <w:vAlign w:val="center"/>
                </w:tcPr>
                <w:p w14:paraId="069B120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1401" w:type="dxa"/>
                  <w:vMerge w:val="continue"/>
                  <w:vAlign w:val="center"/>
                </w:tcPr>
                <w:p w14:paraId="099CC57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1343" w:type="dxa"/>
                  <w:vMerge w:val="continue"/>
                  <w:vAlign w:val="center"/>
                </w:tcPr>
                <w:p w14:paraId="2CCC2D8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1708" w:type="dxa"/>
                  <w:vMerge w:val="continue"/>
                  <w:vAlign w:val="center"/>
                </w:tcPr>
                <w:p w14:paraId="7B66245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1442" w:type="dxa"/>
                  <w:vMerge w:val="continue"/>
                  <w:vAlign w:val="center"/>
                </w:tcPr>
                <w:p w14:paraId="3475E0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1090" w:type="dxa"/>
                  <w:vMerge w:val="continue"/>
                  <w:vAlign w:val="center"/>
                </w:tcPr>
                <w:p w14:paraId="22923F1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977" w:type="dxa"/>
                  <w:vMerge w:val="continue"/>
                  <w:vAlign w:val="center"/>
                </w:tcPr>
                <w:p w14:paraId="293CC8F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1255" w:type="dxa"/>
                  <w:vMerge w:val="continue"/>
                  <w:vAlign w:val="center"/>
                </w:tcPr>
                <w:p w14:paraId="7295B21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p>
              </w:tc>
              <w:tc>
                <w:tcPr>
                  <w:tcW w:w="611" w:type="dxa"/>
                  <w:vAlign w:val="center"/>
                </w:tcPr>
                <w:p w14:paraId="0EB1EA9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高度m</w:t>
                  </w:r>
                </w:p>
              </w:tc>
              <w:tc>
                <w:tcPr>
                  <w:tcW w:w="650" w:type="dxa"/>
                  <w:vAlign w:val="center"/>
                </w:tcPr>
                <w:p w14:paraId="48564D1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直径m</w:t>
                  </w:r>
                </w:p>
              </w:tc>
              <w:tc>
                <w:tcPr>
                  <w:tcW w:w="609" w:type="dxa"/>
                  <w:vAlign w:val="center"/>
                </w:tcPr>
                <w:p w14:paraId="0ADFD88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温度</w:t>
                  </w:r>
                </w:p>
                <w:p w14:paraId="339EFD4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w:t>
                  </w:r>
                </w:p>
              </w:tc>
            </w:tr>
            <w:tr w14:paraId="6DC93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53" w:type="dxa"/>
                  <w:vMerge w:val="restart"/>
                  <w:vAlign w:val="center"/>
                </w:tcPr>
                <w:p w14:paraId="4430A3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二氢槲皮素保健食品粉</w:t>
                  </w:r>
                </w:p>
              </w:tc>
              <w:tc>
                <w:tcPr>
                  <w:tcW w:w="980" w:type="dxa"/>
                  <w:vMerge w:val="restart"/>
                  <w:vAlign w:val="center"/>
                </w:tcPr>
                <w:p w14:paraId="194ACC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G2-1</w:t>
                  </w:r>
                </w:p>
              </w:tc>
              <w:tc>
                <w:tcPr>
                  <w:tcW w:w="1401" w:type="dxa"/>
                  <w:vMerge w:val="restart"/>
                  <w:vAlign w:val="center"/>
                </w:tcPr>
                <w:p w14:paraId="1404403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w:t>
                  </w:r>
                </w:p>
              </w:tc>
              <w:tc>
                <w:tcPr>
                  <w:tcW w:w="1343" w:type="dxa"/>
                  <w:vMerge w:val="restart"/>
                  <w:vAlign w:val="center"/>
                </w:tcPr>
                <w:p w14:paraId="29E3649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480</w:t>
                  </w:r>
                </w:p>
              </w:tc>
              <w:tc>
                <w:tcPr>
                  <w:tcW w:w="1708" w:type="dxa"/>
                  <w:vMerge w:val="restart"/>
                  <w:vAlign w:val="center"/>
                </w:tcPr>
                <w:p w14:paraId="6D112F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种子培养</w:t>
                  </w:r>
                </w:p>
              </w:tc>
              <w:tc>
                <w:tcPr>
                  <w:tcW w:w="1442" w:type="dxa"/>
                  <w:vAlign w:val="center"/>
                </w:tcPr>
                <w:p w14:paraId="5BD5210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1090" w:type="dxa"/>
                  <w:vAlign w:val="center"/>
                </w:tcPr>
                <w:p w14:paraId="1E6E928A">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0.0002 </w:t>
                  </w:r>
                </w:p>
              </w:tc>
              <w:tc>
                <w:tcPr>
                  <w:tcW w:w="977" w:type="dxa"/>
                  <w:vAlign w:val="center"/>
                </w:tcPr>
                <w:p w14:paraId="1FA3DD9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0.0001</w:t>
                  </w:r>
                </w:p>
              </w:tc>
              <w:tc>
                <w:tcPr>
                  <w:tcW w:w="1255" w:type="dxa"/>
                  <w:vMerge w:val="restart"/>
                  <w:vAlign w:val="center"/>
                </w:tcPr>
                <w:p w14:paraId="589F59F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酸吸收+碱吸收+除雾器+两级活性炭吸附处理后经排气筒（DA002）排放</w:t>
                  </w:r>
                </w:p>
              </w:tc>
              <w:tc>
                <w:tcPr>
                  <w:tcW w:w="611" w:type="dxa"/>
                  <w:vMerge w:val="restart"/>
                  <w:vAlign w:val="center"/>
                </w:tcPr>
                <w:p w14:paraId="2B0C979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15</w:t>
                  </w:r>
                </w:p>
              </w:tc>
              <w:tc>
                <w:tcPr>
                  <w:tcW w:w="650" w:type="dxa"/>
                  <w:vMerge w:val="restart"/>
                  <w:vAlign w:val="center"/>
                </w:tcPr>
                <w:p w14:paraId="22A6495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w:t>
                  </w:r>
                </w:p>
              </w:tc>
              <w:tc>
                <w:tcPr>
                  <w:tcW w:w="609" w:type="dxa"/>
                  <w:vMerge w:val="restart"/>
                  <w:vAlign w:val="center"/>
                </w:tcPr>
                <w:p w14:paraId="0888D04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常温</w:t>
                  </w:r>
                </w:p>
              </w:tc>
            </w:tr>
            <w:tr w14:paraId="281C8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604932F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11020F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vAlign w:val="center"/>
                </w:tcPr>
                <w:p w14:paraId="43BACF3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3AAC502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495C069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09C2E5A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1090" w:type="dxa"/>
                  <w:vAlign w:val="center"/>
                </w:tcPr>
                <w:p w14:paraId="2FAFC582">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0.0001 </w:t>
                  </w:r>
                </w:p>
              </w:tc>
              <w:tc>
                <w:tcPr>
                  <w:tcW w:w="977" w:type="dxa"/>
                  <w:vAlign w:val="center"/>
                </w:tcPr>
                <w:p w14:paraId="0908B34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0.00003</w:t>
                  </w:r>
                </w:p>
              </w:tc>
              <w:tc>
                <w:tcPr>
                  <w:tcW w:w="1255" w:type="dxa"/>
                  <w:vMerge w:val="continue"/>
                  <w:vAlign w:val="center"/>
                </w:tcPr>
                <w:p w14:paraId="3657C73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540403D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5C36E75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405259F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4989A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3DDA69D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78620A1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vAlign w:val="center"/>
                </w:tcPr>
                <w:p w14:paraId="07ECAB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26C1E6F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52EA735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3EC4C28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1090" w:type="dxa"/>
                  <w:vAlign w:val="center"/>
                </w:tcPr>
                <w:p w14:paraId="3815D4D9">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0.0006 </w:t>
                  </w:r>
                </w:p>
              </w:tc>
              <w:tc>
                <w:tcPr>
                  <w:tcW w:w="977" w:type="dxa"/>
                  <w:vAlign w:val="center"/>
                </w:tcPr>
                <w:p w14:paraId="2AEA0D9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0.0003</w:t>
                  </w:r>
                </w:p>
              </w:tc>
              <w:tc>
                <w:tcPr>
                  <w:tcW w:w="1255" w:type="dxa"/>
                  <w:vMerge w:val="continue"/>
                  <w:vAlign w:val="center"/>
                </w:tcPr>
                <w:p w14:paraId="3257D41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2DDE8AB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10B1525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365F6AC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1438A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3A413C7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restart"/>
                  <w:vAlign w:val="center"/>
                </w:tcPr>
                <w:p w14:paraId="675C9D4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G2-2</w:t>
                  </w:r>
                </w:p>
              </w:tc>
              <w:tc>
                <w:tcPr>
                  <w:tcW w:w="1401" w:type="dxa"/>
                  <w:vMerge w:val="restart"/>
                  <w:vAlign w:val="center"/>
                </w:tcPr>
                <w:p w14:paraId="2A96466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c>
                <w:tcPr>
                  <w:tcW w:w="1343" w:type="dxa"/>
                  <w:vMerge w:val="restart"/>
                  <w:vAlign w:val="center"/>
                </w:tcPr>
                <w:p w14:paraId="0587B40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480</w:t>
                  </w:r>
                </w:p>
              </w:tc>
              <w:tc>
                <w:tcPr>
                  <w:tcW w:w="1708" w:type="dxa"/>
                  <w:vMerge w:val="restart"/>
                  <w:vAlign w:val="center"/>
                </w:tcPr>
                <w:p w14:paraId="6C46BC6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种子培养</w:t>
                  </w:r>
                </w:p>
              </w:tc>
              <w:tc>
                <w:tcPr>
                  <w:tcW w:w="1442" w:type="dxa"/>
                  <w:vAlign w:val="center"/>
                </w:tcPr>
                <w:p w14:paraId="621CFC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1090" w:type="dxa"/>
                  <w:vAlign w:val="center"/>
                </w:tcPr>
                <w:p w14:paraId="7307F5F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0.0019 </w:t>
                  </w:r>
                </w:p>
              </w:tc>
              <w:tc>
                <w:tcPr>
                  <w:tcW w:w="977" w:type="dxa"/>
                  <w:vAlign w:val="center"/>
                </w:tcPr>
                <w:p w14:paraId="52EC558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0.0009</w:t>
                  </w:r>
                </w:p>
              </w:tc>
              <w:tc>
                <w:tcPr>
                  <w:tcW w:w="1255" w:type="dxa"/>
                  <w:vMerge w:val="continue"/>
                  <w:vAlign w:val="center"/>
                </w:tcPr>
                <w:p w14:paraId="299325C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1AAE00A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52727AE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548D923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78533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6A32D7A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5354786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vAlign w:val="center"/>
                </w:tcPr>
                <w:p w14:paraId="034961B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2B6E1AD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029014B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49D059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1090" w:type="dxa"/>
                  <w:vAlign w:val="center"/>
                </w:tcPr>
                <w:p w14:paraId="1E217ABA">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0.0006 </w:t>
                  </w:r>
                </w:p>
              </w:tc>
              <w:tc>
                <w:tcPr>
                  <w:tcW w:w="977" w:type="dxa"/>
                  <w:vAlign w:val="center"/>
                </w:tcPr>
                <w:p w14:paraId="4911F7A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0.0003</w:t>
                  </w:r>
                </w:p>
              </w:tc>
              <w:tc>
                <w:tcPr>
                  <w:tcW w:w="1255" w:type="dxa"/>
                  <w:vMerge w:val="continue"/>
                  <w:vAlign w:val="center"/>
                </w:tcPr>
                <w:p w14:paraId="73E1BD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6DBF91C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154108E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6562013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1B4F3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28E1BFD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5B32097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vAlign w:val="center"/>
                </w:tcPr>
                <w:p w14:paraId="10651B9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64A6D05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46605ED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22869AA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1090" w:type="dxa"/>
                  <w:vAlign w:val="center"/>
                </w:tcPr>
                <w:p w14:paraId="43B86512">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0.0065 </w:t>
                  </w:r>
                </w:p>
              </w:tc>
              <w:tc>
                <w:tcPr>
                  <w:tcW w:w="977" w:type="dxa"/>
                  <w:vAlign w:val="center"/>
                </w:tcPr>
                <w:p w14:paraId="2257228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0.0031</w:t>
                  </w:r>
                </w:p>
              </w:tc>
              <w:tc>
                <w:tcPr>
                  <w:tcW w:w="1255" w:type="dxa"/>
                  <w:vMerge w:val="continue"/>
                  <w:vAlign w:val="center"/>
                </w:tcPr>
                <w:p w14:paraId="76EB41F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5A93186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129CCBD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1D5142F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232AC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4EDB5E2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restart"/>
                  <w:vAlign w:val="center"/>
                </w:tcPr>
                <w:p w14:paraId="17E2C30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G2-3</w:t>
                  </w:r>
                </w:p>
              </w:tc>
              <w:tc>
                <w:tcPr>
                  <w:tcW w:w="1401" w:type="dxa"/>
                  <w:vMerge w:val="restart"/>
                  <w:vAlign w:val="center"/>
                </w:tcPr>
                <w:p w14:paraId="62FBEA7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30</w:t>
                  </w:r>
                </w:p>
              </w:tc>
              <w:tc>
                <w:tcPr>
                  <w:tcW w:w="1343" w:type="dxa"/>
                  <w:vMerge w:val="restart"/>
                  <w:vAlign w:val="center"/>
                </w:tcPr>
                <w:p w14:paraId="21B7139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1280</w:t>
                  </w:r>
                </w:p>
              </w:tc>
              <w:tc>
                <w:tcPr>
                  <w:tcW w:w="1708" w:type="dxa"/>
                  <w:vMerge w:val="restart"/>
                  <w:vAlign w:val="center"/>
                </w:tcPr>
                <w:p w14:paraId="0A878D8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发酵</w:t>
                  </w:r>
                </w:p>
              </w:tc>
              <w:tc>
                <w:tcPr>
                  <w:tcW w:w="1442" w:type="dxa"/>
                  <w:vAlign w:val="center"/>
                </w:tcPr>
                <w:p w14:paraId="237445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1090" w:type="dxa"/>
                  <w:vAlign w:val="center"/>
                </w:tcPr>
                <w:p w14:paraId="1DBBCDA6">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0.0111 </w:t>
                  </w:r>
                </w:p>
              </w:tc>
              <w:tc>
                <w:tcPr>
                  <w:tcW w:w="977" w:type="dxa"/>
                  <w:vAlign w:val="center"/>
                </w:tcPr>
                <w:p w14:paraId="2D1D64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0.0142</w:t>
                  </w:r>
                </w:p>
              </w:tc>
              <w:tc>
                <w:tcPr>
                  <w:tcW w:w="1255" w:type="dxa"/>
                  <w:vMerge w:val="continue"/>
                  <w:vAlign w:val="center"/>
                </w:tcPr>
                <w:p w14:paraId="2163CC1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7E7E8E5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738B3C9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030F788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614E1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5B84AA7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2AF0C62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vAlign w:val="center"/>
                </w:tcPr>
                <w:p w14:paraId="16F952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63A6F8B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7B86B4E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53F1E98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1090" w:type="dxa"/>
                  <w:vAlign w:val="center"/>
                </w:tcPr>
                <w:p w14:paraId="6880FD5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0.0032 </w:t>
                  </w:r>
                </w:p>
              </w:tc>
              <w:tc>
                <w:tcPr>
                  <w:tcW w:w="977" w:type="dxa"/>
                  <w:vAlign w:val="center"/>
                </w:tcPr>
                <w:p w14:paraId="482DE04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0.0041</w:t>
                  </w:r>
                </w:p>
              </w:tc>
              <w:tc>
                <w:tcPr>
                  <w:tcW w:w="1255" w:type="dxa"/>
                  <w:vMerge w:val="continue"/>
                  <w:vAlign w:val="center"/>
                </w:tcPr>
                <w:p w14:paraId="6B5750A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4348CE0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348676C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375FAD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0C162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2958250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7020A2E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vAlign w:val="center"/>
                </w:tcPr>
                <w:p w14:paraId="6C77AB2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4CECEC0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3342D04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77B148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1090" w:type="dxa"/>
                  <w:vAlign w:val="center"/>
                </w:tcPr>
                <w:p w14:paraId="48FAEECE">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0.0383 </w:t>
                  </w:r>
                </w:p>
              </w:tc>
              <w:tc>
                <w:tcPr>
                  <w:tcW w:w="977" w:type="dxa"/>
                  <w:vAlign w:val="center"/>
                </w:tcPr>
                <w:p w14:paraId="21E4796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0.049</w:t>
                  </w:r>
                </w:p>
              </w:tc>
              <w:tc>
                <w:tcPr>
                  <w:tcW w:w="1255" w:type="dxa"/>
                  <w:vMerge w:val="continue"/>
                  <w:vAlign w:val="center"/>
                </w:tcPr>
                <w:p w14:paraId="615EB6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451D4F4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003BB35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12D39C7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06AA5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restart"/>
                  <w:vAlign w:val="center"/>
                </w:tcPr>
                <w:p w14:paraId="2D03E4C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质检区</w:t>
                  </w:r>
                </w:p>
              </w:tc>
              <w:tc>
                <w:tcPr>
                  <w:tcW w:w="980" w:type="dxa"/>
                  <w:vAlign w:val="center"/>
                </w:tcPr>
                <w:p w14:paraId="1448AEB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1401" w:type="dxa"/>
                  <w:vAlign w:val="center"/>
                </w:tcPr>
                <w:p w14:paraId="429B922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1200</w:t>
                  </w:r>
                </w:p>
              </w:tc>
              <w:tc>
                <w:tcPr>
                  <w:tcW w:w="1343" w:type="dxa"/>
                  <w:vAlign w:val="center"/>
                </w:tcPr>
                <w:p w14:paraId="4653863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40</w:t>
                  </w:r>
                </w:p>
              </w:tc>
              <w:tc>
                <w:tcPr>
                  <w:tcW w:w="1708" w:type="dxa"/>
                  <w:vAlign w:val="center"/>
                </w:tcPr>
                <w:p w14:paraId="3A72E9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highlight w:val="none"/>
                    </w:rPr>
                  </w:pPr>
                  <w:r>
                    <w:rPr>
                      <w:rFonts w:hint="default" w:ascii="Times New Roman" w:hAnsi="Times New Roman" w:eastAsia="仿宋_GB2312" w:cs="Times New Roman"/>
                      <w:color w:val="auto"/>
                      <w:kern w:val="0"/>
                      <w:sz w:val="21"/>
                      <w:highlight w:val="none"/>
                    </w:rPr>
                    <w:t>盐酸溶液配制</w:t>
                  </w:r>
                </w:p>
              </w:tc>
              <w:tc>
                <w:tcPr>
                  <w:tcW w:w="1442" w:type="dxa"/>
                  <w:vAlign w:val="center"/>
                </w:tcPr>
                <w:p w14:paraId="0FB6E26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highlight w:val="none"/>
                    </w:rPr>
                  </w:pPr>
                  <w:r>
                    <w:rPr>
                      <w:rFonts w:hint="default" w:ascii="Times New Roman" w:hAnsi="Times New Roman" w:eastAsia="仿宋_GB2312" w:cs="Times New Roman"/>
                      <w:color w:val="auto"/>
                      <w:kern w:val="0"/>
                      <w:sz w:val="21"/>
                      <w:highlight w:val="none"/>
                    </w:rPr>
                    <w:t>氯化氢</w:t>
                  </w:r>
                </w:p>
              </w:tc>
              <w:tc>
                <w:tcPr>
                  <w:tcW w:w="1090" w:type="dxa"/>
                  <w:vAlign w:val="center"/>
                </w:tcPr>
                <w:p w14:paraId="4DEB3B83">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rPr>
                    <w:t>0.</w:t>
                  </w:r>
                  <w:r>
                    <w:rPr>
                      <w:rFonts w:hint="eastAsia" w:ascii="Times New Roman" w:hAnsi="Times New Roman" w:cs="Times New Roman"/>
                      <w:color w:val="auto"/>
                      <w:szCs w:val="21"/>
                      <w:highlight w:val="none"/>
                      <w:lang w:val="en-US" w:eastAsia="zh-CN"/>
                    </w:rPr>
                    <w:t>175</w:t>
                  </w:r>
                </w:p>
              </w:tc>
              <w:tc>
                <w:tcPr>
                  <w:tcW w:w="977" w:type="dxa"/>
                  <w:vAlign w:val="center"/>
                </w:tcPr>
                <w:p w14:paraId="36C1FB6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highlight w:val="none"/>
                      <w:lang w:val="en-US" w:eastAsia="zh-CN"/>
                    </w:rPr>
                  </w:pPr>
                  <w:r>
                    <w:rPr>
                      <w:rFonts w:hint="default" w:ascii="Times New Roman" w:hAnsi="Times New Roman" w:eastAsia="仿宋_GB2312" w:cs="Times New Roman"/>
                      <w:color w:val="auto"/>
                      <w:kern w:val="0"/>
                      <w:sz w:val="21"/>
                      <w:highlight w:val="none"/>
                    </w:rPr>
                    <w:t>0.0</w:t>
                  </w:r>
                  <w:r>
                    <w:rPr>
                      <w:rFonts w:hint="eastAsia" w:eastAsia="仿宋_GB2312" w:cs="Times New Roman"/>
                      <w:color w:val="auto"/>
                      <w:kern w:val="0"/>
                      <w:sz w:val="21"/>
                      <w:highlight w:val="none"/>
                      <w:lang w:val="en-US" w:eastAsia="zh-CN"/>
                    </w:rPr>
                    <w:t>07</w:t>
                  </w:r>
                </w:p>
              </w:tc>
              <w:tc>
                <w:tcPr>
                  <w:tcW w:w="1255" w:type="dxa"/>
                  <w:vMerge w:val="continue"/>
                  <w:vAlign w:val="center"/>
                </w:tcPr>
                <w:p w14:paraId="38B09E4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30F5A2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5C63E7C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226385E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48345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0B9FFA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Align w:val="center"/>
                </w:tcPr>
                <w:p w14:paraId="4CCA059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1401" w:type="dxa"/>
                  <w:vAlign w:val="center"/>
                </w:tcPr>
                <w:p w14:paraId="0F823FD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2500</w:t>
                  </w:r>
                </w:p>
              </w:tc>
              <w:tc>
                <w:tcPr>
                  <w:tcW w:w="1343" w:type="dxa"/>
                  <w:vAlign w:val="center"/>
                </w:tcPr>
                <w:p w14:paraId="1370D0A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5000</w:t>
                  </w:r>
                </w:p>
              </w:tc>
              <w:tc>
                <w:tcPr>
                  <w:tcW w:w="1708" w:type="dxa"/>
                  <w:vAlign w:val="center"/>
                </w:tcPr>
                <w:p w14:paraId="155F639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质检</w:t>
                  </w:r>
                </w:p>
              </w:tc>
              <w:tc>
                <w:tcPr>
                  <w:tcW w:w="1442" w:type="dxa"/>
                  <w:vAlign w:val="center"/>
                </w:tcPr>
                <w:p w14:paraId="3346E01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1090" w:type="dxa"/>
                  <w:vAlign w:val="center"/>
                </w:tcPr>
                <w:p w14:paraId="3639907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0.0200 </w:t>
                  </w:r>
                </w:p>
              </w:tc>
              <w:tc>
                <w:tcPr>
                  <w:tcW w:w="977" w:type="dxa"/>
                  <w:vAlign w:val="center"/>
                </w:tcPr>
                <w:p w14:paraId="250EC40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w:t>
                  </w:r>
                </w:p>
              </w:tc>
              <w:tc>
                <w:tcPr>
                  <w:tcW w:w="1255" w:type="dxa"/>
                  <w:vMerge w:val="continue"/>
                  <w:vAlign w:val="center"/>
                </w:tcPr>
                <w:p w14:paraId="5AF6E6B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79FEF18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41550D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1503AAA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76B31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Align w:val="center"/>
                </w:tcPr>
                <w:p w14:paraId="0AFFCE3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危废库</w:t>
                  </w:r>
                </w:p>
              </w:tc>
              <w:tc>
                <w:tcPr>
                  <w:tcW w:w="980" w:type="dxa"/>
                  <w:vAlign w:val="center"/>
                </w:tcPr>
                <w:p w14:paraId="213FC90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1401" w:type="dxa"/>
                  <w:vAlign w:val="center"/>
                </w:tcPr>
                <w:p w14:paraId="2C2D6A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420</w:t>
                  </w:r>
                </w:p>
              </w:tc>
              <w:tc>
                <w:tcPr>
                  <w:tcW w:w="1343" w:type="dxa"/>
                  <w:vAlign w:val="center"/>
                </w:tcPr>
                <w:p w14:paraId="02BFF76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7200</w:t>
                  </w:r>
                </w:p>
              </w:tc>
              <w:tc>
                <w:tcPr>
                  <w:tcW w:w="1708" w:type="dxa"/>
                  <w:vAlign w:val="center"/>
                </w:tcPr>
                <w:p w14:paraId="63E82AB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危废</w:t>
                  </w:r>
                </w:p>
              </w:tc>
              <w:tc>
                <w:tcPr>
                  <w:tcW w:w="1442" w:type="dxa"/>
                  <w:vAlign w:val="center"/>
                </w:tcPr>
                <w:p w14:paraId="650DAA9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1090" w:type="dxa"/>
                  <w:vAlign w:val="center"/>
                </w:tcPr>
                <w:p w14:paraId="5F9E5A65">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0.0139 </w:t>
                  </w:r>
                </w:p>
              </w:tc>
              <w:tc>
                <w:tcPr>
                  <w:tcW w:w="977" w:type="dxa"/>
                  <w:vAlign w:val="center"/>
                </w:tcPr>
                <w:p w14:paraId="6277A70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w:t>
                  </w:r>
                </w:p>
              </w:tc>
              <w:tc>
                <w:tcPr>
                  <w:tcW w:w="1255" w:type="dxa"/>
                  <w:vMerge w:val="continue"/>
                  <w:vAlign w:val="center"/>
                </w:tcPr>
                <w:p w14:paraId="275CBBD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634718B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39520F3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488B54D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370F8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restart"/>
                  <w:vAlign w:val="center"/>
                </w:tcPr>
                <w:p w14:paraId="2087C18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污水站</w:t>
                  </w:r>
                </w:p>
              </w:tc>
              <w:tc>
                <w:tcPr>
                  <w:tcW w:w="980" w:type="dxa"/>
                  <w:vMerge w:val="restart"/>
                  <w:vAlign w:val="center"/>
                </w:tcPr>
                <w:p w14:paraId="1501557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1401" w:type="dxa"/>
                  <w:vMerge w:val="restart"/>
                  <w:vAlign w:val="center"/>
                </w:tcPr>
                <w:p w14:paraId="7A01326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346.7</w:t>
                  </w:r>
                </w:p>
              </w:tc>
              <w:tc>
                <w:tcPr>
                  <w:tcW w:w="1343" w:type="dxa"/>
                  <w:vMerge w:val="restart"/>
                  <w:vAlign w:val="center"/>
                </w:tcPr>
                <w:p w14:paraId="2E9568C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7200</w:t>
                  </w:r>
                </w:p>
              </w:tc>
              <w:tc>
                <w:tcPr>
                  <w:tcW w:w="1708" w:type="dxa"/>
                  <w:vMerge w:val="restart"/>
                  <w:vAlign w:val="center"/>
                </w:tcPr>
                <w:p w14:paraId="2476BE0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污水站</w:t>
                  </w:r>
                </w:p>
              </w:tc>
              <w:tc>
                <w:tcPr>
                  <w:tcW w:w="1442" w:type="dxa"/>
                  <w:vAlign w:val="center"/>
                </w:tcPr>
                <w:p w14:paraId="366CCF6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1090" w:type="dxa"/>
                  <w:vAlign w:val="center"/>
                </w:tcPr>
                <w:p w14:paraId="18D92A50">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0.0139 </w:t>
                  </w:r>
                </w:p>
              </w:tc>
              <w:tc>
                <w:tcPr>
                  <w:tcW w:w="977" w:type="dxa"/>
                  <w:vAlign w:val="center"/>
                </w:tcPr>
                <w:p w14:paraId="7DFF4E3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w:t>
                  </w:r>
                </w:p>
              </w:tc>
              <w:tc>
                <w:tcPr>
                  <w:tcW w:w="1255" w:type="dxa"/>
                  <w:vMerge w:val="continue"/>
                  <w:vAlign w:val="center"/>
                </w:tcPr>
                <w:p w14:paraId="18F7FEA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626CD6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3574852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4EF1F9B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62C6C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Merge w:val="continue"/>
                  <w:vAlign w:val="center"/>
                </w:tcPr>
                <w:p w14:paraId="2DDF0BC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4EBD018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vAlign w:val="center"/>
                </w:tcPr>
                <w:p w14:paraId="25BA20F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1FB681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6470DE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65A03A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1090" w:type="dxa"/>
                  <w:vAlign w:val="center"/>
                </w:tcPr>
                <w:p w14:paraId="306230AC">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0.0014 </w:t>
                  </w:r>
                </w:p>
              </w:tc>
              <w:tc>
                <w:tcPr>
                  <w:tcW w:w="977" w:type="dxa"/>
                  <w:vAlign w:val="center"/>
                </w:tcPr>
                <w:p w14:paraId="0847BA7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1255" w:type="dxa"/>
                  <w:vMerge w:val="continue"/>
                  <w:vAlign w:val="center"/>
                </w:tcPr>
                <w:p w14:paraId="3A05CD4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3FB0B2B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0E0B076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22A85A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50464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Align w:val="center"/>
                </w:tcPr>
                <w:p w14:paraId="3D12FC0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bookmarkStart w:id="49" w:name="OLE_LINK3" w:colFirst="7" w:colLast="7"/>
                  <w:r>
                    <w:rPr>
                      <w:rFonts w:hint="eastAsia" w:ascii="Times New Roman" w:hAnsi="Times New Roman" w:eastAsia="仿宋_GB2312" w:cs="Times New Roman"/>
                      <w:color w:val="auto"/>
                      <w:kern w:val="0"/>
                      <w:sz w:val="21"/>
                    </w:rPr>
                    <w:t>食品用原料</w:t>
                  </w:r>
                  <w:r>
                    <w:rPr>
                      <w:rFonts w:hint="default" w:ascii="Times New Roman" w:hAnsi="Times New Roman" w:eastAsia="仿宋_GB2312" w:cs="Times New Roman"/>
                      <w:color w:val="auto"/>
                      <w:kern w:val="0"/>
                      <w:sz w:val="21"/>
                    </w:rPr>
                    <w:t>γ-氨基丁酸</w:t>
                  </w:r>
                </w:p>
              </w:tc>
              <w:tc>
                <w:tcPr>
                  <w:tcW w:w="980" w:type="dxa"/>
                  <w:vAlign w:val="center"/>
                </w:tcPr>
                <w:p w14:paraId="427EAAF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G1-5</w:t>
                  </w:r>
                </w:p>
              </w:tc>
              <w:tc>
                <w:tcPr>
                  <w:tcW w:w="1401" w:type="dxa"/>
                  <w:vAlign w:val="center"/>
                </w:tcPr>
                <w:p w14:paraId="570B0CE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400</w:t>
                  </w:r>
                </w:p>
              </w:tc>
              <w:tc>
                <w:tcPr>
                  <w:tcW w:w="1343" w:type="dxa"/>
                  <w:vAlign w:val="center"/>
                </w:tcPr>
                <w:p w14:paraId="04842B5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160</w:t>
                  </w:r>
                </w:p>
              </w:tc>
              <w:tc>
                <w:tcPr>
                  <w:tcW w:w="1708" w:type="dxa"/>
                  <w:vAlign w:val="center"/>
                </w:tcPr>
                <w:p w14:paraId="5EFD74B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包装</w:t>
                  </w:r>
                </w:p>
              </w:tc>
              <w:tc>
                <w:tcPr>
                  <w:tcW w:w="1442" w:type="dxa"/>
                  <w:vAlign w:val="center"/>
                </w:tcPr>
                <w:p w14:paraId="2F0FE24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1CD05DF6">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0.0338 </w:t>
                  </w:r>
                </w:p>
              </w:tc>
              <w:tc>
                <w:tcPr>
                  <w:tcW w:w="977" w:type="dxa"/>
                  <w:vAlign w:val="center"/>
                </w:tcPr>
                <w:p w14:paraId="75A3354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0.0054</w:t>
                  </w:r>
                </w:p>
              </w:tc>
              <w:tc>
                <w:tcPr>
                  <w:tcW w:w="1255" w:type="dxa"/>
                  <w:vMerge w:val="restart"/>
                  <w:vAlign w:val="center"/>
                </w:tcPr>
                <w:p w14:paraId="47889E6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布袋除尘后经排气筒（DA001）排放</w:t>
                  </w:r>
                </w:p>
              </w:tc>
              <w:tc>
                <w:tcPr>
                  <w:tcW w:w="611" w:type="dxa"/>
                  <w:vMerge w:val="restart"/>
                  <w:vAlign w:val="center"/>
                </w:tcPr>
                <w:p w14:paraId="0ED7C7D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15</w:t>
                  </w:r>
                </w:p>
              </w:tc>
              <w:tc>
                <w:tcPr>
                  <w:tcW w:w="650" w:type="dxa"/>
                  <w:vMerge w:val="restart"/>
                  <w:vAlign w:val="center"/>
                </w:tcPr>
                <w:p w14:paraId="1AF158D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w:t>
                  </w:r>
                </w:p>
              </w:tc>
              <w:tc>
                <w:tcPr>
                  <w:tcW w:w="609" w:type="dxa"/>
                  <w:vMerge w:val="restart"/>
                  <w:vAlign w:val="center"/>
                </w:tcPr>
                <w:p w14:paraId="1AA6045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常温</w:t>
                  </w:r>
                </w:p>
              </w:tc>
            </w:tr>
            <w:tr w14:paraId="6EAC1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Align w:val="center"/>
                </w:tcPr>
                <w:p w14:paraId="49C2B9C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二氢槲皮素保健食品粉</w:t>
                  </w:r>
                </w:p>
              </w:tc>
              <w:tc>
                <w:tcPr>
                  <w:tcW w:w="980" w:type="dxa"/>
                  <w:noWrap/>
                  <w:vAlign w:val="center"/>
                </w:tcPr>
                <w:p w14:paraId="7857BB9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G2-5</w:t>
                  </w:r>
                </w:p>
              </w:tc>
              <w:tc>
                <w:tcPr>
                  <w:tcW w:w="1401" w:type="dxa"/>
                  <w:vAlign w:val="center"/>
                </w:tcPr>
                <w:p w14:paraId="4537DA0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400</w:t>
                  </w:r>
                </w:p>
              </w:tc>
              <w:tc>
                <w:tcPr>
                  <w:tcW w:w="1343" w:type="dxa"/>
                  <w:noWrap/>
                  <w:vAlign w:val="center"/>
                </w:tcPr>
                <w:p w14:paraId="77C813A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160</w:t>
                  </w:r>
                </w:p>
              </w:tc>
              <w:tc>
                <w:tcPr>
                  <w:tcW w:w="1708" w:type="dxa"/>
                  <w:noWrap/>
                  <w:vAlign w:val="center"/>
                </w:tcPr>
                <w:p w14:paraId="5D65651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包装</w:t>
                  </w:r>
                </w:p>
              </w:tc>
              <w:tc>
                <w:tcPr>
                  <w:tcW w:w="1442" w:type="dxa"/>
                  <w:noWrap/>
                  <w:vAlign w:val="center"/>
                </w:tcPr>
                <w:p w14:paraId="54BFE59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58E5CE5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0.0269 </w:t>
                  </w:r>
                </w:p>
              </w:tc>
              <w:tc>
                <w:tcPr>
                  <w:tcW w:w="977" w:type="dxa"/>
                  <w:noWrap/>
                  <w:vAlign w:val="center"/>
                </w:tcPr>
                <w:p w14:paraId="050E10B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0.0043</w:t>
                  </w:r>
                </w:p>
              </w:tc>
              <w:tc>
                <w:tcPr>
                  <w:tcW w:w="1255" w:type="dxa"/>
                  <w:vMerge w:val="continue"/>
                  <w:noWrap/>
                  <w:vAlign w:val="center"/>
                </w:tcPr>
                <w:p w14:paraId="5C4A6D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534D56B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14AFC63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2ABDA9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5C3E0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restart"/>
                  <w:vAlign w:val="center"/>
                </w:tcPr>
                <w:p w14:paraId="4C9CA87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eastAsia" w:ascii="Times New Roman" w:hAnsi="Times New Roman" w:eastAsia="仿宋_GB2312" w:cs="Times New Roman"/>
                      <w:color w:val="auto"/>
                      <w:kern w:val="0"/>
                      <w:sz w:val="21"/>
                      <w:highlight w:val="none"/>
                    </w:rPr>
                    <w:t>γ-氨基丁酸</w:t>
                  </w:r>
                  <w:r>
                    <w:rPr>
                      <w:rFonts w:hint="default" w:ascii="Times New Roman" w:hAnsi="Times New Roman" w:eastAsia="仿宋_GB2312" w:cs="Times New Roman"/>
                      <w:color w:val="auto"/>
                      <w:kern w:val="0"/>
                      <w:sz w:val="21"/>
                      <w:highlight w:val="none"/>
                    </w:rPr>
                    <w:t>保健食品胶囊</w:t>
                  </w:r>
                </w:p>
              </w:tc>
              <w:tc>
                <w:tcPr>
                  <w:tcW w:w="980" w:type="dxa"/>
                  <w:noWrap/>
                  <w:vAlign w:val="center"/>
                </w:tcPr>
                <w:p w14:paraId="324D02B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G3-1-1</w:t>
                  </w:r>
                </w:p>
              </w:tc>
              <w:tc>
                <w:tcPr>
                  <w:tcW w:w="1401" w:type="dxa"/>
                  <w:vAlign w:val="center"/>
                </w:tcPr>
                <w:p w14:paraId="37EF438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500</w:t>
                  </w:r>
                </w:p>
              </w:tc>
              <w:tc>
                <w:tcPr>
                  <w:tcW w:w="1343" w:type="dxa"/>
                  <w:noWrap/>
                  <w:vAlign w:val="center"/>
                </w:tcPr>
                <w:p w14:paraId="2F36875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40</w:t>
                  </w:r>
                </w:p>
              </w:tc>
              <w:tc>
                <w:tcPr>
                  <w:tcW w:w="1708" w:type="dxa"/>
                  <w:noWrap/>
                  <w:vAlign w:val="center"/>
                </w:tcPr>
                <w:p w14:paraId="25460DE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混合</w:t>
                  </w:r>
                </w:p>
              </w:tc>
              <w:tc>
                <w:tcPr>
                  <w:tcW w:w="1442" w:type="dxa"/>
                  <w:noWrap/>
                  <w:vAlign w:val="center"/>
                </w:tcPr>
                <w:p w14:paraId="3DA432B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7E5F46B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0.7000 </w:t>
                  </w:r>
                </w:p>
              </w:tc>
              <w:tc>
                <w:tcPr>
                  <w:tcW w:w="977" w:type="dxa"/>
                  <w:noWrap/>
                  <w:vAlign w:val="center"/>
                </w:tcPr>
                <w:p w14:paraId="2FEB18C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0.028</w:t>
                  </w:r>
                </w:p>
              </w:tc>
              <w:tc>
                <w:tcPr>
                  <w:tcW w:w="1255" w:type="dxa"/>
                  <w:vMerge w:val="continue"/>
                  <w:noWrap/>
                  <w:vAlign w:val="center"/>
                </w:tcPr>
                <w:p w14:paraId="287D518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6418447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13C2F5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405965B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19C3F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continue"/>
                  <w:vAlign w:val="center"/>
                </w:tcPr>
                <w:p w14:paraId="649CB97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noWrap/>
                  <w:vAlign w:val="center"/>
                </w:tcPr>
                <w:p w14:paraId="6951FF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G3-1-2</w:t>
                  </w:r>
                </w:p>
              </w:tc>
              <w:tc>
                <w:tcPr>
                  <w:tcW w:w="1401" w:type="dxa"/>
                  <w:vAlign w:val="center"/>
                </w:tcPr>
                <w:p w14:paraId="52DB607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2800</w:t>
                  </w:r>
                </w:p>
              </w:tc>
              <w:tc>
                <w:tcPr>
                  <w:tcW w:w="1343" w:type="dxa"/>
                  <w:noWrap/>
                  <w:vAlign w:val="center"/>
                </w:tcPr>
                <w:p w14:paraId="44D52BD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1920</w:t>
                  </w:r>
                </w:p>
              </w:tc>
              <w:tc>
                <w:tcPr>
                  <w:tcW w:w="1708" w:type="dxa"/>
                  <w:noWrap/>
                  <w:vAlign w:val="center"/>
                </w:tcPr>
                <w:p w14:paraId="587602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沸腾干燥</w:t>
                  </w:r>
                </w:p>
              </w:tc>
              <w:tc>
                <w:tcPr>
                  <w:tcW w:w="1442" w:type="dxa"/>
                  <w:noWrap/>
                  <w:vAlign w:val="center"/>
                </w:tcPr>
                <w:p w14:paraId="2123995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73A9E79A">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0.0161 </w:t>
                  </w:r>
                </w:p>
              </w:tc>
              <w:tc>
                <w:tcPr>
                  <w:tcW w:w="977" w:type="dxa"/>
                  <w:noWrap/>
                  <w:vAlign w:val="center"/>
                </w:tcPr>
                <w:p w14:paraId="3267312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0.031</w:t>
                  </w:r>
                </w:p>
              </w:tc>
              <w:tc>
                <w:tcPr>
                  <w:tcW w:w="1255" w:type="dxa"/>
                  <w:vMerge w:val="continue"/>
                  <w:noWrap/>
                  <w:vAlign w:val="center"/>
                </w:tcPr>
                <w:p w14:paraId="70754CC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7BDD311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5B6DB41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780C4BE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4A758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3" w:type="dxa"/>
                  <w:vMerge w:val="continue"/>
                  <w:vAlign w:val="center"/>
                </w:tcPr>
                <w:p w14:paraId="460CA9C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noWrap/>
                  <w:vAlign w:val="center"/>
                </w:tcPr>
                <w:p w14:paraId="557519D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G3-1-3</w:t>
                  </w:r>
                </w:p>
              </w:tc>
              <w:tc>
                <w:tcPr>
                  <w:tcW w:w="1401" w:type="dxa"/>
                  <w:vAlign w:val="center"/>
                </w:tcPr>
                <w:p w14:paraId="6BC23DB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100</w:t>
                  </w:r>
                </w:p>
              </w:tc>
              <w:tc>
                <w:tcPr>
                  <w:tcW w:w="1343" w:type="dxa"/>
                  <w:noWrap/>
                  <w:vAlign w:val="center"/>
                </w:tcPr>
                <w:p w14:paraId="11177CD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480</w:t>
                  </w:r>
                </w:p>
              </w:tc>
              <w:tc>
                <w:tcPr>
                  <w:tcW w:w="1708" w:type="dxa"/>
                  <w:noWrap/>
                  <w:vAlign w:val="center"/>
                </w:tcPr>
                <w:p w14:paraId="00A0A90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胶囊装载</w:t>
                  </w:r>
                </w:p>
              </w:tc>
              <w:tc>
                <w:tcPr>
                  <w:tcW w:w="1442" w:type="dxa"/>
                  <w:noWrap/>
                  <w:vAlign w:val="center"/>
                </w:tcPr>
                <w:p w14:paraId="7A0C25D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00FCD168">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0.0625 </w:t>
                  </w:r>
                </w:p>
              </w:tc>
              <w:tc>
                <w:tcPr>
                  <w:tcW w:w="977" w:type="dxa"/>
                  <w:noWrap/>
                  <w:vAlign w:val="center"/>
                </w:tcPr>
                <w:p w14:paraId="457540A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w:t>
                  </w:r>
                </w:p>
              </w:tc>
              <w:tc>
                <w:tcPr>
                  <w:tcW w:w="1255" w:type="dxa"/>
                  <w:vMerge w:val="continue"/>
                  <w:noWrap/>
                  <w:vAlign w:val="center"/>
                </w:tcPr>
                <w:p w14:paraId="5229814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036EE6F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7329C1A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3785E99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76D40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restart"/>
                  <w:vAlign w:val="center"/>
                </w:tcPr>
                <w:p w14:paraId="77C2FE5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二氢槲皮素</w:t>
                  </w:r>
                  <w:r>
                    <w:rPr>
                      <w:rFonts w:hint="default" w:ascii="Times New Roman" w:hAnsi="Times New Roman" w:eastAsia="仿宋_GB2312" w:cs="Times New Roman"/>
                      <w:color w:val="auto"/>
                      <w:kern w:val="0"/>
                      <w:sz w:val="21"/>
                      <w:highlight w:val="none"/>
                    </w:rPr>
                    <w:t>保健食品胶囊</w:t>
                  </w:r>
                </w:p>
              </w:tc>
              <w:tc>
                <w:tcPr>
                  <w:tcW w:w="980" w:type="dxa"/>
                  <w:noWrap/>
                  <w:vAlign w:val="center"/>
                </w:tcPr>
                <w:p w14:paraId="58301B8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G3-2-1</w:t>
                  </w:r>
                </w:p>
              </w:tc>
              <w:tc>
                <w:tcPr>
                  <w:tcW w:w="1401" w:type="dxa"/>
                  <w:vAlign w:val="center"/>
                </w:tcPr>
                <w:p w14:paraId="5237419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500</w:t>
                  </w:r>
                </w:p>
              </w:tc>
              <w:tc>
                <w:tcPr>
                  <w:tcW w:w="1343" w:type="dxa"/>
                  <w:noWrap/>
                  <w:vAlign w:val="center"/>
                </w:tcPr>
                <w:p w14:paraId="0FD379E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w:t>
                  </w:r>
                </w:p>
              </w:tc>
              <w:tc>
                <w:tcPr>
                  <w:tcW w:w="1708" w:type="dxa"/>
                  <w:noWrap/>
                  <w:vAlign w:val="center"/>
                </w:tcPr>
                <w:p w14:paraId="197B91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混合</w:t>
                  </w:r>
                </w:p>
              </w:tc>
              <w:tc>
                <w:tcPr>
                  <w:tcW w:w="1442" w:type="dxa"/>
                  <w:noWrap/>
                  <w:vAlign w:val="center"/>
                </w:tcPr>
                <w:p w14:paraId="55D1B69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2A80E53D">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0.7000 </w:t>
                  </w:r>
                </w:p>
              </w:tc>
              <w:tc>
                <w:tcPr>
                  <w:tcW w:w="977" w:type="dxa"/>
                  <w:noWrap/>
                  <w:vAlign w:val="center"/>
                </w:tcPr>
                <w:p w14:paraId="782591D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0.007</w:t>
                  </w:r>
                </w:p>
              </w:tc>
              <w:tc>
                <w:tcPr>
                  <w:tcW w:w="1255" w:type="dxa"/>
                  <w:vMerge w:val="continue"/>
                  <w:noWrap/>
                  <w:vAlign w:val="center"/>
                </w:tcPr>
                <w:p w14:paraId="3C6577D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2E7C847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1DB7197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5D154C7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7D157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continue"/>
                  <w:vAlign w:val="center"/>
                </w:tcPr>
                <w:p w14:paraId="2CAD5E6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noWrap/>
                  <w:vAlign w:val="center"/>
                </w:tcPr>
                <w:p w14:paraId="358356A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G3-2-2</w:t>
                  </w:r>
                </w:p>
              </w:tc>
              <w:tc>
                <w:tcPr>
                  <w:tcW w:w="1401" w:type="dxa"/>
                  <w:vAlign w:val="center"/>
                </w:tcPr>
                <w:p w14:paraId="0122D56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2800</w:t>
                  </w:r>
                </w:p>
              </w:tc>
              <w:tc>
                <w:tcPr>
                  <w:tcW w:w="1343" w:type="dxa"/>
                  <w:noWrap/>
                  <w:vAlign w:val="center"/>
                </w:tcPr>
                <w:p w14:paraId="3BD4C4D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480</w:t>
                  </w:r>
                </w:p>
              </w:tc>
              <w:tc>
                <w:tcPr>
                  <w:tcW w:w="1708" w:type="dxa"/>
                  <w:noWrap/>
                  <w:vAlign w:val="center"/>
                </w:tcPr>
                <w:p w14:paraId="25D6B4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沸腾干燥</w:t>
                  </w:r>
                </w:p>
              </w:tc>
              <w:tc>
                <w:tcPr>
                  <w:tcW w:w="1442" w:type="dxa"/>
                  <w:noWrap/>
                  <w:vAlign w:val="center"/>
                </w:tcPr>
                <w:p w14:paraId="4E017E8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6DD039B1">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0.0160 </w:t>
                  </w:r>
                </w:p>
              </w:tc>
              <w:tc>
                <w:tcPr>
                  <w:tcW w:w="977" w:type="dxa"/>
                  <w:noWrap/>
                  <w:vAlign w:val="center"/>
                </w:tcPr>
                <w:p w14:paraId="2B972EB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0.0077</w:t>
                  </w:r>
                </w:p>
              </w:tc>
              <w:tc>
                <w:tcPr>
                  <w:tcW w:w="1255" w:type="dxa"/>
                  <w:vMerge w:val="continue"/>
                  <w:noWrap/>
                  <w:vAlign w:val="center"/>
                </w:tcPr>
                <w:p w14:paraId="19E9CFD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1F41037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2B72F3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14A0441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1EB4E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continue"/>
                  <w:vAlign w:val="center"/>
                </w:tcPr>
                <w:p w14:paraId="0EAE3A4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noWrap/>
                  <w:vAlign w:val="center"/>
                </w:tcPr>
                <w:p w14:paraId="2E7740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G3-2-3</w:t>
                  </w:r>
                </w:p>
              </w:tc>
              <w:tc>
                <w:tcPr>
                  <w:tcW w:w="1401" w:type="dxa"/>
                  <w:vAlign w:val="center"/>
                </w:tcPr>
                <w:p w14:paraId="7C5F38F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100</w:t>
                  </w:r>
                </w:p>
              </w:tc>
              <w:tc>
                <w:tcPr>
                  <w:tcW w:w="1343" w:type="dxa"/>
                  <w:noWrap/>
                  <w:vAlign w:val="center"/>
                </w:tcPr>
                <w:p w14:paraId="31618D0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120</w:t>
                  </w:r>
                </w:p>
              </w:tc>
              <w:tc>
                <w:tcPr>
                  <w:tcW w:w="1708" w:type="dxa"/>
                  <w:noWrap/>
                  <w:vAlign w:val="center"/>
                </w:tcPr>
                <w:p w14:paraId="7A42E99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胶囊装载</w:t>
                  </w:r>
                </w:p>
              </w:tc>
              <w:tc>
                <w:tcPr>
                  <w:tcW w:w="1442" w:type="dxa"/>
                  <w:noWrap/>
                  <w:vAlign w:val="center"/>
                </w:tcPr>
                <w:p w14:paraId="516ACE7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2739F72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0.0667 </w:t>
                  </w:r>
                </w:p>
              </w:tc>
              <w:tc>
                <w:tcPr>
                  <w:tcW w:w="977" w:type="dxa"/>
                  <w:noWrap/>
                  <w:vAlign w:val="center"/>
                </w:tcPr>
                <w:p w14:paraId="333B4BE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0.008</w:t>
                  </w:r>
                </w:p>
              </w:tc>
              <w:tc>
                <w:tcPr>
                  <w:tcW w:w="1255" w:type="dxa"/>
                  <w:vMerge w:val="continue"/>
                  <w:noWrap/>
                  <w:vAlign w:val="center"/>
                </w:tcPr>
                <w:p w14:paraId="30A3AB6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4DAF371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3896BAA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342E5AA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5E18B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53" w:type="dxa"/>
                  <w:vAlign w:val="center"/>
                </w:tcPr>
                <w:p w14:paraId="5B738B5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称量间</w:t>
                  </w:r>
                </w:p>
              </w:tc>
              <w:tc>
                <w:tcPr>
                  <w:tcW w:w="980" w:type="dxa"/>
                  <w:noWrap/>
                  <w:vAlign w:val="center"/>
                </w:tcPr>
                <w:p w14:paraId="1644A83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1401" w:type="dxa"/>
                  <w:vAlign w:val="center"/>
                </w:tcPr>
                <w:p w14:paraId="77002AF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200</w:t>
                  </w:r>
                </w:p>
              </w:tc>
              <w:tc>
                <w:tcPr>
                  <w:tcW w:w="1343" w:type="dxa"/>
                  <w:noWrap/>
                  <w:vAlign w:val="center"/>
                </w:tcPr>
                <w:p w14:paraId="2378F87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80</w:t>
                  </w:r>
                </w:p>
              </w:tc>
              <w:tc>
                <w:tcPr>
                  <w:tcW w:w="1708" w:type="dxa"/>
                  <w:noWrap/>
                  <w:vAlign w:val="center"/>
                </w:tcPr>
                <w:p w14:paraId="0C3F5E1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投料</w:t>
                  </w:r>
                </w:p>
              </w:tc>
              <w:tc>
                <w:tcPr>
                  <w:tcW w:w="1442" w:type="dxa"/>
                  <w:noWrap/>
                  <w:vAlign w:val="center"/>
                </w:tcPr>
                <w:p w14:paraId="7B0C737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vAlign w:val="center"/>
                </w:tcPr>
                <w:p w14:paraId="5D3FA399">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b w:val="0"/>
                      <w:bCs w:val="0"/>
                      <w:color w:val="auto"/>
                      <w:szCs w:val="21"/>
                      <w:lang w:val="en-US" w:eastAsia="zh-CN"/>
                    </w:rPr>
                  </w:pPr>
                  <w:r>
                    <w:rPr>
                      <w:rFonts w:hint="default" w:ascii="Times New Roman" w:hAnsi="Times New Roman" w:eastAsia="仿宋_GB2312" w:cs="Times New Roman"/>
                      <w:b w:val="0"/>
                      <w:bCs w:val="0"/>
                      <w:color w:val="auto"/>
                      <w:szCs w:val="21"/>
                      <w:lang w:val="en-US"/>
                    </w:rPr>
                    <w:t>0.</w:t>
                  </w:r>
                  <w:r>
                    <w:rPr>
                      <w:rFonts w:hint="eastAsia" w:ascii="Times New Roman" w:hAnsi="Times New Roman" w:cs="Times New Roman"/>
                      <w:b w:val="0"/>
                      <w:bCs w:val="0"/>
                      <w:color w:val="auto"/>
                      <w:szCs w:val="21"/>
                      <w:lang w:val="en-US" w:eastAsia="zh-CN"/>
                    </w:rPr>
                    <w:t>079</w:t>
                  </w:r>
                </w:p>
              </w:tc>
              <w:tc>
                <w:tcPr>
                  <w:tcW w:w="977" w:type="dxa"/>
                  <w:noWrap/>
                  <w:vAlign w:val="center"/>
                </w:tcPr>
                <w:p w14:paraId="37050B0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b w:val="0"/>
                      <w:bCs w:val="0"/>
                      <w:color w:val="auto"/>
                      <w:kern w:val="0"/>
                      <w:sz w:val="21"/>
                      <w:lang w:val="en-US" w:eastAsia="zh-CN"/>
                    </w:rPr>
                  </w:pPr>
                  <w:r>
                    <w:rPr>
                      <w:rFonts w:hint="default" w:ascii="Times New Roman" w:hAnsi="Times New Roman" w:eastAsia="仿宋_GB2312" w:cs="Times New Roman"/>
                      <w:b w:val="0"/>
                      <w:bCs w:val="0"/>
                      <w:color w:val="auto"/>
                      <w:kern w:val="0"/>
                      <w:sz w:val="21"/>
                    </w:rPr>
                    <w:t>0.0</w:t>
                  </w:r>
                  <w:r>
                    <w:rPr>
                      <w:rFonts w:hint="eastAsia" w:eastAsia="仿宋_GB2312" w:cs="Times New Roman"/>
                      <w:b w:val="0"/>
                      <w:bCs w:val="0"/>
                      <w:color w:val="auto"/>
                      <w:kern w:val="0"/>
                      <w:sz w:val="21"/>
                      <w:lang w:val="en-US" w:eastAsia="zh-CN"/>
                    </w:rPr>
                    <w:t>063</w:t>
                  </w:r>
                </w:p>
              </w:tc>
              <w:tc>
                <w:tcPr>
                  <w:tcW w:w="1255" w:type="dxa"/>
                  <w:vMerge w:val="continue"/>
                  <w:vAlign w:val="center"/>
                </w:tcPr>
                <w:p w14:paraId="1B676E9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6CB72F1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3F88284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4BEB16C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bookmarkEnd w:id="49"/>
            <w:tr w14:paraId="2FA94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restart"/>
                  <w:vAlign w:val="center"/>
                </w:tcPr>
                <w:p w14:paraId="31E6448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bookmarkStart w:id="50" w:name="OLE_LINK55"/>
                  <w:r>
                    <w:rPr>
                      <w:rFonts w:hint="default" w:ascii="Times New Roman" w:hAnsi="Times New Roman" w:eastAsia="仿宋_GB2312" w:cs="Times New Roman"/>
                      <w:color w:val="auto"/>
                      <w:kern w:val="0"/>
                      <w:sz w:val="21"/>
                    </w:rPr>
                    <w:t>燃气蒸汽发生器</w:t>
                  </w:r>
                  <w:bookmarkEnd w:id="50"/>
                </w:p>
              </w:tc>
              <w:tc>
                <w:tcPr>
                  <w:tcW w:w="980" w:type="dxa"/>
                  <w:vMerge w:val="restart"/>
                  <w:vAlign w:val="center"/>
                </w:tcPr>
                <w:p w14:paraId="29AB7F5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1401" w:type="dxa"/>
                  <w:vMerge w:val="restart"/>
                  <w:noWrap/>
                  <w:vAlign w:val="center"/>
                </w:tcPr>
                <w:p w14:paraId="408BA5C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1000</w:t>
                  </w:r>
                </w:p>
              </w:tc>
              <w:tc>
                <w:tcPr>
                  <w:tcW w:w="1343" w:type="dxa"/>
                  <w:vMerge w:val="restart"/>
                  <w:vAlign w:val="center"/>
                </w:tcPr>
                <w:p w14:paraId="707FFD7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6000</w:t>
                  </w:r>
                </w:p>
              </w:tc>
              <w:tc>
                <w:tcPr>
                  <w:tcW w:w="1708" w:type="dxa"/>
                  <w:vMerge w:val="restart"/>
                  <w:vAlign w:val="center"/>
                </w:tcPr>
                <w:p w14:paraId="563153A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燃气蒸汽发生器</w:t>
                  </w:r>
                </w:p>
              </w:tc>
              <w:tc>
                <w:tcPr>
                  <w:tcW w:w="1442" w:type="dxa"/>
                  <w:vAlign w:val="center"/>
                </w:tcPr>
                <w:p w14:paraId="4F90CCA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090" w:type="dxa"/>
                  <w:noWrap/>
                  <w:vAlign w:val="center"/>
                </w:tcPr>
                <w:p w14:paraId="66AC3B30">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0.0065</w:t>
                  </w:r>
                </w:p>
              </w:tc>
              <w:tc>
                <w:tcPr>
                  <w:tcW w:w="977" w:type="dxa"/>
                  <w:noWrap/>
                  <w:vAlign w:val="center"/>
                </w:tcPr>
                <w:p w14:paraId="3A20DBC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0.004</w:t>
                  </w:r>
                </w:p>
              </w:tc>
              <w:tc>
                <w:tcPr>
                  <w:tcW w:w="1255" w:type="dxa"/>
                  <w:vMerge w:val="restart"/>
                  <w:vAlign w:val="center"/>
                </w:tcPr>
                <w:p w14:paraId="5DB40DD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经排气筒（DA003）排放</w:t>
                  </w:r>
                </w:p>
              </w:tc>
              <w:tc>
                <w:tcPr>
                  <w:tcW w:w="611" w:type="dxa"/>
                  <w:vMerge w:val="restart"/>
                  <w:vAlign w:val="center"/>
                </w:tcPr>
                <w:p w14:paraId="04D87E7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15</w:t>
                  </w:r>
                </w:p>
              </w:tc>
              <w:tc>
                <w:tcPr>
                  <w:tcW w:w="650" w:type="dxa"/>
                  <w:vMerge w:val="restart"/>
                  <w:vAlign w:val="center"/>
                </w:tcPr>
                <w:p w14:paraId="4D89433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w:t>
                  </w:r>
                </w:p>
              </w:tc>
              <w:tc>
                <w:tcPr>
                  <w:tcW w:w="609" w:type="dxa"/>
                  <w:vMerge w:val="restart"/>
                  <w:vAlign w:val="center"/>
                </w:tcPr>
                <w:p w14:paraId="5EEEF16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80</w:t>
                  </w:r>
                </w:p>
              </w:tc>
            </w:tr>
            <w:tr w14:paraId="14910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continue"/>
                  <w:vAlign w:val="center"/>
                </w:tcPr>
                <w:p w14:paraId="4AB2ECA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7C1CC5C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noWrap/>
                  <w:vAlign w:val="center"/>
                </w:tcPr>
                <w:p w14:paraId="1C92BCD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5E27E8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0407405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4F10D61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NOx</w:t>
                  </w:r>
                </w:p>
              </w:tc>
              <w:tc>
                <w:tcPr>
                  <w:tcW w:w="1090" w:type="dxa"/>
                  <w:noWrap/>
                  <w:vAlign w:val="center"/>
                </w:tcPr>
                <w:p w14:paraId="137E1557">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0.0323</w:t>
                  </w:r>
                </w:p>
              </w:tc>
              <w:tc>
                <w:tcPr>
                  <w:tcW w:w="977" w:type="dxa"/>
                  <w:noWrap/>
                  <w:vAlign w:val="center"/>
                </w:tcPr>
                <w:p w14:paraId="2B80EFB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c>
                <w:tcPr>
                  <w:tcW w:w="1255" w:type="dxa"/>
                  <w:vMerge w:val="continue"/>
                  <w:vAlign w:val="center"/>
                </w:tcPr>
                <w:p w14:paraId="06F7503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2273E67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0DA26A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52FFA6B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r w14:paraId="652D0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53" w:type="dxa"/>
                  <w:vMerge w:val="continue"/>
                  <w:vAlign w:val="center"/>
                </w:tcPr>
                <w:p w14:paraId="113A8BC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980" w:type="dxa"/>
                  <w:vMerge w:val="continue"/>
                  <w:vAlign w:val="center"/>
                </w:tcPr>
                <w:p w14:paraId="0A3D85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01" w:type="dxa"/>
                  <w:vMerge w:val="continue"/>
                  <w:noWrap/>
                  <w:vAlign w:val="center"/>
                </w:tcPr>
                <w:p w14:paraId="4694BF4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343" w:type="dxa"/>
                  <w:vMerge w:val="continue"/>
                  <w:vAlign w:val="center"/>
                </w:tcPr>
                <w:p w14:paraId="5F975CA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708" w:type="dxa"/>
                  <w:vMerge w:val="continue"/>
                  <w:vAlign w:val="center"/>
                </w:tcPr>
                <w:p w14:paraId="2EB619C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1442" w:type="dxa"/>
                  <w:vAlign w:val="center"/>
                </w:tcPr>
                <w:p w14:paraId="35C911B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SO</w:t>
                  </w:r>
                  <w:r>
                    <w:rPr>
                      <w:rFonts w:hint="default" w:ascii="Times New Roman" w:hAnsi="Times New Roman" w:eastAsia="仿宋_GB2312" w:cs="Times New Roman"/>
                      <w:color w:val="auto"/>
                      <w:kern w:val="0"/>
                      <w:sz w:val="21"/>
                      <w:vertAlign w:val="subscript"/>
                    </w:rPr>
                    <w:t>2</w:t>
                  </w:r>
                </w:p>
              </w:tc>
              <w:tc>
                <w:tcPr>
                  <w:tcW w:w="1090" w:type="dxa"/>
                  <w:noWrap/>
                  <w:vAlign w:val="center"/>
                </w:tcPr>
                <w:p w14:paraId="5BEDC41B">
                  <w:pPr>
                    <w:pStyle w:val="1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0.0032</w:t>
                  </w:r>
                </w:p>
              </w:tc>
              <w:tc>
                <w:tcPr>
                  <w:tcW w:w="977" w:type="dxa"/>
                  <w:noWrap/>
                  <w:vAlign w:val="center"/>
                </w:tcPr>
                <w:p w14:paraId="60FF6D9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0.002</w:t>
                  </w:r>
                </w:p>
              </w:tc>
              <w:tc>
                <w:tcPr>
                  <w:tcW w:w="1255" w:type="dxa"/>
                  <w:vMerge w:val="continue"/>
                  <w:vAlign w:val="center"/>
                </w:tcPr>
                <w:p w14:paraId="4E444C6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11" w:type="dxa"/>
                  <w:vMerge w:val="continue"/>
                  <w:vAlign w:val="center"/>
                </w:tcPr>
                <w:p w14:paraId="037606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50" w:type="dxa"/>
                  <w:vMerge w:val="continue"/>
                  <w:vAlign w:val="center"/>
                </w:tcPr>
                <w:p w14:paraId="76163F9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c>
                <w:tcPr>
                  <w:tcW w:w="609" w:type="dxa"/>
                  <w:vMerge w:val="continue"/>
                  <w:vAlign w:val="center"/>
                </w:tcPr>
                <w:p w14:paraId="278968B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rPr>
                  </w:pPr>
                </w:p>
              </w:tc>
            </w:tr>
          </w:tbl>
          <w:p w14:paraId="62FB7391">
            <w:pPr>
              <w:keepNext w:val="0"/>
              <w:keepLines w:val="0"/>
              <w:suppressLineNumbers w:val="0"/>
              <w:spacing w:before="0" w:beforeAutospacing="0" w:after="0" w:afterAutospacing="0"/>
              <w:ind w:left="0" w:right="0" w:firstLine="420" w:firstLineChars="200"/>
              <w:contextualSpacing/>
              <w:rPr>
                <w:rFonts w:hint="eastAsia" w:ascii="Times New Roman" w:hAnsi="Times New Roman" w:eastAsia="仿宋_GB2312" w:cs="Times New Roman"/>
                <w:color w:val="auto"/>
                <w:sz w:val="21"/>
                <w:lang w:eastAsia="zh-CN"/>
              </w:rPr>
            </w:pPr>
            <w:r>
              <w:rPr>
                <w:rFonts w:hint="default" w:ascii="Times New Roman" w:hAnsi="Times New Roman" w:eastAsia="仿宋_GB2312" w:cs="Times New Roman"/>
                <w:color w:val="auto"/>
                <w:sz w:val="21"/>
              </w:rPr>
              <w:t>注</w:t>
            </w:r>
            <w:r>
              <w:rPr>
                <w:rFonts w:hint="eastAsia" w:eastAsia="仿宋_GB2312" w:cs="Times New Roman"/>
                <w:color w:val="auto"/>
                <w:sz w:val="21"/>
                <w:lang w:val="en-US" w:eastAsia="zh-CN"/>
              </w:rPr>
              <w:t>:</w:t>
            </w:r>
            <w:r>
              <w:rPr>
                <w:rFonts w:hint="eastAsia" w:eastAsia="仿宋_GB2312" w:cs="Times New Roman"/>
                <w:color w:val="auto"/>
                <w:sz w:val="21"/>
                <w:lang w:eastAsia="zh-CN"/>
              </w:rPr>
              <w:t>（</w:t>
            </w:r>
            <w:r>
              <w:rPr>
                <w:rFonts w:hint="eastAsia" w:eastAsia="仿宋_GB2312" w:cs="Times New Roman"/>
                <w:color w:val="auto"/>
                <w:sz w:val="21"/>
                <w:lang w:val="en-US" w:eastAsia="zh-CN"/>
              </w:rPr>
              <w:t>1</w:t>
            </w:r>
            <w:r>
              <w:rPr>
                <w:rFonts w:hint="eastAsia" w:eastAsia="仿宋_GB2312" w:cs="Times New Roman"/>
                <w:color w:val="auto"/>
                <w:sz w:val="21"/>
                <w:lang w:eastAsia="zh-CN"/>
              </w:rPr>
              <w:t>）</w:t>
            </w:r>
            <w:r>
              <w:rPr>
                <w:rFonts w:hint="default" w:ascii="Times New Roman" w:hAnsi="Times New Roman" w:eastAsia="仿宋_GB2312" w:cs="Times New Roman"/>
                <w:color w:val="auto"/>
                <w:sz w:val="21"/>
              </w:rPr>
              <w:t>水汽不纳入污染因子考虑</w:t>
            </w:r>
            <w:r>
              <w:rPr>
                <w:rFonts w:hint="eastAsia" w:eastAsia="仿宋_GB2312" w:cs="Times New Roman"/>
                <w:color w:val="auto"/>
                <w:sz w:val="21"/>
                <w:lang w:eastAsia="zh-CN"/>
              </w:rPr>
              <w:t>；（</w:t>
            </w:r>
            <w:r>
              <w:rPr>
                <w:rFonts w:hint="eastAsia" w:eastAsia="仿宋_GB2312" w:cs="Times New Roman"/>
                <w:color w:val="auto"/>
                <w:sz w:val="21"/>
                <w:lang w:val="en-US" w:eastAsia="zh-CN"/>
              </w:rPr>
              <w:t>2</w:t>
            </w:r>
            <w:r>
              <w:rPr>
                <w:rFonts w:hint="eastAsia" w:eastAsia="仿宋_GB2312" w:cs="Times New Roman"/>
                <w:color w:val="auto"/>
                <w:sz w:val="21"/>
                <w:lang w:eastAsia="zh-CN"/>
              </w:rPr>
              <w:t>）本项目食品用原料（γ-氨基丁酸）采用生物发酵法制备，生产过程中产生的种子培养废气和发酵废气主要为CO</w:t>
            </w:r>
            <w:r>
              <w:rPr>
                <w:rFonts w:hint="eastAsia" w:eastAsia="仿宋_GB2312" w:cs="Times New Roman"/>
                <w:color w:val="auto"/>
                <w:sz w:val="21"/>
                <w:vertAlign w:val="subscript"/>
                <w:lang w:eastAsia="zh-CN"/>
              </w:rPr>
              <w:t>2</w:t>
            </w:r>
            <w:r>
              <w:rPr>
                <w:rFonts w:hint="eastAsia" w:eastAsia="仿宋_GB2312" w:cs="Times New Roman"/>
                <w:color w:val="auto"/>
                <w:sz w:val="21"/>
                <w:lang w:eastAsia="zh-CN"/>
              </w:rPr>
              <w:t>，不再考虑特征污染物。同时，在种子培养和发酵过程中可能产生异味，所以食品用原料生产过程中产生的种子培养废气和发酵废气正常收集，并经酸吸收+碱吸收+除雾器+两级活性炭吸附处理后，通过DA002排放。</w:t>
            </w:r>
          </w:p>
          <w:p w14:paraId="472A07DA">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w:t>
            </w:r>
            <w:r>
              <w:rPr>
                <w:rFonts w:hint="eastAsia" w:eastAsia="仿宋_GB2312"/>
                <w:color w:val="auto"/>
                <w:sz w:val="24"/>
              </w:rPr>
              <w:t>新建排气筒DA001、DA002、DA003，</w:t>
            </w:r>
            <w:r>
              <w:rPr>
                <w:rFonts w:hint="default" w:eastAsia="仿宋_GB2312"/>
                <w:color w:val="auto"/>
                <w:sz w:val="24"/>
              </w:rPr>
              <w:t>考虑不同生产组合条件下的最不利情况，</w:t>
            </w:r>
            <w:r>
              <w:rPr>
                <w:rFonts w:hint="eastAsia" w:eastAsia="仿宋_GB2312"/>
                <w:color w:val="auto"/>
                <w:sz w:val="24"/>
              </w:rPr>
              <w:t>本项目涉及的各污染因子的最大排放速率、最大排放浓度见下表</w:t>
            </w:r>
            <w:r>
              <w:rPr>
                <w:rFonts w:hint="default" w:eastAsia="仿宋_GB2312"/>
                <w:color w:val="auto"/>
                <w:sz w:val="24"/>
              </w:rPr>
              <w:t>。</w:t>
            </w:r>
          </w:p>
          <w:p w14:paraId="5C3BE08B">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p>
          <w:p w14:paraId="076B21CA">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4-3</w:t>
            </w:r>
            <w:r>
              <w:rPr>
                <w:rFonts w:hint="default" w:ascii="Times New Roman" w:hAnsi="Times New Roman" w:eastAsia="仿宋_GB2312" w:cs="Times New Roman"/>
                <w:b/>
                <w:color w:val="auto"/>
                <w:sz w:val="22"/>
                <w:szCs w:val="22"/>
              </w:rPr>
              <w:t xml:space="preserve">  本项目有组织大气污染物产生状况表</w:t>
            </w:r>
          </w:p>
          <w:tbl>
            <w:tblPr>
              <w:tblStyle w:val="87"/>
              <w:tblW w:w="48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2238"/>
              <w:gridCol w:w="1776"/>
              <w:gridCol w:w="1702"/>
              <w:gridCol w:w="2004"/>
              <w:gridCol w:w="2602"/>
            </w:tblGrid>
            <w:tr w14:paraId="0429A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pct"/>
                  <w:vMerge w:val="restart"/>
                  <w:vAlign w:val="center"/>
                </w:tcPr>
                <w:p w14:paraId="588D27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排气筒编号</w:t>
                  </w:r>
                </w:p>
              </w:tc>
              <w:tc>
                <w:tcPr>
                  <w:tcW w:w="877" w:type="pct"/>
                  <w:vMerge w:val="restart"/>
                  <w:vAlign w:val="center"/>
                </w:tcPr>
                <w:p w14:paraId="2C632D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排气量m</w:t>
                  </w:r>
                  <w:r>
                    <w:rPr>
                      <w:rFonts w:hint="default" w:ascii="Times New Roman" w:hAnsi="Times New Roman" w:eastAsia="仿宋_GB2312" w:cs="Times New Roman"/>
                      <w:b/>
                      <w:bCs/>
                      <w:color w:val="auto"/>
                      <w:kern w:val="0"/>
                      <w:sz w:val="21"/>
                      <w:vertAlign w:val="superscript"/>
                    </w:rPr>
                    <w:t>3</w:t>
                  </w:r>
                  <w:r>
                    <w:rPr>
                      <w:rFonts w:hint="default" w:ascii="Times New Roman" w:hAnsi="Times New Roman" w:eastAsia="仿宋_GB2312" w:cs="Times New Roman"/>
                      <w:b/>
                      <w:bCs/>
                      <w:color w:val="auto"/>
                      <w:kern w:val="0"/>
                      <w:sz w:val="21"/>
                    </w:rPr>
                    <w:t>/h</w:t>
                  </w:r>
                </w:p>
              </w:tc>
              <w:tc>
                <w:tcPr>
                  <w:tcW w:w="696" w:type="pct"/>
                  <w:vAlign w:val="center"/>
                </w:tcPr>
                <w:p w14:paraId="3B30487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w:t>
                  </w:r>
                </w:p>
              </w:tc>
              <w:tc>
                <w:tcPr>
                  <w:tcW w:w="2471" w:type="pct"/>
                  <w:gridSpan w:val="3"/>
                  <w:vAlign w:val="center"/>
                </w:tcPr>
                <w:p w14:paraId="58C606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污染物产生情况</w:t>
                  </w:r>
                </w:p>
              </w:tc>
            </w:tr>
            <w:tr w14:paraId="69F01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pct"/>
                  <w:vMerge w:val="continue"/>
                  <w:vAlign w:val="center"/>
                </w:tcPr>
                <w:p w14:paraId="1B08715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877" w:type="pct"/>
                  <w:vMerge w:val="continue"/>
                  <w:vAlign w:val="center"/>
                </w:tcPr>
                <w:p w14:paraId="2DA872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696" w:type="pct"/>
                  <w:vAlign w:val="center"/>
                </w:tcPr>
                <w:p w14:paraId="1B7CE54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名称</w:t>
                  </w:r>
                </w:p>
              </w:tc>
              <w:tc>
                <w:tcPr>
                  <w:tcW w:w="667" w:type="pct"/>
                  <w:vAlign w:val="center"/>
                </w:tcPr>
                <w:p w14:paraId="1927F63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最大浓度mg/m</w:t>
                  </w:r>
                  <w:r>
                    <w:rPr>
                      <w:rFonts w:hint="default" w:ascii="Times New Roman" w:hAnsi="Times New Roman" w:eastAsia="仿宋_GB2312" w:cs="Times New Roman"/>
                      <w:b/>
                      <w:bCs/>
                      <w:color w:val="auto"/>
                      <w:kern w:val="0"/>
                      <w:sz w:val="21"/>
                      <w:vertAlign w:val="superscript"/>
                    </w:rPr>
                    <w:t>3</w:t>
                  </w:r>
                </w:p>
              </w:tc>
              <w:tc>
                <w:tcPr>
                  <w:tcW w:w="785" w:type="pct"/>
                  <w:vAlign w:val="center"/>
                </w:tcPr>
                <w:p w14:paraId="134A13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最大速率kg/h</w:t>
                  </w:r>
                </w:p>
              </w:tc>
              <w:tc>
                <w:tcPr>
                  <w:tcW w:w="1018" w:type="pct"/>
                  <w:vAlign w:val="center"/>
                </w:tcPr>
                <w:p w14:paraId="3853E66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产生量t/a</w:t>
                  </w:r>
                </w:p>
              </w:tc>
            </w:tr>
            <w:tr w14:paraId="76D2D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54" w:type="pct"/>
                  <w:vAlign w:val="center"/>
                </w:tcPr>
                <w:p w14:paraId="690119C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DA001</w:t>
                  </w:r>
                </w:p>
              </w:tc>
              <w:tc>
                <w:tcPr>
                  <w:tcW w:w="877" w:type="pct"/>
                  <w:vAlign w:val="center"/>
                </w:tcPr>
                <w:p w14:paraId="3EF4843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4000</w:t>
                  </w:r>
                </w:p>
              </w:tc>
              <w:tc>
                <w:tcPr>
                  <w:tcW w:w="696" w:type="pct"/>
                  <w:noWrap/>
                  <w:vAlign w:val="center"/>
                </w:tcPr>
                <w:p w14:paraId="4149F4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667" w:type="pct"/>
                  <w:vAlign w:val="center"/>
                </w:tcPr>
                <w:p w14:paraId="4B3A88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175</w:t>
                  </w:r>
                </w:p>
              </w:tc>
              <w:tc>
                <w:tcPr>
                  <w:tcW w:w="785" w:type="pct"/>
                  <w:noWrap/>
                  <w:vAlign w:val="center"/>
                </w:tcPr>
                <w:p w14:paraId="5B3AF64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0.7</w:t>
                  </w:r>
                </w:p>
              </w:tc>
              <w:tc>
                <w:tcPr>
                  <w:tcW w:w="1018" w:type="pct"/>
                  <w:vAlign w:val="center"/>
                </w:tcPr>
                <w:p w14:paraId="73019F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b/>
                      <w:bCs/>
                      <w:color w:val="auto"/>
                      <w:kern w:val="0"/>
                      <w:sz w:val="21"/>
                      <w:lang w:val="en-US" w:eastAsia="zh-CN"/>
                    </w:rPr>
                    <w:t>0.1279</w:t>
                  </w:r>
                </w:p>
              </w:tc>
            </w:tr>
            <w:tr w14:paraId="28B27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54" w:type="pct"/>
                  <w:vMerge w:val="restart"/>
                  <w:vAlign w:val="center"/>
                </w:tcPr>
                <w:p w14:paraId="1C703F3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DA002</w:t>
                  </w:r>
                </w:p>
              </w:tc>
              <w:tc>
                <w:tcPr>
                  <w:tcW w:w="877" w:type="pct"/>
                  <w:vMerge w:val="restart"/>
                  <w:vAlign w:val="center"/>
                </w:tcPr>
                <w:p w14:paraId="78B6817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4500</w:t>
                  </w:r>
                </w:p>
              </w:tc>
              <w:tc>
                <w:tcPr>
                  <w:tcW w:w="696" w:type="pct"/>
                  <w:noWrap/>
                  <w:vAlign w:val="center"/>
                </w:tcPr>
                <w:p w14:paraId="6E1DA5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667" w:type="pct"/>
                  <w:vAlign w:val="center"/>
                </w:tcPr>
                <w:p w14:paraId="645D0D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8.51</w:t>
                  </w:r>
                </w:p>
              </w:tc>
              <w:tc>
                <w:tcPr>
                  <w:tcW w:w="785" w:type="pct"/>
                  <w:noWrap/>
                  <w:vAlign w:val="center"/>
                </w:tcPr>
                <w:p w14:paraId="145DC8C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0.0383</w:t>
                  </w:r>
                </w:p>
              </w:tc>
              <w:tc>
                <w:tcPr>
                  <w:tcW w:w="1018" w:type="pct"/>
                  <w:vAlign w:val="center"/>
                </w:tcPr>
                <w:p w14:paraId="541C945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0.2524</w:t>
                  </w:r>
                </w:p>
              </w:tc>
            </w:tr>
            <w:tr w14:paraId="77CE8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954" w:type="pct"/>
                  <w:vMerge w:val="continue"/>
                  <w:vAlign w:val="center"/>
                </w:tcPr>
                <w:p w14:paraId="2D89F60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77" w:type="pct"/>
                  <w:vMerge w:val="continue"/>
                  <w:vAlign w:val="center"/>
                </w:tcPr>
                <w:p w14:paraId="0A0B53E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96" w:type="pct"/>
                  <w:noWrap/>
                  <w:vAlign w:val="center"/>
                </w:tcPr>
                <w:p w14:paraId="6ED018C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667" w:type="pct"/>
                  <w:vAlign w:val="center"/>
                </w:tcPr>
                <w:p w14:paraId="4C9A2113">
                  <w:pPr>
                    <w:keepNext w:val="0"/>
                    <w:keepLines w:val="0"/>
                    <w:suppressLineNumbers w:val="0"/>
                    <w:spacing w:before="0" w:beforeAutospacing="0" w:after="0" w:afterAutospacing="0" w:line="320" w:lineRule="exact"/>
                    <w:ind w:left="0" w:right="0"/>
                    <w:jc w:val="center"/>
                    <w:rPr>
                      <w:rFonts w:hint="default" w:eastAsia="仿宋_GB2312" w:cs="Times New Roman"/>
                      <w:color w:val="auto"/>
                      <w:kern w:val="0"/>
                      <w:sz w:val="21"/>
                      <w:lang w:val="en-US" w:eastAsia="zh-CN"/>
                    </w:rPr>
                  </w:pPr>
                  <w:r>
                    <w:rPr>
                      <w:rFonts w:hint="eastAsia" w:eastAsia="仿宋_GB2312" w:cs="Times New Roman"/>
                      <w:color w:val="auto"/>
                      <w:kern w:val="0"/>
                      <w:sz w:val="21"/>
                      <w:lang w:val="en-US" w:eastAsia="zh-CN"/>
                    </w:rPr>
                    <w:t xml:space="preserve">3.09 </w:t>
                  </w:r>
                </w:p>
              </w:tc>
              <w:tc>
                <w:tcPr>
                  <w:tcW w:w="785" w:type="pct"/>
                  <w:noWrap/>
                  <w:vAlign w:val="center"/>
                </w:tcPr>
                <w:p w14:paraId="4B8C66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139</w:t>
                  </w:r>
                </w:p>
              </w:tc>
              <w:tc>
                <w:tcPr>
                  <w:tcW w:w="1018" w:type="pct"/>
                  <w:vAlign w:val="center"/>
                </w:tcPr>
                <w:p w14:paraId="53CE88A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0.1152</w:t>
                  </w:r>
                </w:p>
              </w:tc>
            </w:tr>
            <w:tr w14:paraId="0B456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4" w:type="pct"/>
                  <w:vMerge w:val="continue"/>
                  <w:vAlign w:val="center"/>
                </w:tcPr>
                <w:p w14:paraId="5B55E30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77" w:type="pct"/>
                  <w:vMerge w:val="continue"/>
                  <w:vAlign w:val="center"/>
                </w:tcPr>
                <w:p w14:paraId="6A2109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96" w:type="pct"/>
                  <w:noWrap/>
                  <w:vAlign w:val="center"/>
                </w:tcPr>
                <w:p w14:paraId="74A153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667" w:type="pct"/>
                  <w:vAlign w:val="center"/>
                </w:tcPr>
                <w:p w14:paraId="0EC4D614">
                  <w:pPr>
                    <w:keepNext w:val="0"/>
                    <w:keepLines w:val="0"/>
                    <w:suppressLineNumbers w:val="0"/>
                    <w:spacing w:before="0" w:beforeAutospacing="0" w:after="0" w:afterAutospacing="0" w:line="320" w:lineRule="exact"/>
                    <w:ind w:left="0" w:right="0"/>
                    <w:jc w:val="center"/>
                    <w:rPr>
                      <w:rFonts w:hint="default" w:eastAsia="仿宋_GB2312" w:cs="Times New Roman"/>
                      <w:color w:val="auto"/>
                      <w:kern w:val="0"/>
                      <w:sz w:val="21"/>
                      <w:lang w:val="en-US" w:eastAsia="zh-CN"/>
                    </w:rPr>
                  </w:pPr>
                  <w:r>
                    <w:rPr>
                      <w:rFonts w:hint="eastAsia" w:eastAsia="仿宋_GB2312" w:cs="Times New Roman"/>
                      <w:color w:val="auto"/>
                      <w:kern w:val="0"/>
                      <w:sz w:val="21"/>
                      <w:lang w:val="en-US" w:eastAsia="zh-CN"/>
                    </w:rPr>
                    <w:t xml:space="preserve">0.71 </w:t>
                  </w:r>
                </w:p>
              </w:tc>
              <w:tc>
                <w:tcPr>
                  <w:tcW w:w="785" w:type="pct"/>
                  <w:noWrap/>
                  <w:vAlign w:val="center"/>
                </w:tcPr>
                <w:p w14:paraId="38618C5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032</w:t>
                  </w:r>
                </w:p>
              </w:tc>
              <w:tc>
                <w:tcPr>
                  <w:tcW w:w="1018" w:type="pct"/>
                  <w:vAlign w:val="center"/>
                </w:tcPr>
                <w:p w14:paraId="54E159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0.01443</w:t>
                  </w:r>
                </w:p>
              </w:tc>
            </w:tr>
            <w:tr w14:paraId="1D8C4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4" w:type="pct"/>
                  <w:vMerge w:val="continue"/>
                  <w:vAlign w:val="center"/>
                </w:tcPr>
                <w:p w14:paraId="6A927C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77" w:type="pct"/>
                  <w:vMerge w:val="continue"/>
                  <w:vAlign w:val="center"/>
                </w:tcPr>
                <w:p w14:paraId="616ADC0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96" w:type="pct"/>
                  <w:noWrap/>
                  <w:vAlign w:val="center"/>
                </w:tcPr>
                <w:p w14:paraId="21C7E20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highlight w:val="none"/>
                    </w:rPr>
                    <w:t>氯化氢</w:t>
                  </w:r>
                </w:p>
              </w:tc>
              <w:tc>
                <w:tcPr>
                  <w:tcW w:w="667" w:type="pct"/>
                  <w:vAlign w:val="center"/>
                </w:tcPr>
                <w:p w14:paraId="2C3C72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38.89</w:t>
                  </w:r>
                </w:p>
              </w:tc>
              <w:tc>
                <w:tcPr>
                  <w:tcW w:w="785" w:type="pct"/>
                  <w:noWrap/>
                  <w:vAlign w:val="center"/>
                </w:tcPr>
                <w:p w14:paraId="022A01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175</w:t>
                  </w:r>
                </w:p>
              </w:tc>
              <w:tc>
                <w:tcPr>
                  <w:tcW w:w="1018" w:type="pct"/>
                  <w:vAlign w:val="center"/>
                </w:tcPr>
                <w:p w14:paraId="4D190E0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0.007</w:t>
                  </w:r>
                </w:p>
              </w:tc>
            </w:tr>
            <w:tr w14:paraId="56AFB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4" w:type="pct"/>
                  <w:vMerge w:val="restart"/>
                  <w:vAlign w:val="center"/>
                </w:tcPr>
                <w:p w14:paraId="04058A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DA003</w:t>
                  </w:r>
                </w:p>
              </w:tc>
              <w:tc>
                <w:tcPr>
                  <w:tcW w:w="877" w:type="pct"/>
                  <w:vMerge w:val="restart"/>
                  <w:vAlign w:val="center"/>
                </w:tcPr>
                <w:p w14:paraId="57DF5A5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1000</w:t>
                  </w:r>
                </w:p>
              </w:tc>
              <w:tc>
                <w:tcPr>
                  <w:tcW w:w="696" w:type="pct"/>
                  <w:noWrap/>
                  <w:vAlign w:val="center"/>
                </w:tcPr>
                <w:p w14:paraId="349AD33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SO</w:t>
                  </w:r>
                  <w:r>
                    <w:rPr>
                      <w:rFonts w:hint="default" w:ascii="Times New Roman" w:hAnsi="Times New Roman" w:eastAsia="仿宋_GB2312" w:cs="Times New Roman"/>
                      <w:color w:val="auto"/>
                      <w:sz w:val="21"/>
                      <w:vertAlign w:val="subscript"/>
                    </w:rPr>
                    <w:t>2</w:t>
                  </w:r>
                </w:p>
              </w:tc>
              <w:tc>
                <w:tcPr>
                  <w:tcW w:w="667" w:type="pct"/>
                  <w:vAlign w:val="center"/>
                </w:tcPr>
                <w:p w14:paraId="00135A1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3.2</w:t>
                  </w:r>
                </w:p>
              </w:tc>
              <w:tc>
                <w:tcPr>
                  <w:tcW w:w="785" w:type="pct"/>
                  <w:noWrap/>
                  <w:vAlign w:val="center"/>
                </w:tcPr>
                <w:p w14:paraId="46CC97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0.0032</w:t>
                  </w:r>
                </w:p>
              </w:tc>
              <w:tc>
                <w:tcPr>
                  <w:tcW w:w="1018" w:type="pct"/>
                  <w:vAlign w:val="center"/>
                </w:tcPr>
                <w:p w14:paraId="38F6AD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0.002</w:t>
                  </w:r>
                </w:p>
              </w:tc>
            </w:tr>
            <w:tr w14:paraId="3AE83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4" w:type="pct"/>
                  <w:vMerge w:val="continue"/>
                  <w:vAlign w:val="center"/>
                </w:tcPr>
                <w:p w14:paraId="51671A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77" w:type="pct"/>
                  <w:vMerge w:val="continue"/>
                  <w:vAlign w:val="center"/>
                </w:tcPr>
                <w:p w14:paraId="1B27579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96" w:type="pct"/>
                  <w:noWrap/>
                  <w:vAlign w:val="center"/>
                </w:tcPr>
                <w:p w14:paraId="3EA770B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NO</w:t>
                  </w:r>
                  <w:r>
                    <w:rPr>
                      <w:rFonts w:hint="default" w:ascii="Times New Roman" w:hAnsi="Times New Roman" w:eastAsia="仿宋_GB2312" w:cs="Times New Roman"/>
                      <w:color w:val="auto"/>
                      <w:sz w:val="21"/>
                      <w:vertAlign w:val="subscript"/>
                    </w:rPr>
                    <w:t>X</w:t>
                  </w:r>
                </w:p>
              </w:tc>
              <w:tc>
                <w:tcPr>
                  <w:tcW w:w="667" w:type="pct"/>
                  <w:vAlign w:val="center"/>
                </w:tcPr>
                <w:p w14:paraId="19A8B8B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32.3</w:t>
                  </w:r>
                </w:p>
              </w:tc>
              <w:tc>
                <w:tcPr>
                  <w:tcW w:w="785" w:type="pct"/>
                  <w:noWrap/>
                  <w:vAlign w:val="center"/>
                </w:tcPr>
                <w:p w14:paraId="1118F1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0.0323</w:t>
                  </w:r>
                </w:p>
              </w:tc>
              <w:tc>
                <w:tcPr>
                  <w:tcW w:w="1018" w:type="pct"/>
                  <w:vAlign w:val="center"/>
                </w:tcPr>
                <w:p w14:paraId="34CFC12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r>
            <w:tr w14:paraId="71906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4" w:type="pct"/>
                  <w:vMerge w:val="continue"/>
                  <w:vAlign w:val="center"/>
                </w:tcPr>
                <w:p w14:paraId="51761DF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877" w:type="pct"/>
                  <w:vMerge w:val="continue"/>
                  <w:vAlign w:val="center"/>
                </w:tcPr>
                <w:p w14:paraId="4446B21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96" w:type="pct"/>
                  <w:noWrap/>
                  <w:vAlign w:val="center"/>
                </w:tcPr>
                <w:p w14:paraId="3D588B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颗粒物</w:t>
                  </w:r>
                </w:p>
              </w:tc>
              <w:tc>
                <w:tcPr>
                  <w:tcW w:w="667" w:type="pct"/>
                  <w:vAlign w:val="center"/>
                </w:tcPr>
                <w:p w14:paraId="2214BE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6.5</w:t>
                  </w:r>
                </w:p>
              </w:tc>
              <w:tc>
                <w:tcPr>
                  <w:tcW w:w="785" w:type="pct"/>
                  <w:noWrap/>
                  <w:vAlign w:val="center"/>
                </w:tcPr>
                <w:p w14:paraId="378495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0.0065</w:t>
                  </w:r>
                </w:p>
              </w:tc>
              <w:tc>
                <w:tcPr>
                  <w:tcW w:w="1018" w:type="pct"/>
                  <w:vAlign w:val="center"/>
                </w:tcPr>
                <w:p w14:paraId="58F226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0.004</w:t>
                  </w:r>
                </w:p>
              </w:tc>
            </w:tr>
          </w:tbl>
          <w:p w14:paraId="5CD63E0E">
            <w:pPr>
              <w:keepNext w:val="0"/>
              <w:keepLines w:val="0"/>
              <w:suppressLineNumbers w:val="0"/>
              <w:spacing w:before="0" w:beforeAutospacing="0" w:after="0" w:afterAutospacing="0" w:line="500" w:lineRule="exact"/>
              <w:ind w:left="0" w:right="0" w:firstLine="480" w:firstLineChars="200"/>
              <w:rPr>
                <w:rFonts w:hint="eastAsia" w:eastAsia="仿宋_GB2312"/>
                <w:color w:val="auto"/>
                <w:sz w:val="24"/>
                <w:szCs w:val="24"/>
              </w:rPr>
            </w:pPr>
            <w:r>
              <w:rPr>
                <w:rFonts w:hint="eastAsia" w:eastAsia="仿宋_GB2312"/>
                <w:color w:val="auto"/>
                <w:sz w:val="24"/>
                <w:szCs w:val="24"/>
              </w:rPr>
              <w:t>根据《锅炉大气污染物排放标准》（DB32/4385-2022），本项目排气筒中污染物实测排放浓度须换算成基准含氧量为 3.5%的大气污染物基准排放浓度，并与排放限值比较判定排放是否达标。</w:t>
            </w:r>
          </w:p>
          <w:p w14:paraId="4E57B13F">
            <w:pPr>
              <w:keepNext w:val="0"/>
              <w:keepLines w:val="0"/>
              <w:suppressLineNumbers w:val="0"/>
              <w:spacing w:before="0" w:beforeAutospacing="0" w:after="0" w:afterAutospacing="0" w:line="500" w:lineRule="exact"/>
              <w:ind w:left="0" w:right="0" w:firstLine="480" w:firstLineChars="200"/>
              <w:rPr>
                <w:rFonts w:hint="eastAsia" w:eastAsia="仿宋_GB2312"/>
                <w:color w:val="auto"/>
                <w:sz w:val="24"/>
                <w:szCs w:val="24"/>
                <w:lang w:val="en-US"/>
              </w:rPr>
            </w:pPr>
            <w:r>
              <w:rPr>
                <w:rFonts w:hint="eastAsia" w:eastAsia="仿宋_GB2312"/>
                <w:color w:val="auto"/>
                <w:sz w:val="24"/>
                <w:szCs w:val="24"/>
                <w:lang w:val="en-US"/>
              </w:rPr>
              <w:t>大气污染物基准排放浓度按下式进行计算。</w:t>
            </w:r>
          </w:p>
          <w:p w14:paraId="6FBA1BD5">
            <w:pPr>
              <w:pStyle w:val="2"/>
              <w:keepNext w:val="0"/>
              <w:keepLines w:val="0"/>
              <w:suppressLineNumbers w:val="0"/>
              <w:spacing w:beforeAutospacing="0" w:afterAutospacing="0" w:line="240" w:lineRule="auto"/>
              <w:ind w:left="0"/>
              <w:jc w:val="center"/>
              <w:rPr>
                <w:rFonts w:hint="eastAsia"/>
                <w:color w:val="auto"/>
              </w:rPr>
            </w:pPr>
            <w:r>
              <w:rPr>
                <w:rFonts w:hint="default" w:ascii="Times New Roman" w:hAnsi="Times New Roman"/>
                <w:color w:val="auto"/>
                <w:kern w:val="2"/>
                <w:szCs w:val="28"/>
                <w:lang w:val="en-US"/>
              </w:rPr>
              <w:drawing>
                <wp:inline distT="0" distB="0" distL="114300" distR="114300">
                  <wp:extent cx="1452880" cy="488315"/>
                  <wp:effectExtent l="0" t="0" r="13970" b="6985"/>
                  <wp:docPr id="1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3"/>
                          <pic:cNvPicPr>
                            <a:picLocks noChangeAspect="1"/>
                          </pic:cNvPicPr>
                        </pic:nvPicPr>
                        <pic:blipFill>
                          <a:blip r:embed="rId39"/>
                          <a:stretch>
                            <a:fillRect/>
                          </a:stretch>
                        </pic:blipFill>
                        <pic:spPr>
                          <a:xfrm>
                            <a:off x="0" y="0"/>
                            <a:ext cx="1452880" cy="488315"/>
                          </a:xfrm>
                          <a:prstGeom prst="rect">
                            <a:avLst/>
                          </a:prstGeom>
                          <a:noFill/>
                          <a:ln>
                            <a:noFill/>
                          </a:ln>
                        </pic:spPr>
                      </pic:pic>
                    </a:graphicData>
                  </a:graphic>
                </wp:inline>
              </w:drawing>
            </w:r>
          </w:p>
          <w:p w14:paraId="6800291A">
            <w:pPr>
              <w:pStyle w:val="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式中：ρ——大气污染物基准氧含量排放浓度，mg/m</w:t>
            </w:r>
            <w:r>
              <w:rPr>
                <w:rFonts w:hint="default" w:ascii="Times New Roman" w:hAnsi="Times New Roman" w:eastAsia="仿宋_GB2312" w:cs="Times New Roman"/>
                <w:bCs/>
                <w:color w:val="auto"/>
                <w:sz w:val="24"/>
                <w:szCs w:val="24"/>
                <w:vertAlign w:val="superscript"/>
              </w:rPr>
              <w:t>3</w:t>
            </w:r>
            <w:r>
              <w:rPr>
                <w:rFonts w:hint="default" w:ascii="Times New Roman" w:hAnsi="Times New Roman" w:eastAsia="仿宋_GB2312" w:cs="Times New Roman"/>
                <w:bCs/>
                <w:color w:val="auto"/>
                <w:sz w:val="24"/>
                <w:szCs w:val="24"/>
              </w:rPr>
              <w:t>。ρ'——实测的大气污染物排放浓度，mg/m</w:t>
            </w:r>
            <w:r>
              <w:rPr>
                <w:rFonts w:hint="default" w:ascii="Times New Roman" w:hAnsi="Times New Roman" w:eastAsia="仿宋_GB2312" w:cs="Times New Roman"/>
                <w:bCs/>
                <w:color w:val="auto"/>
                <w:sz w:val="24"/>
                <w:szCs w:val="24"/>
                <w:vertAlign w:val="superscript"/>
              </w:rPr>
              <w:t>3</w:t>
            </w:r>
            <w:r>
              <w:rPr>
                <w:rFonts w:hint="default" w:ascii="Times New Roman" w:hAnsi="Times New Roman" w:eastAsia="仿宋_GB2312" w:cs="Times New Roman"/>
                <w:bCs/>
                <w:color w:val="auto"/>
                <w:sz w:val="24"/>
                <w:szCs w:val="24"/>
              </w:rPr>
              <w:t>。φ(O2)——基准氧含量，%。φ'(O</w:t>
            </w:r>
            <w:r>
              <w:rPr>
                <w:rFonts w:hint="default" w:ascii="Times New Roman" w:hAnsi="Times New Roman" w:eastAsia="仿宋_GB2312" w:cs="Times New Roman"/>
                <w:bCs/>
                <w:color w:val="auto"/>
                <w:sz w:val="24"/>
                <w:szCs w:val="24"/>
                <w:vertAlign w:val="superscript"/>
              </w:rPr>
              <w:t>2</w:t>
            </w:r>
            <w:r>
              <w:rPr>
                <w:rFonts w:hint="default" w:ascii="Times New Roman" w:hAnsi="Times New Roman" w:eastAsia="仿宋_GB2312" w:cs="Times New Roman"/>
                <w:bCs/>
                <w:color w:val="auto"/>
                <w:sz w:val="24"/>
                <w:szCs w:val="24"/>
              </w:rPr>
              <w:t>)——实测的氧含量，%。</w:t>
            </w:r>
          </w:p>
          <w:p w14:paraId="4647549E">
            <w:pPr>
              <w:pStyle w:val="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2"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本项目预计实际氧含量的确定：</w:t>
            </w:r>
            <w:r>
              <w:rPr>
                <w:rFonts w:hint="default" w:ascii="Times New Roman" w:hAnsi="Times New Roman" w:eastAsia="仿宋_GB2312" w:cs="Times New Roman"/>
                <w:color w:val="auto"/>
                <w:sz w:val="24"/>
                <w:szCs w:val="24"/>
              </w:rPr>
              <w:t>本项目</w:t>
            </w:r>
            <w:bookmarkStart w:id="51" w:name="OLE_LINK54"/>
            <w:r>
              <w:rPr>
                <w:rFonts w:hint="default" w:ascii="Times New Roman" w:hAnsi="Times New Roman" w:eastAsia="仿宋_GB2312" w:cs="Times New Roman"/>
                <w:color w:val="auto"/>
                <w:sz w:val="24"/>
                <w:szCs w:val="24"/>
              </w:rPr>
              <w:t>燃气蒸汽发生器</w:t>
            </w:r>
            <w:bookmarkEnd w:id="51"/>
            <w:r>
              <w:rPr>
                <w:rFonts w:hint="default" w:ascii="Times New Roman" w:hAnsi="Times New Roman" w:eastAsia="仿宋_GB2312" w:cs="Times New Roman"/>
                <w:color w:val="auto"/>
                <w:sz w:val="24"/>
                <w:szCs w:val="24"/>
              </w:rPr>
              <w:t>系统尾气中氧含量</w:t>
            </w:r>
            <w:r>
              <w:rPr>
                <w:rFonts w:hint="default" w:ascii="Times New Roman" w:hAnsi="Times New Roman" w:eastAsia="仿宋_GB2312" w:cs="Times New Roman"/>
                <w:color w:val="auto"/>
                <w:sz w:val="24"/>
                <w:szCs w:val="24"/>
                <w:lang w:val="en-US"/>
              </w:rPr>
              <w:t>参照厂家提供的1t/h低氮冷凝蒸汽锅炉检测报告中氧含量</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rPr>
              <w:t>检测报告中尾气氧含量为6.2%-6.8%</w:t>
            </w:r>
            <w:r>
              <w:rPr>
                <w:rFonts w:hint="default" w:ascii="Times New Roman" w:hAnsi="Times New Roman" w:eastAsia="仿宋_GB2312" w:cs="Times New Roman"/>
                <w:color w:val="auto"/>
                <w:spacing w:val="-5"/>
                <w:sz w:val="24"/>
                <w:szCs w:val="24"/>
              </w:rPr>
              <w:t>，</w:t>
            </w:r>
            <w:r>
              <w:rPr>
                <w:rFonts w:hint="default" w:ascii="Times New Roman" w:hAnsi="Times New Roman" w:eastAsia="仿宋_GB2312" w:cs="Times New Roman"/>
                <w:color w:val="auto"/>
                <w:spacing w:val="-5"/>
                <w:sz w:val="24"/>
                <w:szCs w:val="24"/>
                <w:lang w:val="en-US"/>
              </w:rPr>
              <w:t>本项目取</w:t>
            </w:r>
            <w:r>
              <w:rPr>
                <w:rFonts w:hint="default" w:ascii="Times New Roman" w:hAnsi="Times New Roman" w:eastAsia="仿宋_GB2312" w:cs="Times New Roman"/>
                <w:color w:val="auto"/>
                <w:sz w:val="24"/>
                <w:szCs w:val="24"/>
                <w:lang w:val="en-US"/>
              </w:rPr>
              <w:t>氧含量为6.8%</w:t>
            </w:r>
            <w:r>
              <w:rPr>
                <w:rFonts w:hint="default" w:ascii="Times New Roman" w:hAnsi="Times New Roman" w:eastAsia="仿宋_GB2312" w:cs="Times New Roman"/>
                <w:color w:val="auto"/>
                <w:sz w:val="24"/>
                <w:szCs w:val="24"/>
              </w:rPr>
              <w:t>。</w:t>
            </w:r>
          </w:p>
          <w:p w14:paraId="24898BE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0"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本项目燃气蒸汽发生器废气污染物根据氧含量折算后排放情况见</w:t>
            </w:r>
            <w:r>
              <w:rPr>
                <w:rFonts w:hint="eastAsia" w:eastAsia="仿宋_GB2312" w:cs="Times New Roman"/>
                <w:color w:val="auto"/>
                <w:sz w:val="24"/>
                <w:szCs w:val="24"/>
                <w:lang w:eastAsia="zh-CN"/>
              </w:rPr>
              <w:t>下</w:t>
            </w:r>
            <w:r>
              <w:rPr>
                <w:rFonts w:hint="default" w:ascii="Times New Roman" w:hAnsi="Times New Roman" w:eastAsia="仿宋_GB2312" w:cs="Times New Roman"/>
                <w:color w:val="auto"/>
                <w:sz w:val="24"/>
                <w:szCs w:val="24"/>
              </w:rPr>
              <w:t>表。</w:t>
            </w:r>
          </w:p>
          <w:p w14:paraId="1B98066B">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4-4</w:t>
            </w:r>
            <w:r>
              <w:rPr>
                <w:rFonts w:hint="default" w:ascii="Times New Roman" w:hAnsi="Times New Roman" w:eastAsia="仿宋_GB2312" w:cs="Times New Roman"/>
                <w:b/>
                <w:color w:val="auto"/>
                <w:sz w:val="22"/>
                <w:szCs w:val="22"/>
              </w:rPr>
              <w:t xml:space="preserve">  本项目大气污染物达标排放状况（依据氧含量核算）</w:t>
            </w:r>
          </w:p>
          <w:tbl>
            <w:tblPr>
              <w:tblStyle w:val="1401"/>
              <w:tblW w:w="503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63"/>
              <w:gridCol w:w="1561"/>
              <w:gridCol w:w="1243"/>
              <w:gridCol w:w="1241"/>
              <w:gridCol w:w="1243"/>
              <w:gridCol w:w="1118"/>
              <w:gridCol w:w="1209"/>
              <w:gridCol w:w="1083"/>
              <w:gridCol w:w="1670"/>
              <w:gridCol w:w="958"/>
              <w:gridCol w:w="843"/>
            </w:tblGrid>
            <w:tr w14:paraId="37E6B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436" w:type="pct"/>
                  <w:vMerge w:val="restart"/>
                  <w:tcBorders>
                    <w:top w:val="single" w:color="auto" w:sz="12" w:space="0"/>
                    <w:left w:val="single" w:color="auto" w:sz="12" w:space="0"/>
                    <w:bottom w:val="single" w:color="auto" w:sz="4" w:space="0"/>
                    <w:right w:val="single" w:color="auto" w:sz="4" w:space="0"/>
                  </w:tcBorders>
                  <w:vAlign w:val="center"/>
                </w:tcPr>
                <w:p w14:paraId="05DC639B">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排气筒编号</w:t>
                  </w:r>
                </w:p>
              </w:tc>
              <w:tc>
                <w:tcPr>
                  <w:tcW w:w="585" w:type="pct"/>
                  <w:vMerge w:val="restart"/>
                  <w:tcBorders>
                    <w:top w:val="single" w:color="auto" w:sz="12" w:space="0"/>
                    <w:left w:val="single" w:color="auto" w:sz="4" w:space="0"/>
                    <w:bottom w:val="single" w:color="auto" w:sz="4" w:space="0"/>
                    <w:right w:val="single" w:color="auto" w:sz="4" w:space="0"/>
                  </w:tcBorders>
                  <w:vAlign w:val="center"/>
                </w:tcPr>
                <w:p w14:paraId="21654361">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污染物名称</w:t>
                  </w:r>
                </w:p>
              </w:tc>
              <w:tc>
                <w:tcPr>
                  <w:tcW w:w="466" w:type="pct"/>
                  <w:vMerge w:val="restart"/>
                  <w:tcBorders>
                    <w:top w:val="single" w:color="auto" w:sz="12" w:space="0"/>
                    <w:left w:val="single" w:color="auto" w:sz="4" w:space="0"/>
                    <w:bottom w:val="single" w:color="auto" w:sz="4" w:space="0"/>
                    <w:right w:val="single" w:color="auto" w:sz="4" w:space="0"/>
                  </w:tcBorders>
                  <w:vAlign w:val="center"/>
                </w:tcPr>
                <w:p w14:paraId="2289E476">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污染防治措施</w:t>
                  </w:r>
                </w:p>
              </w:tc>
              <w:tc>
                <w:tcPr>
                  <w:tcW w:w="1350" w:type="pct"/>
                  <w:gridSpan w:val="3"/>
                  <w:tcBorders>
                    <w:top w:val="single" w:color="auto" w:sz="12" w:space="0"/>
                    <w:left w:val="single" w:color="auto" w:sz="4" w:space="0"/>
                    <w:bottom w:val="single" w:color="auto" w:sz="4" w:space="0"/>
                    <w:right w:val="single" w:color="auto" w:sz="4" w:space="0"/>
                  </w:tcBorders>
                  <w:vAlign w:val="center"/>
                </w:tcPr>
                <w:p w14:paraId="4916A86F">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排放情况</w:t>
                  </w:r>
                </w:p>
              </w:tc>
              <w:tc>
                <w:tcPr>
                  <w:tcW w:w="453" w:type="pct"/>
                  <w:vMerge w:val="restart"/>
                  <w:tcBorders>
                    <w:top w:val="single" w:color="auto" w:sz="12" w:space="0"/>
                    <w:left w:val="single" w:color="auto" w:sz="4" w:space="0"/>
                    <w:bottom w:val="single" w:color="auto" w:sz="4" w:space="0"/>
                    <w:right w:val="single" w:color="auto" w:sz="4" w:space="0"/>
                  </w:tcBorders>
                  <w:vAlign w:val="center"/>
                </w:tcPr>
                <w:p w14:paraId="0A973290">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预计含氧量</w:t>
                  </w:r>
                </w:p>
              </w:tc>
              <w:tc>
                <w:tcPr>
                  <w:tcW w:w="406" w:type="pct"/>
                  <w:vMerge w:val="restart"/>
                  <w:tcBorders>
                    <w:top w:val="single" w:color="auto" w:sz="12" w:space="0"/>
                    <w:left w:val="single" w:color="auto" w:sz="4" w:space="0"/>
                    <w:bottom w:val="single" w:color="auto" w:sz="4" w:space="0"/>
                    <w:right w:val="single" w:color="auto" w:sz="4" w:space="0"/>
                  </w:tcBorders>
                  <w:vAlign w:val="center"/>
                </w:tcPr>
                <w:p w14:paraId="625F705A">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基准含氧量</w:t>
                  </w:r>
                </w:p>
              </w:tc>
              <w:tc>
                <w:tcPr>
                  <w:tcW w:w="626" w:type="pct"/>
                  <w:vMerge w:val="restart"/>
                  <w:tcBorders>
                    <w:top w:val="single" w:color="auto" w:sz="12" w:space="0"/>
                    <w:left w:val="single" w:color="auto" w:sz="4" w:space="0"/>
                    <w:bottom w:val="single" w:color="auto" w:sz="4" w:space="0"/>
                    <w:right w:val="single" w:color="auto" w:sz="4" w:space="0"/>
                  </w:tcBorders>
                  <w:vAlign w:val="center"/>
                </w:tcPr>
                <w:p w14:paraId="13E0B5B8">
                  <w:pPr>
                    <w:pStyle w:val="222"/>
                    <w:wordWrap w:val="0"/>
                    <w:overflowPunct w:val="0"/>
                    <w:spacing w:line="320" w:lineRule="exact"/>
                    <w:jc w:val="center"/>
                    <w:rPr>
                      <w:rFonts w:hint="default" w:ascii="Times New Roman" w:hAnsi="Times New Roman" w:eastAsia="仿宋_GB2312" w:cs="Times New Roman"/>
                      <w:b/>
                      <w:color w:val="auto"/>
                      <w:sz w:val="10"/>
                      <w:lang w:eastAsia="zh-CN"/>
                    </w:rPr>
                  </w:pPr>
                  <w:r>
                    <w:rPr>
                      <w:rFonts w:hint="default" w:ascii="Times New Roman" w:hAnsi="Times New Roman" w:eastAsia="仿宋_GB2312" w:cs="Times New Roman"/>
                      <w:b/>
                      <w:color w:val="auto"/>
                      <w:sz w:val="20"/>
                      <w:lang w:eastAsia="zh-CN"/>
                    </w:rPr>
                    <w:t>折算后基准排放浓度mg/m</w:t>
                  </w:r>
                  <w:r>
                    <w:rPr>
                      <w:rFonts w:hint="default" w:ascii="Times New Roman" w:hAnsi="Times New Roman" w:eastAsia="仿宋_GB2312" w:cs="Times New Roman"/>
                      <w:b/>
                      <w:color w:val="auto"/>
                      <w:position w:val="10"/>
                      <w:sz w:val="10"/>
                      <w:lang w:eastAsia="zh-CN"/>
                    </w:rPr>
                    <w:t>3</w:t>
                  </w:r>
                </w:p>
              </w:tc>
              <w:tc>
                <w:tcPr>
                  <w:tcW w:w="675" w:type="pct"/>
                  <w:gridSpan w:val="2"/>
                  <w:tcBorders>
                    <w:top w:val="single" w:color="auto" w:sz="12" w:space="0"/>
                    <w:left w:val="single" w:color="auto" w:sz="4" w:space="0"/>
                    <w:bottom w:val="single" w:color="auto" w:sz="4" w:space="0"/>
                    <w:right w:val="single" w:color="auto" w:sz="12" w:space="0"/>
                  </w:tcBorders>
                  <w:vAlign w:val="center"/>
                </w:tcPr>
                <w:p w14:paraId="46F11985">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排放标准</w:t>
                  </w:r>
                </w:p>
              </w:tc>
            </w:tr>
            <w:tr w14:paraId="66A00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436" w:type="pct"/>
                  <w:vMerge w:val="continue"/>
                  <w:tcBorders>
                    <w:top w:val="single" w:color="auto" w:sz="4" w:space="0"/>
                    <w:left w:val="single" w:color="auto" w:sz="12" w:space="0"/>
                    <w:bottom w:val="single" w:color="auto" w:sz="4" w:space="0"/>
                    <w:right w:val="single" w:color="auto" w:sz="4" w:space="0"/>
                  </w:tcBorders>
                  <w:vAlign w:val="center"/>
                </w:tcPr>
                <w:p w14:paraId="7D10D8D3">
                  <w:pPr>
                    <w:widowControl w:val="0"/>
                    <w:wordWrap w:val="0"/>
                    <w:overflowPunct w:val="0"/>
                    <w:spacing w:line="320" w:lineRule="exact"/>
                    <w:jc w:val="center"/>
                    <w:rPr>
                      <w:rFonts w:hint="default" w:ascii="Times New Roman" w:hAnsi="Times New Roman" w:eastAsia="仿宋_GB2312" w:cs="Times New Roman"/>
                      <w:color w:val="auto"/>
                      <w:sz w:val="2"/>
                      <w:szCs w:val="2"/>
                      <w:lang w:eastAsia="en-US"/>
                    </w:rPr>
                  </w:pPr>
                </w:p>
              </w:tc>
              <w:tc>
                <w:tcPr>
                  <w:tcW w:w="585" w:type="pct"/>
                  <w:vMerge w:val="continue"/>
                  <w:tcBorders>
                    <w:top w:val="single" w:color="auto" w:sz="4" w:space="0"/>
                    <w:left w:val="single" w:color="auto" w:sz="4" w:space="0"/>
                    <w:bottom w:val="single" w:color="auto" w:sz="4" w:space="0"/>
                    <w:right w:val="single" w:color="auto" w:sz="4" w:space="0"/>
                  </w:tcBorders>
                  <w:vAlign w:val="center"/>
                </w:tcPr>
                <w:p w14:paraId="145101ED">
                  <w:pPr>
                    <w:widowControl w:val="0"/>
                    <w:wordWrap w:val="0"/>
                    <w:overflowPunct w:val="0"/>
                    <w:spacing w:line="320" w:lineRule="exact"/>
                    <w:jc w:val="center"/>
                    <w:rPr>
                      <w:rFonts w:hint="default" w:ascii="Times New Roman" w:hAnsi="Times New Roman" w:eastAsia="仿宋_GB2312" w:cs="Times New Roman"/>
                      <w:color w:val="auto"/>
                      <w:sz w:val="2"/>
                      <w:szCs w:val="2"/>
                      <w:lang w:eastAsia="en-US"/>
                    </w:rPr>
                  </w:pPr>
                </w:p>
              </w:tc>
              <w:tc>
                <w:tcPr>
                  <w:tcW w:w="466" w:type="pct"/>
                  <w:vMerge w:val="continue"/>
                  <w:tcBorders>
                    <w:top w:val="single" w:color="auto" w:sz="4" w:space="0"/>
                    <w:left w:val="single" w:color="auto" w:sz="4" w:space="0"/>
                    <w:bottom w:val="single" w:color="auto" w:sz="4" w:space="0"/>
                    <w:right w:val="single" w:color="auto" w:sz="4" w:space="0"/>
                  </w:tcBorders>
                  <w:vAlign w:val="center"/>
                </w:tcPr>
                <w:p w14:paraId="3578A006">
                  <w:pPr>
                    <w:widowControl w:val="0"/>
                    <w:wordWrap w:val="0"/>
                    <w:overflowPunct w:val="0"/>
                    <w:spacing w:line="320" w:lineRule="exact"/>
                    <w:jc w:val="center"/>
                    <w:rPr>
                      <w:rFonts w:hint="default" w:ascii="Times New Roman" w:hAnsi="Times New Roman" w:eastAsia="仿宋_GB2312" w:cs="Times New Roman"/>
                      <w:color w:val="auto"/>
                      <w:sz w:val="2"/>
                      <w:szCs w:val="2"/>
                      <w:lang w:eastAsia="en-US"/>
                    </w:rPr>
                  </w:pPr>
                </w:p>
              </w:tc>
              <w:tc>
                <w:tcPr>
                  <w:tcW w:w="465" w:type="pct"/>
                  <w:tcBorders>
                    <w:top w:val="single" w:color="auto" w:sz="4" w:space="0"/>
                    <w:left w:val="single" w:color="auto" w:sz="4" w:space="0"/>
                    <w:bottom w:val="single" w:color="auto" w:sz="4" w:space="0"/>
                    <w:right w:val="single" w:color="auto" w:sz="4" w:space="0"/>
                  </w:tcBorders>
                  <w:vAlign w:val="center"/>
                </w:tcPr>
                <w:p w14:paraId="53E3721D">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最大浓度</w:t>
                  </w:r>
                </w:p>
                <w:p w14:paraId="25DBD08E">
                  <w:pPr>
                    <w:pStyle w:val="222"/>
                    <w:wordWrap w:val="0"/>
                    <w:overflowPunct w:val="0"/>
                    <w:spacing w:line="320" w:lineRule="exact"/>
                    <w:jc w:val="center"/>
                    <w:rPr>
                      <w:rFonts w:hint="default" w:ascii="Times New Roman" w:hAnsi="Times New Roman" w:eastAsia="仿宋_GB2312" w:cs="Times New Roman"/>
                      <w:b/>
                      <w:color w:val="auto"/>
                      <w:sz w:val="10"/>
                    </w:rPr>
                  </w:pPr>
                  <w:r>
                    <w:rPr>
                      <w:rFonts w:hint="default" w:ascii="Times New Roman" w:hAnsi="Times New Roman" w:eastAsia="仿宋_GB2312" w:cs="Times New Roman"/>
                      <w:b/>
                      <w:color w:val="auto"/>
                      <w:sz w:val="20"/>
                    </w:rPr>
                    <w:t>mg/m</w:t>
                  </w:r>
                  <w:r>
                    <w:rPr>
                      <w:rFonts w:hint="default" w:ascii="Times New Roman" w:hAnsi="Times New Roman" w:eastAsia="仿宋_GB2312" w:cs="Times New Roman"/>
                      <w:b/>
                      <w:color w:val="auto"/>
                      <w:position w:val="10"/>
                      <w:sz w:val="10"/>
                    </w:rPr>
                    <w:t>3</w:t>
                  </w:r>
                </w:p>
              </w:tc>
              <w:tc>
                <w:tcPr>
                  <w:tcW w:w="466" w:type="pct"/>
                  <w:tcBorders>
                    <w:top w:val="single" w:color="auto" w:sz="4" w:space="0"/>
                    <w:left w:val="single" w:color="auto" w:sz="4" w:space="0"/>
                    <w:bottom w:val="single" w:color="auto" w:sz="4" w:space="0"/>
                    <w:right w:val="single" w:color="auto" w:sz="4" w:space="0"/>
                  </w:tcBorders>
                  <w:vAlign w:val="center"/>
                </w:tcPr>
                <w:p w14:paraId="31747B79">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最大速率</w:t>
                  </w:r>
                </w:p>
                <w:p w14:paraId="0D0194F2">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kg/h</w:t>
                  </w:r>
                </w:p>
              </w:tc>
              <w:tc>
                <w:tcPr>
                  <w:tcW w:w="419" w:type="pct"/>
                  <w:tcBorders>
                    <w:top w:val="single" w:color="auto" w:sz="4" w:space="0"/>
                    <w:left w:val="single" w:color="auto" w:sz="4" w:space="0"/>
                    <w:bottom w:val="single" w:color="auto" w:sz="4" w:space="0"/>
                    <w:right w:val="single" w:color="auto" w:sz="4" w:space="0"/>
                  </w:tcBorders>
                  <w:vAlign w:val="center"/>
                </w:tcPr>
                <w:p w14:paraId="49DC4752">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排放量</w:t>
                  </w:r>
                </w:p>
                <w:p w14:paraId="04E5CBAD">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t/a</w:t>
                  </w:r>
                </w:p>
              </w:tc>
              <w:tc>
                <w:tcPr>
                  <w:tcW w:w="453" w:type="pct"/>
                  <w:vMerge w:val="continue"/>
                  <w:tcBorders>
                    <w:top w:val="single" w:color="auto" w:sz="4" w:space="0"/>
                    <w:left w:val="single" w:color="auto" w:sz="4" w:space="0"/>
                    <w:bottom w:val="single" w:color="auto" w:sz="4" w:space="0"/>
                    <w:right w:val="single" w:color="auto" w:sz="4" w:space="0"/>
                  </w:tcBorders>
                  <w:vAlign w:val="center"/>
                </w:tcPr>
                <w:p w14:paraId="5FE11AB2">
                  <w:pPr>
                    <w:widowControl w:val="0"/>
                    <w:wordWrap w:val="0"/>
                    <w:overflowPunct w:val="0"/>
                    <w:spacing w:line="320" w:lineRule="exact"/>
                    <w:jc w:val="center"/>
                    <w:rPr>
                      <w:rFonts w:hint="default" w:ascii="Times New Roman" w:hAnsi="Times New Roman" w:eastAsia="仿宋_GB2312" w:cs="Times New Roman"/>
                      <w:color w:val="auto"/>
                      <w:sz w:val="2"/>
                      <w:szCs w:val="2"/>
                      <w:lang w:eastAsia="en-US"/>
                    </w:rPr>
                  </w:pPr>
                </w:p>
              </w:tc>
              <w:tc>
                <w:tcPr>
                  <w:tcW w:w="406" w:type="pct"/>
                  <w:vMerge w:val="continue"/>
                  <w:tcBorders>
                    <w:top w:val="single" w:color="auto" w:sz="4" w:space="0"/>
                    <w:left w:val="single" w:color="auto" w:sz="4" w:space="0"/>
                    <w:bottom w:val="single" w:color="auto" w:sz="4" w:space="0"/>
                    <w:right w:val="single" w:color="auto" w:sz="4" w:space="0"/>
                  </w:tcBorders>
                  <w:vAlign w:val="center"/>
                </w:tcPr>
                <w:p w14:paraId="1ADC27F4">
                  <w:pPr>
                    <w:widowControl w:val="0"/>
                    <w:wordWrap w:val="0"/>
                    <w:overflowPunct w:val="0"/>
                    <w:spacing w:line="320" w:lineRule="exact"/>
                    <w:jc w:val="center"/>
                    <w:rPr>
                      <w:rFonts w:hint="default" w:ascii="Times New Roman" w:hAnsi="Times New Roman" w:eastAsia="仿宋_GB2312" w:cs="Times New Roman"/>
                      <w:color w:val="auto"/>
                      <w:sz w:val="2"/>
                      <w:szCs w:val="2"/>
                      <w:lang w:eastAsia="en-US"/>
                    </w:rPr>
                  </w:pPr>
                </w:p>
              </w:tc>
              <w:tc>
                <w:tcPr>
                  <w:tcW w:w="626" w:type="pct"/>
                  <w:vMerge w:val="continue"/>
                  <w:tcBorders>
                    <w:top w:val="single" w:color="auto" w:sz="4" w:space="0"/>
                    <w:left w:val="single" w:color="auto" w:sz="4" w:space="0"/>
                    <w:bottom w:val="single" w:color="auto" w:sz="4" w:space="0"/>
                    <w:right w:val="single" w:color="auto" w:sz="4" w:space="0"/>
                  </w:tcBorders>
                  <w:vAlign w:val="center"/>
                </w:tcPr>
                <w:p w14:paraId="2753D444">
                  <w:pPr>
                    <w:widowControl w:val="0"/>
                    <w:wordWrap w:val="0"/>
                    <w:overflowPunct w:val="0"/>
                    <w:spacing w:line="320" w:lineRule="exact"/>
                    <w:jc w:val="center"/>
                    <w:rPr>
                      <w:rFonts w:hint="default" w:ascii="Times New Roman" w:hAnsi="Times New Roman" w:eastAsia="仿宋_GB2312" w:cs="Times New Roman"/>
                      <w:color w:val="auto"/>
                      <w:sz w:val="2"/>
                      <w:szCs w:val="2"/>
                      <w:lang w:eastAsia="en-US"/>
                    </w:rPr>
                  </w:pPr>
                </w:p>
              </w:tc>
              <w:tc>
                <w:tcPr>
                  <w:tcW w:w="359" w:type="pct"/>
                  <w:tcBorders>
                    <w:top w:val="single" w:color="auto" w:sz="4" w:space="0"/>
                    <w:left w:val="single" w:color="auto" w:sz="4" w:space="0"/>
                    <w:bottom w:val="single" w:color="auto" w:sz="4" w:space="0"/>
                    <w:right w:val="single" w:color="auto" w:sz="4" w:space="0"/>
                  </w:tcBorders>
                  <w:vAlign w:val="center"/>
                </w:tcPr>
                <w:p w14:paraId="3BDDAFE3">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浓度</w:t>
                  </w:r>
                </w:p>
                <w:p w14:paraId="4A41F08E">
                  <w:pPr>
                    <w:pStyle w:val="222"/>
                    <w:wordWrap w:val="0"/>
                    <w:overflowPunct w:val="0"/>
                    <w:spacing w:line="320" w:lineRule="exact"/>
                    <w:jc w:val="center"/>
                    <w:rPr>
                      <w:rFonts w:hint="default" w:ascii="Times New Roman" w:hAnsi="Times New Roman" w:eastAsia="仿宋_GB2312" w:cs="Times New Roman"/>
                      <w:b/>
                      <w:color w:val="auto"/>
                      <w:sz w:val="10"/>
                    </w:rPr>
                  </w:pPr>
                  <w:r>
                    <w:rPr>
                      <w:rFonts w:hint="default" w:ascii="Times New Roman" w:hAnsi="Times New Roman" w:eastAsia="仿宋_GB2312" w:cs="Times New Roman"/>
                      <w:b/>
                      <w:color w:val="auto"/>
                      <w:sz w:val="20"/>
                    </w:rPr>
                    <w:t>mg/m</w:t>
                  </w:r>
                  <w:r>
                    <w:rPr>
                      <w:rFonts w:hint="default" w:ascii="Times New Roman" w:hAnsi="Times New Roman" w:eastAsia="仿宋_GB2312" w:cs="Times New Roman"/>
                      <w:b/>
                      <w:color w:val="auto"/>
                      <w:position w:val="10"/>
                      <w:sz w:val="10"/>
                    </w:rPr>
                    <w:t>3</w:t>
                  </w:r>
                </w:p>
              </w:tc>
              <w:tc>
                <w:tcPr>
                  <w:tcW w:w="316" w:type="pct"/>
                  <w:tcBorders>
                    <w:top w:val="single" w:color="auto" w:sz="4" w:space="0"/>
                    <w:left w:val="single" w:color="auto" w:sz="4" w:space="0"/>
                    <w:bottom w:val="single" w:color="auto" w:sz="4" w:space="0"/>
                    <w:right w:val="single" w:color="auto" w:sz="12" w:space="0"/>
                  </w:tcBorders>
                  <w:vAlign w:val="center"/>
                </w:tcPr>
                <w:p w14:paraId="5CB89490">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速率</w:t>
                  </w:r>
                </w:p>
                <w:p w14:paraId="4A4C5468">
                  <w:pPr>
                    <w:pStyle w:val="222"/>
                    <w:wordWrap w:val="0"/>
                    <w:overflowPunct w:val="0"/>
                    <w:spacing w:line="320" w:lineRule="exact"/>
                    <w:jc w:val="center"/>
                    <w:rPr>
                      <w:rFonts w:hint="default" w:ascii="Times New Roman" w:hAnsi="Times New Roman" w:eastAsia="仿宋_GB2312" w:cs="Times New Roman"/>
                      <w:b/>
                      <w:color w:val="auto"/>
                      <w:sz w:val="20"/>
                    </w:rPr>
                  </w:pPr>
                  <w:r>
                    <w:rPr>
                      <w:rFonts w:hint="default" w:ascii="Times New Roman" w:hAnsi="Times New Roman" w:eastAsia="仿宋_GB2312" w:cs="Times New Roman"/>
                      <w:b/>
                      <w:color w:val="auto"/>
                      <w:sz w:val="20"/>
                    </w:rPr>
                    <w:t>kg/h</w:t>
                  </w:r>
                </w:p>
              </w:tc>
            </w:tr>
            <w:tr w14:paraId="5304F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36" w:type="pct"/>
                  <w:vMerge w:val="restart"/>
                  <w:tcBorders>
                    <w:top w:val="single" w:color="auto" w:sz="4" w:space="0"/>
                    <w:left w:val="single" w:color="auto" w:sz="12" w:space="0"/>
                    <w:bottom w:val="single" w:color="auto" w:sz="4" w:space="0"/>
                    <w:right w:val="single" w:color="auto" w:sz="4" w:space="0"/>
                  </w:tcBorders>
                  <w:vAlign w:val="center"/>
                </w:tcPr>
                <w:p w14:paraId="3EAEE60C">
                  <w:pPr>
                    <w:pStyle w:val="222"/>
                    <w:spacing w:line="320" w:lineRule="exact"/>
                    <w:jc w:val="center"/>
                    <w:rPr>
                      <w:rFonts w:hint="default" w:ascii="Times New Roman" w:hAnsi="Times New Roman" w:eastAsia="仿宋_GB2312" w:cs="Times New Roman"/>
                      <w:color w:val="auto"/>
                      <w:sz w:val="20"/>
                      <w:lang w:eastAsia="zh-CN"/>
                    </w:rPr>
                  </w:pPr>
                  <w:r>
                    <w:rPr>
                      <w:rFonts w:hint="default" w:ascii="Times New Roman" w:hAnsi="Times New Roman" w:eastAsia="仿宋_GB2312" w:cs="Times New Roman"/>
                      <w:color w:val="auto"/>
                      <w:sz w:val="20"/>
                    </w:rPr>
                    <w:t>DA00</w:t>
                  </w:r>
                  <w:r>
                    <w:rPr>
                      <w:rFonts w:hint="default" w:ascii="Times New Roman" w:hAnsi="Times New Roman" w:eastAsia="仿宋_GB2312" w:cs="Times New Roman"/>
                      <w:color w:val="auto"/>
                      <w:sz w:val="20"/>
                      <w:lang w:eastAsia="zh-CN"/>
                    </w:rPr>
                    <w:t>3</w:t>
                  </w:r>
                </w:p>
              </w:tc>
              <w:tc>
                <w:tcPr>
                  <w:tcW w:w="585" w:type="pct"/>
                  <w:tcBorders>
                    <w:top w:val="single" w:color="auto" w:sz="4" w:space="0"/>
                    <w:left w:val="single" w:color="auto" w:sz="4" w:space="0"/>
                    <w:bottom w:val="single" w:color="auto" w:sz="4" w:space="0"/>
                    <w:right w:val="single" w:color="auto" w:sz="4" w:space="0"/>
                  </w:tcBorders>
                  <w:vAlign w:val="center"/>
                </w:tcPr>
                <w:p w14:paraId="74C9B949">
                  <w:pPr>
                    <w:pStyle w:val="222"/>
                    <w:spacing w:line="320" w:lineRule="exact"/>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position w:val="1"/>
                      <w:sz w:val="21"/>
                    </w:rPr>
                    <w:t>SO</w:t>
                  </w:r>
                  <w:r>
                    <w:rPr>
                      <w:rFonts w:hint="default" w:ascii="Times New Roman" w:hAnsi="Times New Roman" w:eastAsia="仿宋_GB2312" w:cs="Times New Roman"/>
                      <w:color w:val="auto"/>
                      <w:sz w:val="11"/>
                    </w:rPr>
                    <w:t>2</w:t>
                  </w:r>
                </w:p>
              </w:tc>
              <w:tc>
                <w:tcPr>
                  <w:tcW w:w="466" w:type="pct"/>
                  <w:vMerge w:val="restart"/>
                  <w:tcBorders>
                    <w:top w:val="single" w:color="auto" w:sz="4" w:space="0"/>
                    <w:left w:val="single" w:color="auto" w:sz="4" w:space="0"/>
                    <w:bottom w:val="single" w:color="auto" w:sz="4" w:space="0"/>
                    <w:right w:val="single" w:color="auto" w:sz="4" w:space="0"/>
                  </w:tcBorders>
                  <w:vAlign w:val="center"/>
                </w:tcPr>
                <w:p w14:paraId="02303D37">
                  <w:pPr>
                    <w:pStyle w:val="222"/>
                    <w:spacing w:line="320" w:lineRule="exact"/>
                    <w:jc w:val="center"/>
                    <w:rPr>
                      <w:rFonts w:hint="default" w:ascii="Times New Roman" w:hAnsi="Times New Roman" w:eastAsia="仿宋_GB2312" w:cs="Times New Roman"/>
                      <w:color w:val="auto"/>
                      <w:sz w:val="20"/>
                      <w:lang w:eastAsia="zh-CN"/>
                    </w:rPr>
                  </w:pPr>
                  <w:r>
                    <w:rPr>
                      <w:rFonts w:hint="default" w:ascii="Times New Roman" w:hAnsi="Times New Roman" w:eastAsia="仿宋_GB2312" w:cs="Times New Roman"/>
                      <w:color w:val="auto"/>
                      <w:sz w:val="20"/>
                      <w:lang w:eastAsia="zh-CN"/>
                    </w:rPr>
                    <w:t>/</w:t>
                  </w:r>
                </w:p>
              </w:tc>
              <w:tc>
                <w:tcPr>
                  <w:tcW w:w="465" w:type="pct"/>
                  <w:tcBorders>
                    <w:top w:val="single" w:color="auto" w:sz="4" w:space="0"/>
                    <w:left w:val="single" w:color="auto" w:sz="4" w:space="0"/>
                    <w:bottom w:val="single" w:color="auto" w:sz="4" w:space="0"/>
                    <w:right w:val="single" w:color="auto" w:sz="4" w:space="0"/>
                  </w:tcBorders>
                  <w:vAlign w:val="center"/>
                </w:tcPr>
                <w:p w14:paraId="40223937">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3.2</w:t>
                  </w:r>
                </w:p>
              </w:tc>
              <w:tc>
                <w:tcPr>
                  <w:tcW w:w="466" w:type="pct"/>
                  <w:tcBorders>
                    <w:top w:val="single" w:color="auto" w:sz="4" w:space="0"/>
                    <w:left w:val="single" w:color="auto" w:sz="4" w:space="0"/>
                    <w:bottom w:val="single" w:color="auto" w:sz="4" w:space="0"/>
                    <w:right w:val="single" w:color="auto" w:sz="4" w:space="0"/>
                  </w:tcBorders>
                  <w:vAlign w:val="center"/>
                </w:tcPr>
                <w:p w14:paraId="6BBDB038">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0.0032</w:t>
                  </w:r>
                </w:p>
              </w:tc>
              <w:tc>
                <w:tcPr>
                  <w:tcW w:w="419" w:type="pct"/>
                  <w:tcBorders>
                    <w:top w:val="single" w:color="auto" w:sz="4" w:space="0"/>
                    <w:left w:val="single" w:color="auto" w:sz="4" w:space="0"/>
                    <w:bottom w:val="single" w:color="auto" w:sz="4" w:space="0"/>
                    <w:right w:val="single" w:color="auto" w:sz="4" w:space="0"/>
                  </w:tcBorders>
                  <w:vAlign w:val="center"/>
                </w:tcPr>
                <w:p w14:paraId="0C55A4C8">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0.002</w:t>
                  </w:r>
                </w:p>
              </w:tc>
              <w:tc>
                <w:tcPr>
                  <w:tcW w:w="453" w:type="pct"/>
                  <w:vMerge w:val="restart"/>
                  <w:tcBorders>
                    <w:top w:val="single" w:color="auto" w:sz="4" w:space="0"/>
                    <w:left w:val="single" w:color="auto" w:sz="4" w:space="0"/>
                    <w:bottom w:val="single" w:color="auto" w:sz="4" w:space="0"/>
                    <w:right w:val="single" w:color="auto" w:sz="4" w:space="0"/>
                  </w:tcBorders>
                  <w:vAlign w:val="center"/>
                </w:tcPr>
                <w:p w14:paraId="5E778739">
                  <w:pPr>
                    <w:pStyle w:val="222"/>
                    <w:spacing w:line="320" w:lineRule="exact"/>
                    <w:jc w:val="center"/>
                    <w:rPr>
                      <w:rFonts w:hint="default" w:ascii="Times New Roman" w:hAnsi="Times New Roman" w:eastAsia="仿宋_GB2312" w:cs="Times New Roman"/>
                      <w:color w:val="auto"/>
                      <w:sz w:val="20"/>
                    </w:rPr>
                  </w:pPr>
                  <w:r>
                    <w:rPr>
                      <w:rFonts w:hint="default" w:ascii="Times New Roman" w:hAnsi="Times New Roman" w:eastAsia="仿宋_GB2312" w:cs="Times New Roman"/>
                      <w:color w:val="auto"/>
                      <w:sz w:val="20"/>
                      <w:lang w:eastAsia="zh-CN"/>
                    </w:rPr>
                    <w:t>6.8</w:t>
                  </w:r>
                  <w:r>
                    <w:rPr>
                      <w:rFonts w:hint="default" w:ascii="Times New Roman" w:hAnsi="Times New Roman" w:eastAsia="仿宋_GB2312" w:cs="Times New Roman"/>
                      <w:color w:val="auto"/>
                      <w:sz w:val="20"/>
                    </w:rPr>
                    <w:t>%</w:t>
                  </w:r>
                </w:p>
              </w:tc>
              <w:tc>
                <w:tcPr>
                  <w:tcW w:w="406" w:type="pct"/>
                  <w:tcBorders>
                    <w:top w:val="single" w:color="auto" w:sz="4" w:space="0"/>
                    <w:left w:val="single" w:color="auto" w:sz="4" w:space="0"/>
                    <w:bottom w:val="single" w:color="auto" w:sz="4" w:space="0"/>
                    <w:right w:val="single" w:color="auto" w:sz="4" w:space="0"/>
                  </w:tcBorders>
                  <w:vAlign w:val="center"/>
                </w:tcPr>
                <w:p w14:paraId="0D983248">
                  <w:pPr>
                    <w:pStyle w:val="222"/>
                    <w:spacing w:line="320" w:lineRule="exact"/>
                    <w:jc w:val="center"/>
                    <w:rPr>
                      <w:rFonts w:hint="default" w:ascii="Times New Roman" w:hAnsi="Times New Roman" w:eastAsia="仿宋_GB2312" w:cs="Times New Roman"/>
                      <w:color w:val="auto"/>
                      <w:sz w:val="20"/>
                    </w:rPr>
                  </w:pPr>
                  <w:r>
                    <w:rPr>
                      <w:rFonts w:hint="default" w:ascii="Times New Roman" w:hAnsi="Times New Roman" w:eastAsia="仿宋_GB2312" w:cs="Times New Roman"/>
                      <w:color w:val="auto"/>
                      <w:sz w:val="20"/>
                    </w:rPr>
                    <w:t>3.5%</w:t>
                  </w:r>
                </w:p>
              </w:tc>
              <w:tc>
                <w:tcPr>
                  <w:tcW w:w="626" w:type="pct"/>
                  <w:tcBorders>
                    <w:top w:val="single" w:color="auto" w:sz="4" w:space="0"/>
                    <w:left w:val="single" w:color="auto" w:sz="4" w:space="0"/>
                    <w:bottom w:val="single" w:color="auto" w:sz="4" w:space="0"/>
                    <w:right w:val="single" w:color="auto" w:sz="4" w:space="0"/>
                  </w:tcBorders>
                  <w:vAlign w:val="center"/>
                </w:tcPr>
                <w:p w14:paraId="5FEFA994">
                  <w:pPr>
                    <w:pStyle w:val="222"/>
                    <w:spacing w:line="320" w:lineRule="exact"/>
                    <w:jc w:val="center"/>
                    <w:rPr>
                      <w:rFonts w:hint="default" w:ascii="Times New Roman" w:hAnsi="Times New Roman" w:eastAsia="仿宋_GB2312" w:cs="Times New Roman"/>
                      <w:color w:val="auto"/>
                      <w:sz w:val="20"/>
                      <w:lang w:eastAsia="zh-CN"/>
                    </w:rPr>
                  </w:pPr>
                  <w:r>
                    <w:rPr>
                      <w:rFonts w:hint="default" w:ascii="Times New Roman" w:hAnsi="Times New Roman" w:eastAsia="仿宋_GB2312" w:cs="Times New Roman"/>
                      <w:color w:val="auto"/>
                      <w:sz w:val="20"/>
                      <w:lang w:eastAsia="zh-CN"/>
                    </w:rPr>
                    <w:t>3.94</w:t>
                  </w:r>
                </w:p>
              </w:tc>
              <w:tc>
                <w:tcPr>
                  <w:tcW w:w="359" w:type="pct"/>
                  <w:tcBorders>
                    <w:top w:val="single" w:color="auto" w:sz="4" w:space="0"/>
                    <w:left w:val="single" w:color="auto" w:sz="4" w:space="0"/>
                    <w:bottom w:val="single" w:color="auto" w:sz="4" w:space="0"/>
                    <w:right w:val="single" w:color="auto" w:sz="4" w:space="0"/>
                  </w:tcBorders>
                  <w:vAlign w:val="center"/>
                </w:tcPr>
                <w:p w14:paraId="5FD9BA3F">
                  <w:pPr>
                    <w:pStyle w:val="222"/>
                    <w:spacing w:line="320" w:lineRule="exact"/>
                    <w:jc w:val="center"/>
                    <w:rPr>
                      <w:rFonts w:hint="default" w:ascii="Times New Roman" w:hAnsi="Times New Roman" w:eastAsia="仿宋_GB2312" w:cs="Times New Roman"/>
                      <w:color w:val="auto"/>
                      <w:sz w:val="20"/>
                      <w:lang w:eastAsia="zh-CN"/>
                    </w:rPr>
                  </w:pPr>
                  <w:r>
                    <w:rPr>
                      <w:rFonts w:hint="default" w:ascii="Times New Roman" w:hAnsi="Times New Roman" w:eastAsia="仿宋_GB2312" w:cs="Times New Roman"/>
                      <w:color w:val="auto"/>
                      <w:sz w:val="20"/>
                      <w:lang w:eastAsia="zh-CN"/>
                    </w:rPr>
                    <w:t>35</w:t>
                  </w:r>
                </w:p>
              </w:tc>
              <w:tc>
                <w:tcPr>
                  <w:tcW w:w="316" w:type="pct"/>
                  <w:tcBorders>
                    <w:top w:val="single" w:color="auto" w:sz="4" w:space="0"/>
                    <w:left w:val="single" w:color="auto" w:sz="4" w:space="0"/>
                    <w:bottom w:val="single" w:color="auto" w:sz="4" w:space="0"/>
                    <w:right w:val="single" w:color="auto" w:sz="12" w:space="0"/>
                  </w:tcBorders>
                  <w:vAlign w:val="center"/>
                </w:tcPr>
                <w:p w14:paraId="26A00F2D">
                  <w:pPr>
                    <w:pStyle w:val="222"/>
                    <w:spacing w:line="320" w:lineRule="exact"/>
                    <w:jc w:val="center"/>
                    <w:rPr>
                      <w:rFonts w:hint="default" w:ascii="Times New Roman" w:hAnsi="Times New Roman" w:eastAsia="仿宋_GB2312" w:cs="Times New Roman"/>
                      <w:color w:val="auto"/>
                      <w:sz w:val="20"/>
                    </w:rPr>
                  </w:pPr>
                  <w:r>
                    <w:rPr>
                      <w:rFonts w:hint="default" w:ascii="Times New Roman" w:hAnsi="Times New Roman" w:eastAsia="仿宋_GB2312" w:cs="Times New Roman"/>
                      <w:color w:val="auto"/>
                      <w:w w:val="99"/>
                      <w:sz w:val="20"/>
                    </w:rPr>
                    <w:t>/</w:t>
                  </w:r>
                </w:p>
              </w:tc>
            </w:tr>
            <w:tr w14:paraId="08DC6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36" w:type="pct"/>
                  <w:vMerge w:val="continue"/>
                  <w:tcBorders>
                    <w:top w:val="single" w:color="auto" w:sz="4" w:space="0"/>
                    <w:left w:val="single" w:color="auto" w:sz="12" w:space="0"/>
                    <w:bottom w:val="single" w:color="auto" w:sz="4" w:space="0"/>
                    <w:right w:val="single" w:color="auto" w:sz="4" w:space="0"/>
                  </w:tcBorders>
                  <w:vAlign w:val="center"/>
                </w:tcPr>
                <w:p w14:paraId="080EE19B">
                  <w:pPr>
                    <w:widowControl w:val="0"/>
                    <w:spacing w:line="320" w:lineRule="exact"/>
                    <w:jc w:val="center"/>
                    <w:rPr>
                      <w:rFonts w:hint="default" w:ascii="Times New Roman" w:hAnsi="Times New Roman" w:eastAsia="仿宋_GB2312" w:cs="Times New Roman"/>
                      <w:color w:val="auto"/>
                      <w:sz w:val="2"/>
                      <w:szCs w:val="2"/>
                      <w:lang w:eastAsia="en-US"/>
                    </w:rPr>
                  </w:pPr>
                </w:p>
              </w:tc>
              <w:tc>
                <w:tcPr>
                  <w:tcW w:w="585" w:type="pct"/>
                  <w:tcBorders>
                    <w:top w:val="single" w:color="auto" w:sz="4" w:space="0"/>
                    <w:left w:val="single" w:color="auto" w:sz="4" w:space="0"/>
                    <w:bottom w:val="single" w:color="auto" w:sz="4" w:space="0"/>
                    <w:right w:val="single" w:color="auto" w:sz="4" w:space="0"/>
                  </w:tcBorders>
                  <w:vAlign w:val="center"/>
                </w:tcPr>
                <w:p w14:paraId="3C9144A4">
                  <w:pPr>
                    <w:pStyle w:val="222"/>
                    <w:spacing w:line="320" w:lineRule="exact"/>
                    <w:jc w:val="center"/>
                    <w:rPr>
                      <w:rFonts w:hint="default" w:ascii="Times New Roman" w:hAnsi="Times New Roman" w:eastAsia="仿宋_GB2312" w:cs="Times New Roman"/>
                      <w:color w:val="auto"/>
                      <w:sz w:val="11"/>
                    </w:rPr>
                  </w:pPr>
                  <w:r>
                    <w:rPr>
                      <w:rFonts w:hint="default" w:ascii="Times New Roman" w:hAnsi="Times New Roman" w:eastAsia="仿宋_GB2312" w:cs="Times New Roman"/>
                      <w:color w:val="auto"/>
                      <w:position w:val="1"/>
                      <w:sz w:val="21"/>
                    </w:rPr>
                    <w:t>NO</w:t>
                  </w:r>
                  <w:r>
                    <w:rPr>
                      <w:rFonts w:hint="default" w:ascii="Times New Roman" w:hAnsi="Times New Roman" w:eastAsia="仿宋_GB2312" w:cs="Times New Roman"/>
                      <w:color w:val="auto"/>
                      <w:sz w:val="11"/>
                    </w:rPr>
                    <w:t>x</w:t>
                  </w:r>
                </w:p>
              </w:tc>
              <w:tc>
                <w:tcPr>
                  <w:tcW w:w="466" w:type="pct"/>
                  <w:vMerge w:val="continue"/>
                  <w:tcBorders>
                    <w:top w:val="single" w:color="auto" w:sz="4" w:space="0"/>
                    <w:left w:val="single" w:color="auto" w:sz="4" w:space="0"/>
                    <w:bottom w:val="single" w:color="auto" w:sz="4" w:space="0"/>
                    <w:right w:val="single" w:color="auto" w:sz="4" w:space="0"/>
                  </w:tcBorders>
                  <w:vAlign w:val="center"/>
                </w:tcPr>
                <w:p w14:paraId="76EEB67A">
                  <w:pPr>
                    <w:widowControl w:val="0"/>
                    <w:spacing w:line="320" w:lineRule="exact"/>
                    <w:jc w:val="center"/>
                    <w:rPr>
                      <w:rFonts w:hint="default" w:ascii="Times New Roman" w:hAnsi="Times New Roman" w:eastAsia="仿宋_GB2312" w:cs="Times New Roman"/>
                      <w:color w:val="auto"/>
                      <w:sz w:val="2"/>
                      <w:szCs w:val="2"/>
                      <w:lang w:eastAsia="en-US"/>
                    </w:rPr>
                  </w:pPr>
                </w:p>
              </w:tc>
              <w:tc>
                <w:tcPr>
                  <w:tcW w:w="465" w:type="pct"/>
                  <w:tcBorders>
                    <w:top w:val="single" w:color="auto" w:sz="4" w:space="0"/>
                    <w:left w:val="single" w:color="auto" w:sz="4" w:space="0"/>
                    <w:bottom w:val="single" w:color="auto" w:sz="4" w:space="0"/>
                    <w:right w:val="single" w:color="auto" w:sz="4" w:space="0"/>
                  </w:tcBorders>
                  <w:vAlign w:val="center"/>
                </w:tcPr>
                <w:p w14:paraId="33EA559F">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32.3</w:t>
                  </w:r>
                </w:p>
              </w:tc>
              <w:tc>
                <w:tcPr>
                  <w:tcW w:w="466" w:type="pct"/>
                  <w:tcBorders>
                    <w:top w:val="single" w:color="auto" w:sz="4" w:space="0"/>
                    <w:left w:val="single" w:color="auto" w:sz="4" w:space="0"/>
                    <w:bottom w:val="single" w:color="auto" w:sz="4" w:space="0"/>
                    <w:right w:val="single" w:color="auto" w:sz="4" w:space="0"/>
                  </w:tcBorders>
                  <w:vAlign w:val="center"/>
                </w:tcPr>
                <w:p w14:paraId="1108172C">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0.0323</w:t>
                  </w:r>
                </w:p>
              </w:tc>
              <w:tc>
                <w:tcPr>
                  <w:tcW w:w="419" w:type="pct"/>
                  <w:tcBorders>
                    <w:top w:val="single" w:color="auto" w:sz="4" w:space="0"/>
                    <w:left w:val="single" w:color="auto" w:sz="4" w:space="0"/>
                    <w:bottom w:val="single" w:color="auto" w:sz="4" w:space="0"/>
                    <w:right w:val="single" w:color="auto" w:sz="4" w:space="0"/>
                  </w:tcBorders>
                  <w:vAlign w:val="center"/>
                </w:tcPr>
                <w:p w14:paraId="04698CB6">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0.02</w:t>
                  </w:r>
                </w:p>
              </w:tc>
              <w:tc>
                <w:tcPr>
                  <w:tcW w:w="453" w:type="pct"/>
                  <w:vMerge w:val="continue"/>
                  <w:tcBorders>
                    <w:top w:val="single" w:color="auto" w:sz="4" w:space="0"/>
                    <w:left w:val="single" w:color="auto" w:sz="4" w:space="0"/>
                    <w:bottom w:val="single" w:color="auto" w:sz="4" w:space="0"/>
                    <w:right w:val="single" w:color="auto" w:sz="4" w:space="0"/>
                  </w:tcBorders>
                  <w:vAlign w:val="center"/>
                </w:tcPr>
                <w:p w14:paraId="2A58B81A">
                  <w:pPr>
                    <w:widowControl w:val="0"/>
                    <w:spacing w:line="320" w:lineRule="exact"/>
                    <w:jc w:val="center"/>
                    <w:rPr>
                      <w:rFonts w:hint="default" w:ascii="Times New Roman" w:hAnsi="Times New Roman" w:eastAsia="仿宋_GB2312" w:cs="Times New Roman"/>
                      <w:color w:val="auto"/>
                      <w:sz w:val="2"/>
                      <w:szCs w:val="2"/>
                      <w:lang w:eastAsia="en-US"/>
                    </w:rPr>
                  </w:pPr>
                </w:p>
              </w:tc>
              <w:tc>
                <w:tcPr>
                  <w:tcW w:w="406" w:type="pct"/>
                  <w:tcBorders>
                    <w:top w:val="single" w:color="auto" w:sz="4" w:space="0"/>
                    <w:left w:val="single" w:color="auto" w:sz="4" w:space="0"/>
                    <w:bottom w:val="single" w:color="auto" w:sz="4" w:space="0"/>
                    <w:right w:val="single" w:color="auto" w:sz="4" w:space="0"/>
                  </w:tcBorders>
                  <w:vAlign w:val="center"/>
                </w:tcPr>
                <w:p w14:paraId="742B252F">
                  <w:pPr>
                    <w:pStyle w:val="222"/>
                    <w:spacing w:line="320" w:lineRule="exact"/>
                    <w:jc w:val="center"/>
                    <w:rPr>
                      <w:rFonts w:hint="default" w:ascii="Times New Roman" w:hAnsi="Times New Roman" w:eastAsia="仿宋_GB2312" w:cs="Times New Roman"/>
                      <w:color w:val="auto"/>
                      <w:sz w:val="20"/>
                    </w:rPr>
                  </w:pPr>
                  <w:r>
                    <w:rPr>
                      <w:rFonts w:hint="default" w:ascii="Times New Roman" w:hAnsi="Times New Roman" w:eastAsia="仿宋_GB2312" w:cs="Times New Roman"/>
                      <w:color w:val="auto"/>
                      <w:sz w:val="20"/>
                    </w:rPr>
                    <w:t>3.5%</w:t>
                  </w:r>
                </w:p>
              </w:tc>
              <w:tc>
                <w:tcPr>
                  <w:tcW w:w="626" w:type="pct"/>
                  <w:tcBorders>
                    <w:top w:val="single" w:color="auto" w:sz="4" w:space="0"/>
                    <w:left w:val="single" w:color="auto" w:sz="4" w:space="0"/>
                    <w:bottom w:val="single" w:color="auto" w:sz="4" w:space="0"/>
                    <w:right w:val="single" w:color="auto" w:sz="4" w:space="0"/>
                  </w:tcBorders>
                  <w:vAlign w:val="center"/>
                </w:tcPr>
                <w:p w14:paraId="7DF4D7B3">
                  <w:pPr>
                    <w:pStyle w:val="222"/>
                    <w:spacing w:line="320" w:lineRule="exact"/>
                    <w:jc w:val="center"/>
                    <w:rPr>
                      <w:rFonts w:hint="default" w:ascii="Times New Roman" w:hAnsi="Times New Roman" w:eastAsia="仿宋_GB2312" w:cs="Times New Roman"/>
                      <w:color w:val="auto"/>
                      <w:sz w:val="20"/>
                      <w:lang w:eastAsia="zh-CN"/>
                    </w:rPr>
                  </w:pPr>
                  <w:r>
                    <w:rPr>
                      <w:rFonts w:hint="default" w:ascii="Times New Roman" w:hAnsi="Times New Roman" w:eastAsia="仿宋_GB2312" w:cs="Times New Roman"/>
                      <w:color w:val="auto"/>
                      <w:sz w:val="20"/>
                      <w:lang w:eastAsia="zh-CN"/>
                    </w:rPr>
                    <w:t>39.8</w:t>
                  </w:r>
                </w:p>
              </w:tc>
              <w:tc>
                <w:tcPr>
                  <w:tcW w:w="359" w:type="pct"/>
                  <w:tcBorders>
                    <w:top w:val="single" w:color="auto" w:sz="4" w:space="0"/>
                    <w:left w:val="single" w:color="auto" w:sz="4" w:space="0"/>
                    <w:bottom w:val="single" w:color="auto" w:sz="4" w:space="0"/>
                    <w:right w:val="single" w:color="auto" w:sz="4" w:space="0"/>
                  </w:tcBorders>
                  <w:vAlign w:val="center"/>
                </w:tcPr>
                <w:p w14:paraId="14BD7132">
                  <w:pPr>
                    <w:pStyle w:val="222"/>
                    <w:spacing w:line="320" w:lineRule="exact"/>
                    <w:jc w:val="center"/>
                    <w:rPr>
                      <w:rFonts w:hint="default" w:ascii="Times New Roman" w:hAnsi="Times New Roman" w:eastAsia="仿宋_GB2312" w:cs="Times New Roman"/>
                      <w:color w:val="auto"/>
                      <w:sz w:val="20"/>
                      <w:lang w:eastAsia="zh-CN"/>
                    </w:rPr>
                  </w:pPr>
                  <w:r>
                    <w:rPr>
                      <w:rFonts w:hint="default" w:ascii="Times New Roman" w:hAnsi="Times New Roman" w:eastAsia="仿宋_GB2312" w:cs="Times New Roman"/>
                      <w:color w:val="auto"/>
                      <w:sz w:val="20"/>
                      <w:lang w:eastAsia="zh-CN"/>
                    </w:rPr>
                    <w:t>50</w:t>
                  </w:r>
                </w:p>
              </w:tc>
              <w:tc>
                <w:tcPr>
                  <w:tcW w:w="316" w:type="pct"/>
                  <w:tcBorders>
                    <w:top w:val="single" w:color="auto" w:sz="4" w:space="0"/>
                    <w:left w:val="single" w:color="auto" w:sz="4" w:space="0"/>
                    <w:bottom w:val="single" w:color="auto" w:sz="4" w:space="0"/>
                    <w:right w:val="single" w:color="auto" w:sz="12" w:space="0"/>
                  </w:tcBorders>
                  <w:vAlign w:val="center"/>
                </w:tcPr>
                <w:p w14:paraId="28C2904C">
                  <w:pPr>
                    <w:pStyle w:val="222"/>
                    <w:spacing w:line="320" w:lineRule="exact"/>
                    <w:jc w:val="center"/>
                    <w:rPr>
                      <w:rFonts w:hint="default" w:ascii="Times New Roman" w:hAnsi="Times New Roman" w:eastAsia="仿宋_GB2312" w:cs="Times New Roman"/>
                      <w:color w:val="auto"/>
                      <w:sz w:val="20"/>
                    </w:rPr>
                  </w:pPr>
                  <w:r>
                    <w:rPr>
                      <w:rFonts w:hint="default" w:ascii="Times New Roman" w:hAnsi="Times New Roman" w:eastAsia="仿宋_GB2312" w:cs="Times New Roman"/>
                      <w:color w:val="auto"/>
                      <w:w w:val="99"/>
                      <w:sz w:val="20"/>
                    </w:rPr>
                    <w:t>/</w:t>
                  </w:r>
                </w:p>
              </w:tc>
            </w:tr>
            <w:tr w14:paraId="66D7B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36" w:type="pct"/>
                  <w:vMerge w:val="continue"/>
                  <w:tcBorders>
                    <w:top w:val="single" w:color="auto" w:sz="4" w:space="0"/>
                    <w:left w:val="single" w:color="auto" w:sz="12" w:space="0"/>
                    <w:bottom w:val="single" w:color="auto" w:sz="12" w:space="0"/>
                    <w:right w:val="single" w:color="auto" w:sz="4" w:space="0"/>
                  </w:tcBorders>
                  <w:vAlign w:val="center"/>
                </w:tcPr>
                <w:p w14:paraId="39A11439">
                  <w:pPr>
                    <w:widowControl w:val="0"/>
                    <w:spacing w:line="320" w:lineRule="exact"/>
                    <w:jc w:val="center"/>
                    <w:rPr>
                      <w:rFonts w:hint="default" w:ascii="Times New Roman" w:hAnsi="Times New Roman" w:eastAsia="仿宋_GB2312" w:cs="Times New Roman"/>
                      <w:color w:val="auto"/>
                      <w:sz w:val="2"/>
                      <w:szCs w:val="2"/>
                      <w:lang w:eastAsia="en-US"/>
                    </w:rPr>
                  </w:pPr>
                </w:p>
              </w:tc>
              <w:tc>
                <w:tcPr>
                  <w:tcW w:w="585" w:type="pct"/>
                  <w:tcBorders>
                    <w:top w:val="single" w:color="auto" w:sz="4" w:space="0"/>
                    <w:left w:val="single" w:color="auto" w:sz="4" w:space="0"/>
                    <w:bottom w:val="single" w:color="auto" w:sz="12" w:space="0"/>
                    <w:right w:val="single" w:color="auto" w:sz="4" w:space="0"/>
                  </w:tcBorders>
                  <w:vAlign w:val="center"/>
                </w:tcPr>
                <w:p w14:paraId="37BA7DC0">
                  <w:pPr>
                    <w:pStyle w:val="222"/>
                    <w:spacing w:line="320" w:lineRule="exact"/>
                    <w:jc w:val="center"/>
                    <w:rPr>
                      <w:rFonts w:hint="default" w:ascii="Times New Roman" w:hAnsi="Times New Roman" w:eastAsia="仿宋_GB2312" w:cs="Times New Roman"/>
                      <w:color w:val="auto"/>
                      <w:sz w:val="11"/>
                    </w:rPr>
                  </w:pPr>
                  <w:r>
                    <w:rPr>
                      <w:rFonts w:hint="default" w:ascii="Times New Roman" w:hAnsi="Times New Roman" w:eastAsia="仿宋_GB2312" w:cs="Times New Roman"/>
                      <w:color w:val="auto"/>
                      <w:sz w:val="21"/>
                    </w:rPr>
                    <w:t>颗粒物</w:t>
                  </w:r>
                </w:p>
              </w:tc>
              <w:tc>
                <w:tcPr>
                  <w:tcW w:w="466" w:type="pct"/>
                  <w:vMerge w:val="continue"/>
                  <w:tcBorders>
                    <w:top w:val="single" w:color="auto" w:sz="4" w:space="0"/>
                    <w:left w:val="single" w:color="auto" w:sz="4" w:space="0"/>
                    <w:bottom w:val="single" w:color="auto" w:sz="12" w:space="0"/>
                    <w:right w:val="single" w:color="auto" w:sz="4" w:space="0"/>
                  </w:tcBorders>
                  <w:vAlign w:val="center"/>
                </w:tcPr>
                <w:p w14:paraId="1313B69E">
                  <w:pPr>
                    <w:widowControl w:val="0"/>
                    <w:spacing w:line="320" w:lineRule="exact"/>
                    <w:jc w:val="center"/>
                    <w:rPr>
                      <w:rFonts w:hint="default" w:ascii="Times New Roman" w:hAnsi="Times New Roman" w:eastAsia="仿宋_GB2312" w:cs="Times New Roman"/>
                      <w:color w:val="auto"/>
                      <w:sz w:val="2"/>
                      <w:szCs w:val="2"/>
                      <w:lang w:eastAsia="en-US"/>
                    </w:rPr>
                  </w:pPr>
                </w:p>
              </w:tc>
              <w:tc>
                <w:tcPr>
                  <w:tcW w:w="465" w:type="pct"/>
                  <w:tcBorders>
                    <w:top w:val="single" w:color="auto" w:sz="4" w:space="0"/>
                    <w:left w:val="single" w:color="auto" w:sz="4" w:space="0"/>
                    <w:bottom w:val="single" w:color="auto" w:sz="12" w:space="0"/>
                    <w:right w:val="single" w:color="auto" w:sz="4" w:space="0"/>
                  </w:tcBorders>
                  <w:vAlign w:val="center"/>
                </w:tcPr>
                <w:p w14:paraId="4228D0F8">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6.5</w:t>
                  </w:r>
                </w:p>
              </w:tc>
              <w:tc>
                <w:tcPr>
                  <w:tcW w:w="466" w:type="pct"/>
                  <w:tcBorders>
                    <w:top w:val="single" w:color="auto" w:sz="4" w:space="0"/>
                    <w:left w:val="single" w:color="auto" w:sz="4" w:space="0"/>
                    <w:bottom w:val="single" w:color="auto" w:sz="12" w:space="0"/>
                    <w:right w:val="single" w:color="auto" w:sz="4" w:space="0"/>
                  </w:tcBorders>
                  <w:vAlign w:val="center"/>
                </w:tcPr>
                <w:p w14:paraId="2EE61A8E">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0.0065</w:t>
                  </w:r>
                </w:p>
              </w:tc>
              <w:tc>
                <w:tcPr>
                  <w:tcW w:w="419" w:type="pct"/>
                  <w:tcBorders>
                    <w:top w:val="single" w:color="auto" w:sz="4" w:space="0"/>
                    <w:left w:val="single" w:color="auto" w:sz="4" w:space="0"/>
                    <w:bottom w:val="single" w:color="auto" w:sz="12" w:space="0"/>
                    <w:right w:val="single" w:color="auto" w:sz="4" w:space="0"/>
                  </w:tcBorders>
                  <w:vAlign w:val="center"/>
                </w:tcPr>
                <w:p w14:paraId="417A5DA8">
                  <w:pPr>
                    <w:widowControl w:val="0"/>
                    <w:spacing w:line="320" w:lineRule="exact"/>
                    <w:jc w:val="center"/>
                    <w:rPr>
                      <w:rFonts w:hint="default" w:ascii="Times New Roman" w:hAnsi="Times New Roman" w:eastAsia="仿宋_GB2312" w:cs="Times New Roman"/>
                      <w:color w:val="auto"/>
                      <w:kern w:val="0"/>
                      <w:sz w:val="21"/>
                      <w:lang w:eastAsia="en-US"/>
                    </w:rPr>
                  </w:pPr>
                  <w:r>
                    <w:rPr>
                      <w:rFonts w:hint="default" w:ascii="Times New Roman" w:hAnsi="Times New Roman" w:eastAsia="仿宋_GB2312" w:cs="Times New Roman"/>
                      <w:color w:val="auto"/>
                      <w:kern w:val="0"/>
                      <w:sz w:val="21"/>
                      <w:lang w:eastAsia="en-US"/>
                    </w:rPr>
                    <w:t>0.004</w:t>
                  </w:r>
                </w:p>
              </w:tc>
              <w:tc>
                <w:tcPr>
                  <w:tcW w:w="453" w:type="pct"/>
                  <w:vMerge w:val="continue"/>
                  <w:tcBorders>
                    <w:top w:val="single" w:color="auto" w:sz="4" w:space="0"/>
                    <w:left w:val="single" w:color="auto" w:sz="4" w:space="0"/>
                    <w:bottom w:val="single" w:color="auto" w:sz="12" w:space="0"/>
                    <w:right w:val="single" w:color="auto" w:sz="4" w:space="0"/>
                  </w:tcBorders>
                  <w:vAlign w:val="center"/>
                </w:tcPr>
                <w:p w14:paraId="6E363BA2">
                  <w:pPr>
                    <w:widowControl w:val="0"/>
                    <w:spacing w:line="320" w:lineRule="exact"/>
                    <w:jc w:val="center"/>
                    <w:rPr>
                      <w:rFonts w:hint="default" w:ascii="Times New Roman" w:hAnsi="Times New Roman" w:eastAsia="仿宋_GB2312" w:cs="Times New Roman"/>
                      <w:color w:val="auto"/>
                      <w:sz w:val="2"/>
                      <w:szCs w:val="2"/>
                      <w:lang w:eastAsia="en-US"/>
                    </w:rPr>
                  </w:pPr>
                </w:p>
              </w:tc>
              <w:tc>
                <w:tcPr>
                  <w:tcW w:w="406" w:type="pct"/>
                  <w:tcBorders>
                    <w:top w:val="single" w:color="auto" w:sz="4" w:space="0"/>
                    <w:left w:val="single" w:color="auto" w:sz="4" w:space="0"/>
                    <w:bottom w:val="single" w:color="auto" w:sz="12" w:space="0"/>
                    <w:right w:val="single" w:color="auto" w:sz="4" w:space="0"/>
                  </w:tcBorders>
                  <w:vAlign w:val="center"/>
                </w:tcPr>
                <w:p w14:paraId="1829401F">
                  <w:pPr>
                    <w:pStyle w:val="222"/>
                    <w:spacing w:line="320" w:lineRule="exact"/>
                    <w:jc w:val="center"/>
                    <w:rPr>
                      <w:rFonts w:hint="default" w:ascii="Times New Roman" w:hAnsi="Times New Roman" w:eastAsia="仿宋_GB2312" w:cs="Times New Roman"/>
                      <w:color w:val="auto"/>
                      <w:sz w:val="20"/>
                    </w:rPr>
                  </w:pPr>
                  <w:r>
                    <w:rPr>
                      <w:rFonts w:hint="default" w:ascii="Times New Roman" w:hAnsi="Times New Roman" w:eastAsia="仿宋_GB2312" w:cs="Times New Roman"/>
                      <w:color w:val="auto"/>
                      <w:sz w:val="20"/>
                    </w:rPr>
                    <w:t>3.5%</w:t>
                  </w:r>
                </w:p>
              </w:tc>
              <w:tc>
                <w:tcPr>
                  <w:tcW w:w="626" w:type="pct"/>
                  <w:tcBorders>
                    <w:top w:val="single" w:color="auto" w:sz="4" w:space="0"/>
                    <w:left w:val="single" w:color="auto" w:sz="4" w:space="0"/>
                    <w:bottom w:val="single" w:color="auto" w:sz="12" w:space="0"/>
                    <w:right w:val="single" w:color="auto" w:sz="4" w:space="0"/>
                  </w:tcBorders>
                  <w:vAlign w:val="center"/>
                </w:tcPr>
                <w:p w14:paraId="4A040A6E">
                  <w:pPr>
                    <w:pStyle w:val="222"/>
                    <w:spacing w:line="320" w:lineRule="exact"/>
                    <w:jc w:val="center"/>
                    <w:rPr>
                      <w:rFonts w:hint="default" w:ascii="Times New Roman" w:hAnsi="Times New Roman" w:eastAsia="仿宋_GB2312" w:cs="Times New Roman"/>
                      <w:color w:val="auto"/>
                      <w:sz w:val="20"/>
                      <w:lang w:eastAsia="zh-CN"/>
                    </w:rPr>
                  </w:pPr>
                  <w:r>
                    <w:rPr>
                      <w:rFonts w:hint="default" w:ascii="Times New Roman" w:hAnsi="Times New Roman" w:eastAsia="仿宋_GB2312" w:cs="Times New Roman"/>
                      <w:color w:val="auto"/>
                      <w:sz w:val="20"/>
                      <w:lang w:eastAsia="zh-CN"/>
                    </w:rPr>
                    <w:t>8.01</w:t>
                  </w:r>
                </w:p>
              </w:tc>
              <w:tc>
                <w:tcPr>
                  <w:tcW w:w="359" w:type="pct"/>
                  <w:tcBorders>
                    <w:top w:val="single" w:color="auto" w:sz="4" w:space="0"/>
                    <w:left w:val="single" w:color="auto" w:sz="4" w:space="0"/>
                    <w:bottom w:val="single" w:color="auto" w:sz="12" w:space="0"/>
                    <w:right w:val="single" w:color="auto" w:sz="4" w:space="0"/>
                  </w:tcBorders>
                  <w:vAlign w:val="center"/>
                </w:tcPr>
                <w:p w14:paraId="5000424A">
                  <w:pPr>
                    <w:pStyle w:val="222"/>
                    <w:spacing w:line="320" w:lineRule="exact"/>
                    <w:jc w:val="center"/>
                    <w:rPr>
                      <w:rFonts w:hint="default" w:ascii="Times New Roman" w:hAnsi="Times New Roman" w:eastAsia="仿宋_GB2312" w:cs="Times New Roman"/>
                      <w:color w:val="auto"/>
                      <w:sz w:val="20"/>
                      <w:lang w:eastAsia="zh-CN"/>
                    </w:rPr>
                  </w:pPr>
                  <w:r>
                    <w:rPr>
                      <w:rFonts w:hint="default" w:ascii="Times New Roman" w:hAnsi="Times New Roman" w:eastAsia="仿宋_GB2312" w:cs="Times New Roman"/>
                      <w:color w:val="auto"/>
                      <w:sz w:val="20"/>
                      <w:lang w:eastAsia="zh-CN"/>
                    </w:rPr>
                    <w:t>10</w:t>
                  </w:r>
                </w:p>
              </w:tc>
              <w:tc>
                <w:tcPr>
                  <w:tcW w:w="316" w:type="pct"/>
                  <w:tcBorders>
                    <w:top w:val="single" w:color="auto" w:sz="4" w:space="0"/>
                    <w:left w:val="single" w:color="auto" w:sz="4" w:space="0"/>
                    <w:bottom w:val="single" w:color="auto" w:sz="12" w:space="0"/>
                    <w:right w:val="single" w:color="auto" w:sz="12" w:space="0"/>
                  </w:tcBorders>
                  <w:vAlign w:val="center"/>
                </w:tcPr>
                <w:p w14:paraId="3E7DBBEF">
                  <w:pPr>
                    <w:pStyle w:val="222"/>
                    <w:spacing w:line="320" w:lineRule="exact"/>
                    <w:jc w:val="center"/>
                    <w:rPr>
                      <w:rFonts w:hint="default" w:ascii="Times New Roman" w:hAnsi="Times New Roman" w:eastAsia="仿宋_GB2312" w:cs="Times New Roman"/>
                      <w:color w:val="auto"/>
                      <w:sz w:val="20"/>
                    </w:rPr>
                  </w:pPr>
                  <w:r>
                    <w:rPr>
                      <w:rFonts w:hint="default" w:ascii="Times New Roman" w:hAnsi="Times New Roman" w:eastAsia="仿宋_GB2312" w:cs="Times New Roman"/>
                      <w:color w:val="auto"/>
                      <w:w w:val="99"/>
                      <w:sz w:val="20"/>
                    </w:rPr>
                    <w:t>/</w:t>
                  </w:r>
                </w:p>
              </w:tc>
            </w:tr>
          </w:tbl>
          <w:p w14:paraId="76471994">
            <w:pPr>
              <w:pStyle w:val="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2" w:firstLineChars="200"/>
              <w:jc w:val="both"/>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（2）无组织废气</w:t>
            </w:r>
          </w:p>
          <w:p w14:paraId="6465897C">
            <w:pPr>
              <w:pStyle w:val="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无组织废气产生及排放情况具体如下。</w:t>
            </w:r>
          </w:p>
          <w:p w14:paraId="412124F8">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eastAsia"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4-5</w:t>
            </w:r>
            <w:r>
              <w:rPr>
                <w:rFonts w:hint="eastAsia" w:ascii="Times New Roman" w:hAnsi="Times New Roman" w:eastAsia="仿宋_GB2312" w:cs="Times New Roman"/>
                <w:b/>
                <w:color w:val="auto"/>
                <w:sz w:val="22"/>
                <w:szCs w:val="22"/>
              </w:rPr>
              <w:t xml:space="preserve"> </w:t>
            </w:r>
            <w:r>
              <w:rPr>
                <w:rFonts w:hint="default" w:ascii="Times New Roman" w:hAnsi="Times New Roman" w:eastAsia="仿宋_GB2312" w:cs="Times New Roman"/>
                <w:b/>
                <w:color w:val="auto"/>
                <w:sz w:val="22"/>
                <w:szCs w:val="22"/>
              </w:rPr>
              <w:t xml:space="preserve"> </w:t>
            </w:r>
            <w:r>
              <w:rPr>
                <w:rFonts w:hint="eastAsia" w:ascii="Times New Roman" w:hAnsi="Times New Roman" w:eastAsia="仿宋_GB2312" w:cs="Times New Roman"/>
                <w:b/>
                <w:color w:val="auto"/>
                <w:sz w:val="22"/>
                <w:szCs w:val="22"/>
              </w:rPr>
              <w:t>本项目建成后无组织废气排放情况</w:t>
            </w:r>
          </w:p>
          <w:tbl>
            <w:tblPr>
              <w:tblStyle w:val="8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956"/>
              <w:gridCol w:w="1316"/>
              <w:gridCol w:w="1075"/>
              <w:gridCol w:w="1379"/>
              <w:gridCol w:w="1149"/>
              <w:gridCol w:w="1144"/>
              <w:gridCol w:w="996"/>
              <w:gridCol w:w="1223"/>
              <w:gridCol w:w="1425"/>
              <w:gridCol w:w="1304"/>
            </w:tblGrid>
            <w:tr w14:paraId="7B398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66" w:type="pct"/>
                  <w:vAlign w:val="center"/>
                </w:tcPr>
                <w:p w14:paraId="339DC9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废气来源</w:t>
                  </w:r>
                </w:p>
              </w:tc>
              <w:tc>
                <w:tcPr>
                  <w:tcW w:w="362" w:type="pct"/>
                  <w:vAlign w:val="center"/>
                </w:tcPr>
                <w:p w14:paraId="7C75045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编号</w:t>
                  </w:r>
                </w:p>
              </w:tc>
              <w:tc>
                <w:tcPr>
                  <w:tcW w:w="498" w:type="pct"/>
                  <w:vAlign w:val="center"/>
                </w:tcPr>
                <w:p w14:paraId="370C0A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污染物名称</w:t>
                  </w:r>
                </w:p>
              </w:tc>
              <w:tc>
                <w:tcPr>
                  <w:tcW w:w="407" w:type="pct"/>
                  <w:vAlign w:val="center"/>
                </w:tcPr>
                <w:p w14:paraId="39344A8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产生速率</w:t>
                  </w:r>
                </w:p>
                <w:p w14:paraId="75D22BF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（kg/h）</w:t>
                  </w:r>
                </w:p>
              </w:tc>
              <w:tc>
                <w:tcPr>
                  <w:tcW w:w="522" w:type="pct"/>
                  <w:vAlign w:val="center"/>
                </w:tcPr>
                <w:p w14:paraId="0CF7059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产生量（t/a）</w:t>
                  </w:r>
                </w:p>
              </w:tc>
              <w:tc>
                <w:tcPr>
                  <w:tcW w:w="435" w:type="pct"/>
                  <w:vMerge w:val="restart"/>
                  <w:vAlign w:val="center"/>
                </w:tcPr>
                <w:p w14:paraId="026B54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拟采取的处理措施</w:t>
                  </w:r>
                </w:p>
              </w:tc>
              <w:tc>
                <w:tcPr>
                  <w:tcW w:w="433" w:type="pct"/>
                  <w:vAlign w:val="center"/>
                </w:tcPr>
                <w:p w14:paraId="073BA6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年工作时间（h/a）</w:t>
                  </w:r>
                </w:p>
              </w:tc>
              <w:tc>
                <w:tcPr>
                  <w:tcW w:w="377" w:type="pct"/>
                  <w:vAlign w:val="center"/>
                </w:tcPr>
                <w:p w14:paraId="3D4C9DF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排放量（t/a）</w:t>
                  </w:r>
                </w:p>
              </w:tc>
              <w:tc>
                <w:tcPr>
                  <w:tcW w:w="463" w:type="pct"/>
                  <w:vAlign w:val="center"/>
                </w:tcPr>
                <w:p w14:paraId="4A3B7D5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排放速率（kg/h）</w:t>
                  </w:r>
                </w:p>
              </w:tc>
              <w:tc>
                <w:tcPr>
                  <w:tcW w:w="539" w:type="pct"/>
                  <w:vAlign w:val="center"/>
                </w:tcPr>
                <w:p w14:paraId="3E6124A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面源面积</w:t>
                  </w:r>
                </w:p>
                <w:p w14:paraId="3A57D9D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（m</w:t>
                  </w:r>
                  <w:r>
                    <w:rPr>
                      <w:rFonts w:hint="default" w:ascii="Times New Roman" w:hAnsi="Times New Roman" w:eastAsia="仿宋_GB2312" w:cs="Times New Roman"/>
                      <w:b/>
                      <w:bCs/>
                      <w:color w:val="auto"/>
                      <w:kern w:val="0"/>
                      <w:sz w:val="21"/>
                      <w:vertAlign w:val="superscript"/>
                    </w:rPr>
                    <w:t>2</w:t>
                  </w:r>
                  <w:r>
                    <w:rPr>
                      <w:rFonts w:hint="default" w:ascii="Times New Roman" w:hAnsi="Times New Roman" w:eastAsia="仿宋_GB2312" w:cs="Times New Roman"/>
                      <w:b/>
                      <w:bCs/>
                      <w:color w:val="auto"/>
                      <w:kern w:val="0"/>
                      <w:sz w:val="21"/>
                    </w:rPr>
                    <w:t>）</w:t>
                  </w:r>
                </w:p>
              </w:tc>
              <w:tc>
                <w:tcPr>
                  <w:tcW w:w="493" w:type="pct"/>
                  <w:vAlign w:val="center"/>
                </w:tcPr>
                <w:p w14:paraId="437F8F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面源高度</w:t>
                  </w:r>
                </w:p>
                <w:p w14:paraId="68C886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（m）</w:t>
                  </w:r>
                </w:p>
              </w:tc>
            </w:tr>
            <w:tr w14:paraId="323DE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66" w:type="pct"/>
                  <w:vMerge w:val="restart"/>
                  <w:vAlign w:val="center"/>
                </w:tcPr>
                <w:p w14:paraId="4EC0EA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r>
                    <w:rPr>
                      <w:rFonts w:hint="default" w:ascii="Times New Roman" w:hAnsi="Times New Roman" w:eastAsia="仿宋_GB2312" w:cs="Times New Roman"/>
                      <w:color w:val="auto"/>
                      <w:sz w:val="21"/>
                    </w:rPr>
                    <w:t>内包间</w:t>
                  </w:r>
                </w:p>
              </w:tc>
              <w:tc>
                <w:tcPr>
                  <w:tcW w:w="362" w:type="pct"/>
                  <w:vAlign w:val="center"/>
                </w:tcPr>
                <w:p w14:paraId="1D8784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G’1-5</w:t>
                  </w:r>
                </w:p>
              </w:tc>
              <w:tc>
                <w:tcPr>
                  <w:tcW w:w="498" w:type="pct"/>
                  <w:noWrap/>
                  <w:vAlign w:val="center"/>
                </w:tcPr>
                <w:p w14:paraId="4E2F0BC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407" w:type="pct"/>
                  <w:vAlign w:val="bottom"/>
                </w:tcPr>
                <w:p w14:paraId="1C37A90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0.004</w:t>
                  </w:r>
                </w:p>
              </w:tc>
              <w:tc>
                <w:tcPr>
                  <w:tcW w:w="522" w:type="pct"/>
                  <w:vAlign w:val="center"/>
                </w:tcPr>
                <w:p w14:paraId="574FFA4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0.0006</w:t>
                  </w:r>
                </w:p>
              </w:tc>
              <w:tc>
                <w:tcPr>
                  <w:tcW w:w="435" w:type="pct"/>
                  <w:vMerge w:val="restart"/>
                  <w:vAlign w:val="center"/>
                </w:tcPr>
                <w:p w14:paraId="34889E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w:t>
                  </w:r>
                </w:p>
              </w:tc>
              <w:tc>
                <w:tcPr>
                  <w:tcW w:w="433" w:type="pct"/>
                  <w:noWrap/>
                  <w:vAlign w:val="center"/>
                </w:tcPr>
                <w:p w14:paraId="1599351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160</w:t>
                  </w:r>
                </w:p>
              </w:tc>
              <w:tc>
                <w:tcPr>
                  <w:tcW w:w="377" w:type="pct"/>
                  <w:noWrap/>
                  <w:vAlign w:val="center"/>
                </w:tcPr>
                <w:p w14:paraId="5AB248A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0.0006</w:t>
                  </w:r>
                </w:p>
              </w:tc>
              <w:tc>
                <w:tcPr>
                  <w:tcW w:w="463" w:type="pct"/>
                  <w:noWrap/>
                  <w:vAlign w:val="bottom"/>
                </w:tcPr>
                <w:p w14:paraId="007929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0.004</w:t>
                  </w:r>
                </w:p>
              </w:tc>
              <w:tc>
                <w:tcPr>
                  <w:tcW w:w="539" w:type="pct"/>
                  <w:vAlign w:val="center"/>
                </w:tcPr>
                <w:p w14:paraId="0A93E5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26</w:t>
                  </w:r>
                </w:p>
              </w:tc>
              <w:tc>
                <w:tcPr>
                  <w:tcW w:w="493" w:type="pct"/>
                  <w:vAlign w:val="center"/>
                </w:tcPr>
                <w:p w14:paraId="0E0B4B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r>
            <w:tr w14:paraId="3CC83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6" w:type="pct"/>
                  <w:vMerge w:val="continue"/>
                  <w:vAlign w:val="center"/>
                </w:tcPr>
                <w:p w14:paraId="4D8D45C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c>
                <w:tcPr>
                  <w:tcW w:w="362" w:type="pct"/>
                  <w:vAlign w:val="center"/>
                </w:tcPr>
                <w:p w14:paraId="36B85F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G’2-5</w:t>
                  </w:r>
                </w:p>
              </w:tc>
              <w:tc>
                <w:tcPr>
                  <w:tcW w:w="498" w:type="pct"/>
                  <w:noWrap/>
                  <w:vAlign w:val="center"/>
                </w:tcPr>
                <w:p w14:paraId="06BD12C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407" w:type="pct"/>
                  <w:vAlign w:val="bottom"/>
                </w:tcPr>
                <w:p w14:paraId="26EC728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w:t>
                  </w:r>
                </w:p>
              </w:tc>
              <w:tc>
                <w:tcPr>
                  <w:tcW w:w="522" w:type="pct"/>
                  <w:vAlign w:val="center"/>
                </w:tcPr>
                <w:p w14:paraId="265F924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0.0005</w:t>
                  </w:r>
                </w:p>
              </w:tc>
              <w:tc>
                <w:tcPr>
                  <w:tcW w:w="435" w:type="pct"/>
                  <w:vMerge w:val="continue"/>
                  <w:vAlign w:val="center"/>
                </w:tcPr>
                <w:p w14:paraId="2CA8BDC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noWrap/>
                  <w:vAlign w:val="center"/>
                </w:tcPr>
                <w:p w14:paraId="38E8469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160</w:t>
                  </w:r>
                </w:p>
              </w:tc>
              <w:tc>
                <w:tcPr>
                  <w:tcW w:w="377" w:type="pct"/>
                  <w:noWrap/>
                  <w:vAlign w:val="center"/>
                </w:tcPr>
                <w:p w14:paraId="2B6256F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0.0005</w:t>
                  </w:r>
                </w:p>
              </w:tc>
              <w:tc>
                <w:tcPr>
                  <w:tcW w:w="463" w:type="pct"/>
                  <w:noWrap/>
                  <w:vAlign w:val="bottom"/>
                </w:tcPr>
                <w:p w14:paraId="5F752CC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w:t>
                  </w:r>
                </w:p>
              </w:tc>
              <w:tc>
                <w:tcPr>
                  <w:tcW w:w="539" w:type="pct"/>
                  <w:vAlign w:val="center"/>
                </w:tcPr>
                <w:p w14:paraId="45C7047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26</w:t>
                  </w:r>
                </w:p>
              </w:tc>
              <w:tc>
                <w:tcPr>
                  <w:tcW w:w="493" w:type="pct"/>
                  <w:vAlign w:val="center"/>
                </w:tcPr>
                <w:p w14:paraId="238997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r>
            <w:tr w14:paraId="3E1BF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6" w:type="pct"/>
                  <w:vMerge w:val="restart"/>
                  <w:vAlign w:val="center"/>
                </w:tcPr>
                <w:p w14:paraId="21CB73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r>
                    <w:rPr>
                      <w:rFonts w:hint="default" w:ascii="Times New Roman" w:hAnsi="Times New Roman" w:eastAsia="仿宋_GB2312" w:cs="Times New Roman"/>
                      <w:color w:val="auto"/>
                      <w:kern w:val="0"/>
                      <w:sz w:val="21"/>
                    </w:rPr>
                    <w:t>混合间</w:t>
                  </w:r>
                </w:p>
              </w:tc>
              <w:tc>
                <w:tcPr>
                  <w:tcW w:w="362" w:type="pct"/>
                  <w:vAlign w:val="center"/>
                </w:tcPr>
                <w:p w14:paraId="7913EBA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G’3-1-1</w:t>
                  </w:r>
                </w:p>
              </w:tc>
              <w:tc>
                <w:tcPr>
                  <w:tcW w:w="498" w:type="pct"/>
                  <w:noWrap/>
                  <w:vAlign w:val="center"/>
                </w:tcPr>
                <w:p w14:paraId="35F0DD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407" w:type="pct"/>
                  <w:vAlign w:val="center"/>
                </w:tcPr>
                <w:p w14:paraId="4011B9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0.075</w:t>
                  </w:r>
                </w:p>
              </w:tc>
              <w:tc>
                <w:tcPr>
                  <w:tcW w:w="522" w:type="pct"/>
                  <w:vAlign w:val="center"/>
                </w:tcPr>
                <w:p w14:paraId="77C13A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w:t>
                  </w:r>
                </w:p>
              </w:tc>
              <w:tc>
                <w:tcPr>
                  <w:tcW w:w="435" w:type="pct"/>
                  <w:vMerge w:val="continue"/>
                  <w:vAlign w:val="center"/>
                </w:tcPr>
                <w:p w14:paraId="63CBD76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noWrap/>
                  <w:vAlign w:val="center"/>
                </w:tcPr>
                <w:p w14:paraId="72F6AC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40</w:t>
                  </w:r>
                </w:p>
              </w:tc>
              <w:tc>
                <w:tcPr>
                  <w:tcW w:w="377" w:type="pct"/>
                  <w:noWrap/>
                  <w:vAlign w:val="center"/>
                </w:tcPr>
                <w:p w14:paraId="2B34EFD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w:t>
                  </w:r>
                </w:p>
              </w:tc>
              <w:tc>
                <w:tcPr>
                  <w:tcW w:w="463" w:type="pct"/>
                  <w:noWrap/>
                  <w:vAlign w:val="center"/>
                </w:tcPr>
                <w:p w14:paraId="58F6698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0.075</w:t>
                  </w:r>
                </w:p>
              </w:tc>
              <w:tc>
                <w:tcPr>
                  <w:tcW w:w="539" w:type="pct"/>
                  <w:vAlign w:val="center"/>
                </w:tcPr>
                <w:p w14:paraId="0D836E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33</w:t>
                  </w:r>
                </w:p>
              </w:tc>
              <w:tc>
                <w:tcPr>
                  <w:tcW w:w="493" w:type="pct"/>
                  <w:vAlign w:val="center"/>
                </w:tcPr>
                <w:p w14:paraId="4187C75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r>
            <w:tr w14:paraId="380DC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6" w:type="pct"/>
                  <w:vMerge w:val="continue"/>
                  <w:vAlign w:val="center"/>
                </w:tcPr>
                <w:p w14:paraId="3BFFC7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c>
                <w:tcPr>
                  <w:tcW w:w="362" w:type="pct"/>
                  <w:vAlign w:val="center"/>
                </w:tcPr>
                <w:p w14:paraId="7132577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G’3-2-1</w:t>
                  </w:r>
                </w:p>
              </w:tc>
              <w:tc>
                <w:tcPr>
                  <w:tcW w:w="498" w:type="pct"/>
                  <w:noWrap/>
                  <w:vAlign w:val="center"/>
                </w:tcPr>
                <w:p w14:paraId="2491CD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407" w:type="pct"/>
                  <w:vAlign w:val="center"/>
                </w:tcPr>
                <w:p w14:paraId="1B00F51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0.07</w:t>
                  </w:r>
                </w:p>
              </w:tc>
              <w:tc>
                <w:tcPr>
                  <w:tcW w:w="522" w:type="pct"/>
                  <w:vAlign w:val="center"/>
                </w:tcPr>
                <w:p w14:paraId="21A35A8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0.0007</w:t>
                  </w:r>
                </w:p>
              </w:tc>
              <w:tc>
                <w:tcPr>
                  <w:tcW w:w="435" w:type="pct"/>
                  <w:vMerge w:val="continue"/>
                  <w:vAlign w:val="center"/>
                </w:tcPr>
                <w:p w14:paraId="6EE081D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noWrap/>
                  <w:vAlign w:val="center"/>
                </w:tcPr>
                <w:p w14:paraId="58CF1D9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w:t>
                  </w:r>
                </w:p>
              </w:tc>
              <w:tc>
                <w:tcPr>
                  <w:tcW w:w="377" w:type="pct"/>
                  <w:noWrap/>
                  <w:vAlign w:val="center"/>
                </w:tcPr>
                <w:p w14:paraId="46BF78D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0.0007</w:t>
                  </w:r>
                </w:p>
              </w:tc>
              <w:tc>
                <w:tcPr>
                  <w:tcW w:w="463" w:type="pct"/>
                  <w:noWrap/>
                  <w:vAlign w:val="center"/>
                </w:tcPr>
                <w:p w14:paraId="1CCC257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0.07</w:t>
                  </w:r>
                </w:p>
              </w:tc>
              <w:tc>
                <w:tcPr>
                  <w:tcW w:w="539" w:type="pct"/>
                  <w:vAlign w:val="center"/>
                </w:tcPr>
                <w:p w14:paraId="727685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33</w:t>
                  </w:r>
                </w:p>
              </w:tc>
              <w:tc>
                <w:tcPr>
                  <w:tcW w:w="493" w:type="pct"/>
                  <w:vAlign w:val="center"/>
                </w:tcPr>
                <w:p w14:paraId="4A6DBE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r>
            <w:tr w14:paraId="2C3BC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6" w:type="pct"/>
                  <w:vAlign w:val="center"/>
                </w:tcPr>
                <w:p w14:paraId="02B7D3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称量间</w:t>
                  </w:r>
                </w:p>
              </w:tc>
              <w:tc>
                <w:tcPr>
                  <w:tcW w:w="362" w:type="pct"/>
                  <w:vAlign w:val="center"/>
                </w:tcPr>
                <w:p w14:paraId="1CD0A2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498" w:type="pct"/>
                  <w:noWrap/>
                  <w:vAlign w:val="center"/>
                </w:tcPr>
                <w:p w14:paraId="2631091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407" w:type="pct"/>
                  <w:vAlign w:val="center"/>
                </w:tcPr>
                <w:p w14:paraId="4F2477A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09</w:t>
                  </w:r>
                </w:p>
              </w:tc>
              <w:tc>
                <w:tcPr>
                  <w:tcW w:w="522" w:type="pct"/>
                  <w:vAlign w:val="center"/>
                </w:tcPr>
                <w:p w14:paraId="0F4092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0.00</w:t>
                  </w:r>
                  <w:r>
                    <w:rPr>
                      <w:rFonts w:hint="eastAsia" w:eastAsia="仿宋_GB2312" w:cs="Times New Roman"/>
                      <w:color w:val="auto"/>
                      <w:kern w:val="0"/>
                      <w:sz w:val="21"/>
                      <w:lang w:val="en-US" w:eastAsia="zh-CN"/>
                    </w:rPr>
                    <w:t>07</w:t>
                  </w:r>
                </w:p>
              </w:tc>
              <w:tc>
                <w:tcPr>
                  <w:tcW w:w="435" w:type="pct"/>
                  <w:vMerge w:val="continue"/>
                  <w:vAlign w:val="center"/>
                </w:tcPr>
                <w:p w14:paraId="1F5068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noWrap/>
                  <w:vAlign w:val="center"/>
                </w:tcPr>
                <w:p w14:paraId="375A453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80</w:t>
                  </w:r>
                </w:p>
              </w:tc>
              <w:tc>
                <w:tcPr>
                  <w:tcW w:w="377" w:type="pct"/>
                  <w:noWrap/>
                  <w:vAlign w:val="center"/>
                </w:tcPr>
                <w:p w14:paraId="4B67863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rPr>
                  </w:pPr>
                  <w:r>
                    <w:rPr>
                      <w:rFonts w:hint="default" w:ascii="Times New Roman" w:hAnsi="Times New Roman" w:eastAsia="仿宋_GB2312" w:cs="Times New Roman"/>
                      <w:color w:val="auto"/>
                      <w:kern w:val="0"/>
                      <w:sz w:val="21"/>
                    </w:rPr>
                    <w:t>0.00</w:t>
                  </w:r>
                  <w:r>
                    <w:rPr>
                      <w:rFonts w:hint="eastAsia" w:eastAsia="仿宋_GB2312" w:cs="Times New Roman"/>
                      <w:color w:val="auto"/>
                      <w:kern w:val="0"/>
                      <w:sz w:val="21"/>
                      <w:lang w:val="en-US" w:eastAsia="zh-CN"/>
                    </w:rPr>
                    <w:t>07</w:t>
                  </w:r>
                </w:p>
              </w:tc>
              <w:tc>
                <w:tcPr>
                  <w:tcW w:w="463" w:type="pct"/>
                  <w:noWrap/>
                  <w:vAlign w:val="center"/>
                </w:tcPr>
                <w:p w14:paraId="6F5120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09</w:t>
                  </w:r>
                </w:p>
              </w:tc>
              <w:tc>
                <w:tcPr>
                  <w:tcW w:w="539" w:type="pct"/>
                  <w:vAlign w:val="center"/>
                </w:tcPr>
                <w:p w14:paraId="23BCFD8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r>
                    <w:rPr>
                      <w:rFonts w:hint="default" w:ascii="Times New Roman" w:hAnsi="Times New Roman" w:eastAsia="仿宋_GB2312" w:cs="Times New Roman"/>
                      <w:color w:val="auto"/>
                      <w:kern w:val="0"/>
                      <w:sz w:val="21"/>
                    </w:rPr>
                    <w:t>15</w:t>
                  </w:r>
                </w:p>
              </w:tc>
              <w:tc>
                <w:tcPr>
                  <w:tcW w:w="493" w:type="pct"/>
                  <w:vAlign w:val="center"/>
                </w:tcPr>
                <w:p w14:paraId="6E22E6B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r>
            <w:tr w14:paraId="1B164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6" w:type="pct"/>
                  <w:vMerge w:val="restart"/>
                  <w:vAlign w:val="center"/>
                </w:tcPr>
                <w:p w14:paraId="29BEC28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质检区</w:t>
                  </w:r>
                </w:p>
              </w:tc>
              <w:tc>
                <w:tcPr>
                  <w:tcW w:w="362" w:type="pct"/>
                  <w:vAlign w:val="center"/>
                </w:tcPr>
                <w:p w14:paraId="10D0C99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w:t>
                  </w:r>
                </w:p>
              </w:tc>
              <w:tc>
                <w:tcPr>
                  <w:tcW w:w="498" w:type="pct"/>
                  <w:vAlign w:val="center"/>
                </w:tcPr>
                <w:p w14:paraId="77B9B9A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氯化氢</w:t>
                  </w:r>
                </w:p>
              </w:tc>
              <w:tc>
                <w:tcPr>
                  <w:tcW w:w="407" w:type="pct"/>
                  <w:vAlign w:val="center"/>
                </w:tcPr>
                <w:p w14:paraId="4EBFC3B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522" w:type="pct"/>
                  <w:vAlign w:val="center"/>
                </w:tcPr>
                <w:p w14:paraId="4951F25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435" w:type="pct"/>
                  <w:vMerge w:val="continue"/>
                  <w:vAlign w:val="center"/>
                </w:tcPr>
                <w:p w14:paraId="364B70B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vAlign w:val="center"/>
                </w:tcPr>
                <w:p w14:paraId="105496D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40</w:t>
                  </w:r>
                </w:p>
              </w:tc>
              <w:tc>
                <w:tcPr>
                  <w:tcW w:w="377" w:type="pct"/>
                  <w:vAlign w:val="center"/>
                </w:tcPr>
                <w:p w14:paraId="5B1B57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463" w:type="pct"/>
                  <w:vAlign w:val="center"/>
                </w:tcPr>
                <w:p w14:paraId="7DF816C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539" w:type="pct"/>
                  <w:vAlign w:val="center"/>
                </w:tcPr>
                <w:p w14:paraId="56FD598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highlight w:val="yellow"/>
                    </w:rPr>
                  </w:pPr>
                  <w:r>
                    <w:rPr>
                      <w:rFonts w:hint="default" w:ascii="Times New Roman" w:hAnsi="Times New Roman" w:eastAsia="仿宋_GB2312" w:cs="Times New Roman"/>
                      <w:color w:val="auto"/>
                      <w:kern w:val="0"/>
                      <w:sz w:val="22"/>
                      <w:szCs w:val="22"/>
                    </w:rPr>
                    <w:t>20</w:t>
                  </w:r>
                </w:p>
              </w:tc>
              <w:tc>
                <w:tcPr>
                  <w:tcW w:w="493" w:type="pct"/>
                  <w:vAlign w:val="center"/>
                </w:tcPr>
                <w:p w14:paraId="1723FBC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3</w:t>
                  </w:r>
                </w:p>
              </w:tc>
            </w:tr>
            <w:tr w14:paraId="0B0DE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66" w:type="pct"/>
                  <w:vMerge w:val="continue"/>
                  <w:noWrap/>
                  <w:vAlign w:val="center"/>
                </w:tcPr>
                <w:p w14:paraId="3B83559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362" w:type="pct"/>
                  <w:vAlign w:val="center"/>
                </w:tcPr>
                <w:p w14:paraId="3BFF42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498" w:type="pct"/>
                  <w:vAlign w:val="center"/>
                </w:tcPr>
                <w:p w14:paraId="01A69D8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407" w:type="pct"/>
                  <w:noWrap/>
                  <w:vAlign w:val="bottom"/>
                </w:tcPr>
                <w:p w14:paraId="52AFC80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522" w:type="pct"/>
                  <w:vAlign w:val="center"/>
                </w:tcPr>
                <w:p w14:paraId="0229529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435" w:type="pct"/>
                  <w:vMerge w:val="continue"/>
                  <w:vAlign w:val="center"/>
                </w:tcPr>
                <w:p w14:paraId="117BBB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vAlign w:val="center"/>
                </w:tcPr>
                <w:p w14:paraId="5BFD3B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5000</w:t>
                  </w:r>
                </w:p>
              </w:tc>
              <w:tc>
                <w:tcPr>
                  <w:tcW w:w="377" w:type="pct"/>
                  <w:vAlign w:val="center"/>
                </w:tcPr>
                <w:p w14:paraId="0975873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463" w:type="pct"/>
                  <w:vAlign w:val="bottom"/>
                </w:tcPr>
                <w:p w14:paraId="21BCD12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539" w:type="pct"/>
                  <w:noWrap/>
                  <w:vAlign w:val="center"/>
                </w:tcPr>
                <w:p w14:paraId="5AB5AE0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highlight w:val="yellow"/>
                    </w:rPr>
                  </w:pPr>
                  <w:r>
                    <w:rPr>
                      <w:rFonts w:hint="default" w:ascii="Times New Roman" w:hAnsi="Times New Roman" w:eastAsia="仿宋_GB2312" w:cs="Times New Roman"/>
                      <w:color w:val="auto"/>
                      <w:kern w:val="0"/>
                      <w:sz w:val="22"/>
                      <w:szCs w:val="22"/>
                    </w:rPr>
                    <w:t>310</w:t>
                  </w:r>
                </w:p>
              </w:tc>
              <w:tc>
                <w:tcPr>
                  <w:tcW w:w="493" w:type="pct"/>
                  <w:noWrap/>
                  <w:vAlign w:val="center"/>
                </w:tcPr>
                <w:p w14:paraId="517EC00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3</w:t>
                  </w:r>
                </w:p>
              </w:tc>
            </w:tr>
            <w:tr w14:paraId="09B52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66" w:type="pct"/>
                  <w:noWrap/>
                  <w:vAlign w:val="center"/>
                </w:tcPr>
                <w:p w14:paraId="5C91EA2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危废库</w:t>
                  </w:r>
                </w:p>
              </w:tc>
              <w:tc>
                <w:tcPr>
                  <w:tcW w:w="362" w:type="pct"/>
                  <w:vAlign w:val="center"/>
                </w:tcPr>
                <w:p w14:paraId="416FAD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498" w:type="pct"/>
                  <w:vAlign w:val="center"/>
                </w:tcPr>
                <w:p w14:paraId="6F56C4E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407" w:type="pct"/>
                  <w:noWrap/>
                  <w:vAlign w:val="bottom"/>
                </w:tcPr>
                <w:p w14:paraId="499AC55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522" w:type="pct"/>
                  <w:vAlign w:val="center"/>
                </w:tcPr>
                <w:p w14:paraId="4D950AE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435" w:type="pct"/>
                  <w:vMerge w:val="continue"/>
                  <w:vAlign w:val="center"/>
                </w:tcPr>
                <w:p w14:paraId="4CDA2F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vAlign w:val="bottom"/>
                </w:tcPr>
                <w:p w14:paraId="66F883A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7200</w:t>
                  </w:r>
                </w:p>
              </w:tc>
              <w:tc>
                <w:tcPr>
                  <w:tcW w:w="377" w:type="pct"/>
                  <w:vAlign w:val="bottom"/>
                </w:tcPr>
                <w:p w14:paraId="1671AF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463" w:type="pct"/>
                  <w:vAlign w:val="bottom"/>
                </w:tcPr>
                <w:p w14:paraId="026FEEE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539" w:type="pct"/>
                  <w:noWrap/>
                  <w:vAlign w:val="center"/>
                </w:tcPr>
                <w:p w14:paraId="37C2702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highlight w:val="yellow"/>
                    </w:rPr>
                  </w:pPr>
                  <w:r>
                    <w:rPr>
                      <w:rFonts w:hint="default" w:ascii="Times New Roman" w:hAnsi="Times New Roman" w:eastAsia="仿宋_GB2312" w:cs="Times New Roman"/>
                      <w:color w:val="auto"/>
                      <w:kern w:val="0"/>
                      <w:sz w:val="22"/>
                      <w:szCs w:val="22"/>
                    </w:rPr>
                    <w:t>20</w:t>
                  </w:r>
                </w:p>
              </w:tc>
              <w:tc>
                <w:tcPr>
                  <w:tcW w:w="493" w:type="pct"/>
                  <w:noWrap/>
                  <w:vAlign w:val="center"/>
                </w:tcPr>
                <w:p w14:paraId="3416F5A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3</w:t>
                  </w:r>
                </w:p>
              </w:tc>
            </w:tr>
            <w:tr w14:paraId="0272D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6" w:type="pct"/>
                  <w:vMerge w:val="restart"/>
                  <w:vAlign w:val="center"/>
                </w:tcPr>
                <w:p w14:paraId="4260933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污水站</w:t>
                  </w:r>
                </w:p>
              </w:tc>
              <w:tc>
                <w:tcPr>
                  <w:tcW w:w="362" w:type="pct"/>
                  <w:vMerge w:val="restart"/>
                  <w:vAlign w:val="center"/>
                </w:tcPr>
                <w:p w14:paraId="40642D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w:t>
                  </w:r>
                </w:p>
              </w:tc>
              <w:tc>
                <w:tcPr>
                  <w:tcW w:w="498" w:type="pct"/>
                  <w:vAlign w:val="center"/>
                </w:tcPr>
                <w:p w14:paraId="0818ED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407" w:type="pct"/>
                  <w:vAlign w:val="bottom"/>
                </w:tcPr>
                <w:p w14:paraId="12B0B9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522" w:type="pct"/>
                  <w:vAlign w:val="center"/>
                </w:tcPr>
                <w:p w14:paraId="23FF35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435" w:type="pct"/>
                  <w:vMerge w:val="continue"/>
                  <w:vAlign w:val="center"/>
                </w:tcPr>
                <w:p w14:paraId="1EDF51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vAlign w:val="center"/>
                </w:tcPr>
                <w:p w14:paraId="566F353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7200</w:t>
                  </w:r>
                </w:p>
              </w:tc>
              <w:tc>
                <w:tcPr>
                  <w:tcW w:w="377" w:type="pct"/>
                  <w:vAlign w:val="center"/>
                </w:tcPr>
                <w:p w14:paraId="182DC74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463" w:type="pct"/>
                  <w:vAlign w:val="bottom"/>
                </w:tcPr>
                <w:p w14:paraId="63E4ED7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539" w:type="pct"/>
                  <w:vMerge w:val="restart"/>
                  <w:vAlign w:val="center"/>
                </w:tcPr>
                <w:p w14:paraId="178F7E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highlight w:val="yellow"/>
                    </w:rPr>
                  </w:pPr>
                  <w:r>
                    <w:rPr>
                      <w:rFonts w:hint="default" w:ascii="Times New Roman" w:hAnsi="Times New Roman" w:eastAsia="仿宋_GB2312" w:cs="Times New Roman"/>
                      <w:color w:val="auto"/>
                      <w:kern w:val="0"/>
                      <w:sz w:val="22"/>
                      <w:szCs w:val="22"/>
                    </w:rPr>
                    <w:t>100</w:t>
                  </w:r>
                </w:p>
              </w:tc>
              <w:tc>
                <w:tcPr>
                  <w:tcW w:w="493" w:type="pct"/>
                  <w:vMerge w:val="restart"/>
                  <w:vAlign w:val="center"/>
                </w:tcPr>
                <w:p w14:paraId="747C84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r>
                    <w:rPr>
                      <w:rFonts w:hint="default" w:ascii="Times New Roman" w:hAnsi="Times New Roman" w:eastAsia="仿宋_GB2312" w:cs="Times New Roman"/>
                      <w:color w:val="auto"/>
                      <w:kern w:val="0"/>
                      <w:sz w:val="22"/>
                      <w:szCs w:val="22"/>
                    </w:rPr>
                    <w:t>6</w:t>
                  </w:r>
                </w:p>
              </w:tc>
            </w:tr>
            <w:tr w14:paraId="11D0A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6" w:type="pct"/>
                  <w:vMerge w:val="continue"/>
                  <w:vAlign w:val="center"/>
                </w:tcPr>
                <w:p w14:paraId="3D88A3D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362" w:type="pct"/>
                  <w:vMerge w:val="continue"/>
                  <w:vAlign w:val="center"/>
                </w:tcPr>
                <w:p w14:paraId="186A07C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98" w:type="pct"/>
                  <w:vAlign w:val="center"/>
                </w:tcPr>
                <w:p w14:paraId="6331A8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407" w:type="pct"/>
                  <w:noWrap/>
                  <w:vAlign w:val="bottom"/>
                </w:tcPr>
                <w:p w14:paraId="41C98E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0.0001</w:t>
                  </w:r>
                </w:p>
              </w:tc>
              <w:tc>
                <w:tcPr>
                  <w:tcW w:w="522" w:type="pct"/>
                  <w:vAlign w:val="center"/>
                </w:tcPr>
                <w:p w14:paraId="5C6832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435" w:type="pct"/>
                  <w:vMerge w:val="continue"/>
                  <w:vAlign w:val="center"/>
                </w:tcPr>
                <w:p w14:paraId="1BC8C2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33" w:type="pct"/>
                  <w:vAlign w:val="center"/>
                </w:tcPr>
                <w:p w14:paraId="455ADAA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7200</w:t>
                  </w:r>
                </w:p>
              </w:tc>
              <w:tc>
                <w:tcPr>
                  <w:tcW w:w="377" w:type="pct"/>
                  <w:vAlign w:val="center"/>
                </w:tcPr>
                <w:p w14:paraId="7EF4634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463" w:type="pct"/>
                  <w:vAlign w:val="bottom"/>
                </w:tcPr>
                <w:p w14:paraId="20631BB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0.0001</w:t>
                  </w:r>
                </w:p>
              </w:tc>
              <w:tc>
                <w:tcPr>
                  <w:tcW w:w="539" w:type="pct"/>
                  <w:vMerge w:val="continue"/>
                  <w:vAlign w:val="center"/>
                </w:tcPr>
                <w:p w14:paraId="150604E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c>
                <w:tcPr>
                  <w:tcW w:w="493" w:type="pct"/>
                  <w:vMerge w:val="continue"/>
                  <w:vAlign w:val="center"/>
                </w:tcPr>
                <w:p w14:paraId="2B99994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2"/>
                      <w:szCs w:val="22"/>
                    </w:rPr>
                  </w:pPr>
                </w:p>
              </w:tc>
            </w:tr>
          </w:tbl>
          <w:p w14:paraId="1BF5FFEE">
            <w:pPr>
              <w:pStyle w:val="3"/>
              <w:keepNext w:val="0"/>
              <w:keepLines w:val="0"/>
              <w:suppressLineNumbers w:val="0"/>
              <w:spacing w:before="0" w:beforeAutospacing="0" w:after="0" w:afterAutospacing="0"/>
              <w:ind w:left="0" w:leftChars="0" w:right="0" w:firstLine="0" w:firstLineChars="0"/>
              <w:rPr>
                <w:rFonts w:hint="default"/>
                <w:color w:val="auto"/>
              </w:rPr>
            </w:pPr>
          </w:p>
        </w:tc>
      </w:tr>
    </w:tbl>
    <w:p w14:paraId="44D18F2B">
      <w:pPr>
        <w:rPr>
          <w:color w:val="auto"/>
        </w:rPr>
        <w:sectPr>
          <w:pgSz w:w="16840" w:h="11907" w:orient="landscape"/>
          <w:pgMar w:top="1531" w:right="1440" w:bottom="1531" w:left="1440" w:header="851" w:footer="851" w:gutter="0"/>
          <w:pgBorders>
            <w:top w:val="none" w:sz="0" w:space="0"/>
            <w:left w:val="none" w:sz="0" w:space="0"/>
            <w:bottom w:val="none" w:sz="0" w:space="0"/>
            <w:right w:val="none" w:sz="0" w:space="0"/>
          </w:pgBorders>
          <w:cols w:space="720" w:num="1"/>
          <w:docGrid w:linePitch="312" w:charSpace="0"/>
        </w:sectPr>
      </w:pPr>
    </w:p>
    <w:tbl>
      <w:tblPr>
        <w:tblStyle w:val="87"/>
        <w:tblW w:w="60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10546"/>
      </w:tblGrid>
      <w:tr w14:paraId="7AB1C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78" w:type="dxa"/>
            <w:tcMar>
              <w:left w:w="28" w:type="dxa"/>
              <w:right w:w="28" w:type="dxa"/>
            </w:tcMar>
            <w:vAlign w:val="center"/>
          </w:tcPr>
          <w:p w14:paraId="498D4766">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运营</w:t>
            </w:r>
          </w:p>
          <w:p w14:paraId="5BE2C001">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期环</w:t>
            </w:r>
          </w:p>
          <w:p w14:paraId="609B089E">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境影</w:t>
            </w:r>
          </w:p>
          <w:p w14:paraId="2131BBCE">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响和</w:t>
            </w:r>
          </w:p>
          <w:p w14:paraId="0B42D1FE">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保护</w:t>
            </w:r>
          </w:p>
          <w:p w14:paraId="419D3AAC">
            <w:pPr>
              <w:keepNext w:val="0"/>
              <w:keepLines w:val="0"/>
              <w:suppressLineNumbers w:val="0"/>
              <w:adjustRightInd w:val="0"/>
              <w:snapToGrid w:val="0"/>
              <w:spacing w:before="0" w:beforeAutospacing="0" w:after="0" w:afterAutospacing="0"/>
              <w:ind w:left="0" w:right="0"/>
              <w:jc w:val="center"/>
              <w:rPr>
                <w:rFonts w:hint="default" w:eastAsia="仿宋_GB2312"/>
                <w:bCs/>
                <w:color w:val="auto"/>
                <w:sz w:val="24"/>
              </w:rPr>
            </w:pPr>
            <w:r>
              <w:rPr>
                <w:rFonts w:hint="default" w:eastAsia="仿宋_GB2312"/>
                <w:bCs/>
                <w:color w:val="auto"/>
                <w:sz w:val="24"/>
              </w:rPr>
              <w:t>措施</w:t>
            </w:r>
          </w:p>
        </w:tc>
        <w:tc>
          <w:tcPr>
            <w:tcW w:w="10264" w:type="dxa"/>
            <w:vAlign w:val="center"/>
          </w:tcPr>
          <w:p w14:paraId="78372689">
            <w:pPr>
              <w:keepNext w:val="0"/>
              <w:keepLines w:val="0"/>
              <w:suppressLineNumbers w:val="0"/>
              <w:spacing w:before="0" w:beforeAutospacing="0" w:after="0" w:afterAutospacing="0" w:line="500" w:lineRule="exact"/>
              <w:ind w:left="0" w:right="0" w:firstLine="480" w:firstLineChars="200"/>
              <w:rPr>
                <w:rFonts w:hint="eastAsia" w:eastAsia="仿宋_GB2312"/>
                <w:color w:val="auto"/>
                <w:sz w:val="24"/>
                <w:szCs w:val="24"/>
              </w:rPr>
            </w:pPr>
            <w:r>
              <w:rPr>
                <w:rFonts w:hint="eastAsia" w:eastAsia="仿宋_GB2312"/>
                <w:color w:val="auto"/>
                <w:sz w:val="24"/>
                <w:szCs w:val="24"/>
              </w:rPr>
              <w:t>本项目各无组织废气排放源污染因子的最大排放速率、排放量见下表。</w:t>
            </w:r>
          </w:p>
          <w:p w14:paraId="468C3209">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4-6</w:t>
            </w:r>
            <w:r>
              <w:rPr>
                <w:rFonts w:hint="default" w:ascii="Times New Roman" w:hAnsi="Times New Roman" w:eastAsia="仿宋_GB2312" w:cs="Times New Roman"/>
                <w:b/>
                <w:color w:val="auto"/>
                <w:sz w:val="22"/>
                <w:szCs w:val="22"/>
              </w:rPr>
              <w:t xml:space="preserve">  本项目无组织废气排放情况表</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2127"/>
              <w:gridCol w:w="1380"/>
              <w:gridCol w:w="1380"/>
              <w:gridCol w:w="1380"/>
              <w:gridCol w:w="1381"/>
              <w:gridCol w:w="1829"/>
            </w:tblGrid>
            <w:tr w14:paraId="008F46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2127" w:type="dxa"/>
                  <w:vAlign w:val="center"/>
                </w:tcPr>
                <w:p w14:paraId="14B9F8E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产生源</w:t>
                  </w:r>
                </w:p>
              </w:tc>
              <w:tc>
                <w:tcPr>
                  <w:tcW w:w="1380" w:type="dxa"/>
                  <w:vAlign w:val="center"/>
                </w:tcPr>
                <w:p w14:paraId="62CCB79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1380" w:type="dxa"/>
                  <w:vAlign w:val="center"/>
                </w:tcPr>
                <w:p w14:paraId="57502D8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最大排放速率（kg/h）</w:t>
                  </w:r>
                </w:p>
              </w:tc>
              <w:tc>
                <w:tcPr>
                  <w:tcW w:w="1380" w:type="dxa"/>
                  <w:vAlign w:val="center"/>
                </w:tcPr>
                <w:p w14:paraId="53A2E61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排放量</w:t>
                  </w:r>
                </w:p>
                <w:p w14:paraId="39BBAD5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（t/a）</w:t>
                  </w:r>
                </w:p>
              </w:tc>
              <w:tc>
                <w:tcPr>
                  <w:tcW w:w="1381" w:type="dxa"/>
                  <w:vAlign w:val="center"/>
                </w:tcPr>
                <w:p w14:paraId="3507E94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面源面积</w:t>
                  </w:r>
                  <w:r>
                    <w:rPr>
                      <w:rFonts w:hint="default" w:ascii="Times New Roman" w:hAnsi="Times New Roman" w:eastAsia="仿宋_GB2312" w:cs="Times New Roman"/>
                      <w:b/>
                      <w:bCs/>
                      <w:color w:val="auto"/>
                      <w:kern w:val="0"/>
                      <w:sz w:val="21"/>
                    </w:rPr>
                    <w:t>（m</w:t>
                  </w:r>
                  <w:r>
                    <w:rPr>
                      <w:rFonts w:hint="default" w:ascii="Times New Roman" w:hAnsi="Times New Roman" w:eastAsia="仿宋_GB2312" w:cs="Times New Roman"/>
                      <w:b/>
                      <w:bCs/>
                      <w:color w:val="auto"/>
                      <w:kern w:val="0"/>
                      <w:sz w:val="21"/>
                      <w:vertAlign w:val="superscript"/>
                    </w:rPr>
                    <w:t>2</w:t>
                  </w:r>
                  <w:r>
                    <w:rPr>
                      <w:rFonts w:hint="default" w:ascii="Times New Roman" w:hAnsi="Times New Roman" w:eastAsia="仿宋_GB2312" w:cs="Times New Roman"/>
                      <w:b/>
                      <w:bCs/>
                      <w:color w:val="auto"/>
                      <w:kern w:val="0"/>
                      <w:sz w:val="21"/>
                    </w:rPr>
                    <w:t>）</w:t>
                  </w:r>
                </w:p>
              </w:tc>
              <w:tc>
                <w:tcPr>
                  <w:tcW w:w="1829" w:type="dxa"/>
                  <w:vAlign w:val="center"/>
                </w:tcPr>
                <w:p w14:paraId="1EC1677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面源高度</w:t>
                  </w:r>
                  <w:r>
                    <w:rPr>
                      <w:rFonts w:hint="default" w:ascii="Times New Roman" w:hAnsi="Times New Roman" w:eastAsia="仿宋_GB2312" w:cs="Times New Roman"/>
                      <w:b/>
                      <w:bCs/>
                      <w:color w:val="auto"/>
                      <w:kern w:val="0"/>
                      <w:sz w:val="21"/>
                    </w:rPr>
                    <w:t>（m）</w:t>
                  </w:r>
                </w:p>
              </w:tc>
            </w:tr>
            <w:tr w14:paraId="4F37710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2127" w:type="dxa"/>
                  <w:vMerge w:val="restart"/>
                  <w:vAlign w:val="center"/>
                </w:tcPr>
                <w:p w14:paraId="54973D0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厂房</w:t>
                  </w:r>
                </w:p>
              </w:tc>
              <w:tc>
                <w:tcPr>
                  <w:tcW w:w="1380" w:type="dxa"/>
                  <w:vAlign w:val="center"/>
                </w:tcPr>
                <w:p w14:paraId="007192B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1380" w:type="dxa"/>
                  <w:vAlign w:val="center"/>
                </w:tcPr>
                <w:p w14:paraId="2461636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0.075</w:t>
                  </w:r>
                </w:p>
              </w:tc>
              <w:tc>
                <w:tcPr>
                  <w:tcW w:w="1380" w:type="dxa"/>
                  <w:vAlign w:val="center"/>
                </w:tcPr>
                <w:p w14:paraId="4ED22B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0.0055</w:t>
                  </w:r>
                </w:p>
              </w:tc>
              <w:tc>
                <w:tcPr>
                  <w:tcW w:w="1381" w:type="dxa"/>
                  <w:vMerge w:val="restart"/>
                  <w:vAlign w:val="center"/>
                </w:tcPr>
                <w:p w14:paraId="3F42120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2398.48</w:t>
                  </w:r>
                </w:p>
              </w:tc>
              <w:tc>
                <w:tcPr>
                  <w:tcW w:w="1829" w:type="dxa"/>
                  <w:vMerge w:val="restart"/>
                  <w:vAlign w:val="center"/>
                </w:tcPr>
                <w:p w14:paraId="0FC5ABA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6</w:t>
                  </w:r>
                </w:p>
              </w:tc>
            </w:tr>
            <w:tr w14:paraId="555A39D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2127" w:type="dxa"/>
                  <w:vMerge w:val="continue"/>
                  <w:vAlign w:val="center"/>
                </w:tcPr>
                <w:p w14:paraId="4DC7E59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380" w:type="dxa"/>
                  <w:vAlign w:val="center"/>
                </w:tcPr>
                <w:p w14:paraId="7E43642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氯化氢</w:t>
                  </w:r>
                </w:p>
              </w:tc>
              <w:tc>
                <w:tcPr>
                  <w:tcW w:w="1380" w:type="dxa"/>
                  <w:vAlign w:val="center"/>
                </w:tcPr>
                <w:p w14:paraId="3B41E1B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0.01 </w:t>
                  </w:r>
                </w:p>
              </w:tc>
              <w:tc>
                <w:tcPr>
                  <w:tcW w:w="1380" w:type="dxa"/>
                  <w:vAlign w:val="center"/>
                </w:tcPr>
                <w:p w14:paraId="70FC9C6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1381" w:type="dxa"/>
                  <w:vMerge w:val="continue"/>
                  <w:vAlign w:val="center"/>
                </w:tcPr>
                <w:p w14:paraId="3FF7464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829" w:type="dxa"/>
                  <w:vMerge w:val="continue"/>
                  <w:vAlign w:val="center"/>
                </w:tcPr>
                <w:p w14:paraId="38C93CA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5F205B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2127" w:type="dxa"/>
                  <w:vMerge w:val="continue"/>
                  <w:vAlign w:val="center"/>
                </w:tcPr>
                <w:p w14:paraId="508EAFB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380" w:type="dxa"/>
                  <w:vAlign w:val="center"/>
                </w:tcPr>
                <w:p w14:paraId="0342BE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1380" w:type="dxa"/>
                  <w:vAlign w:val="center"/>
                </w:tcPr>
                <w:p w14:paraId="13BD0B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0.001 </w:t>
                  </w:r>
                </w:p>
              </w:tc>
              <w:tc>
                <w:tcPr>
                  <w:tcW w:w="1380" w:type="dxa"/>
                  <w:vAlign w:val="center"/>
                </w:tcPr>
                <w:p w14:paraId="0BE552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c>
                <w:tcPr>
                  <w:tcW w:w="1381" w:type="dxa"/>
                  <w:vMerge w:val="continue"/>
                  <w:vAlign w:val="center"/>
                </w:tcPr>
                <w:p w14:paraId="272C42B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829" w:type="dxa"/>
                  <w:vMerge w:val="continue"/>
                  <w:vAlign w:val="center"/>
                </w:tcPr>
                <w:p w14:paraId="787680C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9262A3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2127" w:type="dxa"/>
                  <w:vMerge w:val="restart"/>
                  <w:vAlign w:val="center"/>
                </w:tcPr>
                <w:p w14:paraId="35D6F79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污水站</w:t>
                  </w:r>
                </w:p>
              </w:tc>
              <w:tc>
                <w:tcPr>
                  <w:tcW w:w="1380" w:type="dxa"/>
                  <w:vAlign w:val="center"/>
                </w:tcPr>
                <w:p w14:paraId="60E33F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1380" w:type="dxa"/>
                  <w:vAlign w:val="center"/>
                </w:tcPr>
                <w:p w14:paraId="0563A7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0.001 </w:t>
                  </w:r>
                </w:p>
              </w:tc>
              <w:tc>
                <w:tcPr>
                  <w:tcW w:w="1380" w:type="dxa"/>
                  <w:vAlign w:val="center"/>
                </w:tcPr>
                <w:p w14:paraId="12F3BB7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0.01</w:t>
                  </w:r>
                </w:p>
              </w:tc>
              <w:tc>
                <w:tcPr>
                  <w:tcW w:w="1381" w:type="dxa"/>
                  <w:vMerge w:val="restart"/>
                  <w:vAlign w:val="center"/>
                </w:tcPr>
                <w:p w14:paraId="02CF89B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100</w:t>
                  </w:r>
                </w:p>
              </w:tc>
              <w:tc>
                <w:tcPr>
                  <w:tcW w:w="1829" w:type="dxa"/>
                  <w:vMerge w:val="restart"/>
                  <w:vAlign w:val="center"/>
                </w:tcPr>
                <w:p w14:paraId="3CA8288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default" w:ascii="Times New Roman" w:hAnsi="Times New Roman" w:eastAsia="仿宋_GB2312" w:cs="Times New Roman"/>
                      <w:color w:val="auto"/>
                      <w:sz w:val="21"/>
                    </w:rPr>
                    <w:t>6</w:t>
                  </w:r>
                </w:p>
              </w:tc>
            </w:tr>
            <w:tr w14:paraId="7D73DE4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2127" w:type="dxa"/>
                  <w:vMerge w:val="continue"/>
                  <w:vAlign w:val="center"/>
                </w:tcPr>
                <w:p w14:paraId="7FD9ED4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380" w:type="dxa"/>
                  <w:vAlign w:val="center"/>
                </w:tcPr>
                <w:p w14:paraId="643E9F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1380" w:type="dxa"/>
                  <w:vAlign w:val="center"/>
                </w:tcPr>
                <w:p w14:paraId="7F3A86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0.0001 </w:t>
                  </w:r>
                </w:p>
              </w:tc>
              <w:tc>
                <w:tcPr>
                  <w:tcW w:w="1380" w:type="dxa"/>
                  <w:vAlign w:val="center"/>
                </w:tcPr>
                <w:p w14:paraId="7EF3D94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0.001</w:t>
                  </w:r>
                </w:p>
              </w:tc>
              <w:tc>
                <w:tcPr>
                  <w:tcW w:w="1381" w:type="dxa"/>
                  <w:vMerge w:val="continue"/>
                  <w:vAlign w:val="center"/>
                </w:tcPr>
                <w:p w14:paraId="7A3295B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1829" w:type="dxa"/>
                  <w:vMerge w:val="continue"/>
                  <w:vAlign w:val="center"/>
                </w:tcPr>
                <w:p w14:paraId="1A3428E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bl>
          <w:p w14:paraId="7100E563">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default" w:eastAsia="仿宋_GB2312"/>
                <w:b/>
                <w:bCs/>
                <w:color w:val="auto"/>
                <w:sz w:val="24"/>
              </w:rPr>
              <w:t>2、废气污染防治措施</w:t>
            </w:r>
          </w:p>
          <w:p w14:paraId="491E9861">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sz w:val="24"/>
              </w:rPr>
            </w:pPr>
            <w:r>
              <w:rPr>
                <w:rFonts w:hint="default" w:eastAsia="仿宋_GB2312"/>
                <w:bCs/>
                <w:color w:val="auto"/>
                <w:sz w:val="24"/>
              </w:rPr>
              <w:t>本项目有组织废气按废气性质分类收集、处理，</w:t>
            </w:r>
            <w:r>
              <w:rPr>
                <w:rFonts w:hint="default" w:eastAsia="仿宋_GB2312"/>
                <w:bCs/>
                <w:color w:val="auto"/>
                <w:sz w:val="24"/>
                <w:highlight w:val="none"/>
              </w:rPr>
              <w:t>通过废气管线收集</w:t>
            </w:r>
            <w:r>
              <w:rPr>
                <w:rFonts w:hint="default" w:eastAsia="仿宋_GB2312"/>
                <w:bCs/>
                <w:color w:val="auto"/>
                <w:sz w:val="24"/>
              </w:rPr>
              <w:t>进入各自处理设施，具体如下：</w:t>
            </w:r>
          </w:p>
          <w:p w14:paraId="146A0E6D">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1D35AD"/>
                <w:sz w:val="24"/>
              </w:rPr>
            </w:pPr>
            <w:r>
              <w:rPr>
                <w:rFonts w:hint="default" w:eastAsia="仿宋_GB2312"/>
                <w:bCs/>
                <w:color w:val="1D35AD"/>
                <w:sz w:val="24"/>
              </w:rPr>
              <w:t>①食品用原料、保健食品粉生产过程中种子培养废气、发酵废气密闭管道收集后经“酸吸收+碱吸收+除雾器+二级活性炭吸附”处理后，通过15米高排气筒排放（2#排气筒）。</w:t>
            </w:r>
          </w:p>
          <w:p w14:paraId="3BCDFB12">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1D35AD"/>
                <w:sz w:val="24"/>
              </w:rPr>
            </w:pPr>
            <w:r>
              <w:rPr>
                <w:rFonts w:hint="default" w:eastAsia="仿宋_GB2312"/>
                <w:bCs/>
                <w:color w:val="1D35AD"/>
                <w:sz w:val="24"/>
              </w:rPr>
              <w:t>②食品用原料、保健食品粉包装废气，γ-氨基丁酸、二氢槲皮素保健食品胶囊混合废气、胶囊装载废气整体换风收集（捕集率90%）和沸腾干燥废气自带的布袋捕集器收集（捕集率99%）后，经布袋除尘处理后，通过15米高排气筒排放（1#排气筒）。</w:t>
            </w:r>
          </w:p>
          <w:p w14:paraId="0976857B">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1D35AD"/>
                <w:sz w:val="24"/>
              </w:rPr>
            </w:pPr>
            <w:r>
              <w:rPr>
                <w:rFonts w:hint="default" w:eastAsia="仿宋_GB2312"/>
                <w:bCs/>
                <w:color w:val="1D35AD"/>
                <w:sz w:val="24"/>
              </w:rPr>
              <w:t>③固体原辅料称量、投料、配制过程产生的废气在一楼称量间整体换风收集（捕集率90%），经布袋除尘处理后，通过15米高排气筒排放（1#排气筒）。</w:t>
            </w:r>
          </w:p>
          <w:p w14:paraId="5C76C0BA">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1D35AD"/>
                <w:sz w:val="24"/>
              </w:rPr>
            </w:pPr>
            <w:r>
              <w:rPr>
                <w:rFonts w:hint="default" w:eastAsia="仿宋_GB2312"/>
                <w:bCs/>
                <w:color w:val="1D35AD"/>
                <w:sz w:val="24"/>
              </w:rPr>
              <w:t>④盐酸溶液配制废气在二楼质检区通风橱收集（捕集率90%）后经“酸吸收+碱吸收+除雾器+二级活性炭吸附”处理后，通过15米高排气筒排放（2#排气筒）。</w:t>
            </w:r>
          </w:p>
          <w:p w14:paraId="086590FD">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1D35AD"/>
                <w:sz w:val="24"/>
              </w:rPr>
            </w:pPr>
            <w:r>
              <w:rPr>
                <w:rFonts w:hint="default" w:eastAsia="仿宋_GB2312"/>
                <w:bCs/>
                <w:color w:val="1D35AD"/>
                <w:sz w:val="24"/>
              </w:rPr>
              <w:t>⑤质检区废气采用吸风罩收集（捕集率90%）。废气收集后经“酸吸收+碱吸收+除雾器+二级活性炭吸附”处理后，通过15米高排气筒排放（2#排气筒）。</w:t>
            </w:r>
          </w:p>
          <w:p w14:paraId="1CFD7FBA">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1D35AD"/>
                <w:sz w:val="24"/>
              </w:rPr>
            </w:pPr>
            <w:r>
              <w:rPr>
                <w:rFonts w:hint="default" w:eastAsia="仿宋_GB2312"/>
                <w:bCs/>
                <w:color w:val="1D35AD"/>
                <w:sz w:val="24"/>
              </w:rPr>
              <w:t>⑥危废库废气采用整体换风收集（捕集率90%）后经“酸吸收+碱吸收+除雾器+二级活性炭吸附”处理后，通过15米高排气筒排放（2#排气筒）。</w:t>
            </w:r>
          </w:p>
          <w:p w14:paraId="1667FC92">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1D35AD"/>
                <w:sz w:val="24"/>
              </w:rPr>
            </w:pPr>
            <w:r>
              <w:rPr>
                <w:rFonts w:hint="default" w:eastAsia="仿宋_GB2312"/>
                <w:bCs/>
                <w:color w:val="1D35AD"/>
                <w:sz w:val="24"/>
              </w:rPr>
              <w:t>⑦污水站废气采用整体换风收集（捕集率90%）后经“酸吸收+碱吸收+除雾器+二级活性炭吸附”处理后，通过15米高排气筒排放（2#排气筒）。</w:t>
            </w:r>
          </w:p>
          <w:p w14:paraId="194CA748">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1D35AD"/>
                <w:sz w:val="24"/>
              </w:rPr>
            </w:pPr>
            <w:r>
              <w:rPr>
                <w:rFonts w:hint="default" w:eastAsia="仿宋_GB2312"/>
                <w:bCs/>
                <w:color w:val="1D35AD"/>
                <w:sz w:val="24"/>
              </w:rPr>
              <w:t>⑧燃气蒸汽发生器产生的废气通过15米高排气筒排放（3#排气筒）。</w:t>
            </w:r>
          </w:p>
          <w:p w14:paraId="4A617ADB">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sz w:val="24"/>
              </w:rPr>
            </w:pPr>
          </w:p>
          <w:p w14:paraId="2753B7CA">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sz w:val="24"/>
              </w:rPr>
            </w:pPr>
          </w:p>
          <w:p w14:paraId="04EBFCB1">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sz w:val="24"/>
              </w:rPr>
            </w:pPr>
            <w:r>
              <w:rPr>
                <w:rFonts w:hint="default" w:eastAsia="仿宋_GB2312"/>
                <w:bCs/>
                <w:color w:val="auto"/>
                <w:sz w:val="24"/>
              </w:rPr>
              <w:t>本项目有组织废气收集、处理方案见</w:t>
            </w:r>
            <w:r>
              <w:rPr>
                <w:rFonts w:hint="eastAsia" w:eastAsia="仿宋_GB2312"/>
                <w:bCs/>
                <w:color w:val="auto"/>
                <w:sz w:val="24"/>
                <w:lang w:eastAsia="zh-CN"/>
              </w:rPr>
              <w:t>下</w:t>
            </w:r>
            <w:r>
              <w:rPr>
                <w:rFonts w:hint="default" w:eastAsia="仿宋_GB2312"/>
                <w:bCs/>
                <w:color w:val="auto"/>
                <w:sz w:val="24"/>
              </w:rPr>
              <w:t>图。</w:t>
            </w:r>
          </w:p>
          <w:p w14:paraId="6FABB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left"/>
              <w:textAlignment w:val="auto"/>
              <w:rPr>
                <w:rFonts w:hint="default" w:eastAsia="仿宋_GB2312"/>
                <w:bCs/>
                <w:color w:val="auto"/>
                <w:sz w:val="24"/>
              </w:rPr>
            </w:pPr>
            <w:r>
              <w:rPr>
                <w:rFonts w:hint="default" w:ascii="Times New Roman" w:hAnsi="Times New Roman"/>
                <w:b/>
                <w:color w:val="auto"/>
              </w:rPr>
              <w:object>
                <v:shape id="_x0000_i1036" o:spt="75" type="#_x0000_t75" style="height:386.2pt;width:414.4pt;" o:ole="t" filled="f" o:preferrelative="t" stroked="f" coordsize="21600,21600">
                  <v:path/>
                  <v:fill on="f" focussize="0,0"/>
                  <v:stroke on="f"/>
                  <v:imagedata r:id="rId41" o:title=""/>
                  <o:lock v:ext="edit" aspectratio="f"/>
                  <w10:wrap type="none"/>
                  <w10:anchorlock/>
                </v:shape>
                <o:OLEObject Type="Embed" ProgID="Visio.Drawing.15" ShapeID="_x0000_i1036" DrawAspect="Content" ObjectID="_1468075736" r:id="rId40">
                  <o:LockedField>false</o:LockedField>
                </o:OLEObject>
              </w:object>
            </w:r>
          </w:p>
          <w:p w14:paraId="295DBC14">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1D35AD"/>
                <w:sz w:val="22"/>
                <w:szCs w:val="22"/>
              </w:rPr>
            </w:pPr>
            <w:r>
              <w:rPr>
                <w:rFonts w:hint="default" w:eastAsia="仿宋_GB2312"/>
                <w:b/>
                <w:color w:val="1D35AD"/>
                <w:sz w:val="22"/>
                <w:szCs w:val="22"/>
              </w:rPr>
              <w:t>图</w:t>
            </w:r>
            <w:r>
              <w:rPr>
                <w:rFonts w:hint="eastAsia" w:eastAsia="仿宋_GB2312"/>
                <w:b/>
                <w:color w:val="1D35AD"/>
                <w:sz w:val="22"/>
                <w:szCs w:val="22"/>
                <w:lang w:val="en-US" w:eastAsia="zh-CN"/>
              </w:rPr>
              <w:t>4-1</w:t>
            </w:r>
            <w:r>
              <w:rPr>
                <w:rFonts w:hint="default" w:eastAsia="仿宋_GB2312"/>
                <w:b/>
                <w:color w:val="1D35AD"/>
                <w:sz w:val="22"/>
                <w:szCs w:val="22"/>
              </w:rPr>
              <w:t>本项目有组织废气处理工艺流程图</w:t>
            </w:r>
          </w:p>
          <w:p w14:paraId="1852C4EC">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本项目无组织废气防治方面采取以下措施：</w:t>
            </w:r>
          </w:p>
          <w:p w14:paraId="0B97AF13">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1、生产车间</w:t>
            </w:r>
          </w:p>
          <w:p w14:paraId="27B7D619">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1）本项目优先选用自动化密闭设备，本项目生产过程中物料的投加、反应、干燥等过程，均采用密闭设备内操作，废气经管道收集后输送至废气处理系统处理。选用高质量的反应器、容器以及管件，提高安装质量。</w:t>
            </w:r>
          </w:p>
          <w:p w14:paraId="6D61D078">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2）加强生产管理和设备维修，及时修、更换破损的管道、机泵、阀门及污染治理设备，减少和防止生产过程中的跑、冒、滴、漏和事故性排放，在此基础上还应针对上述无组织废气排放源，加强管道、阀门的密封检修，减少无组织废气逸散。</w:t>
            </w:r>
          </w:p>
          <w:p w14:paraId="1E4AAFEE">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（3）中间物料均通过管道密闭转移，避免无组织废气的产生。</w:t>
            </w:r>
          </w:p>
          <w:p w14:paraId="0110C79F">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（4）加强操作工的培训和管理，以减少人为造成的对环境的污染。</w:t>
            </w:r>
          </w:p>
          <w:p w14:paraId="1C506E97">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2、污水处理站恶臭无组织排放的防治措施</w:t>
            </w:r>
          </w:p>
          <w:p w14:paraId="321E01F4">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项目污水处理站废气经收集后经酸吸收+碱吸收+除雾器+二级活性炭吸附处理，收集效率为90%，少量未收集的废气无组织排放企业应加强恶臭污染源管理，污泥及时脱水、及时清运，减少污泥堆放量，缩短污泥堆放周期。</w:t>
            </w:r>
          </w:p>
          <w:p w14:paraId="7DD650B0">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3、其他</w:t>
            </w:r>
          </w:p>
          <w:p w14:paraId="6681B5FC">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（1）对厂界废气污染物进行定期监测，控制厂界浓度达标。</w:t>
            </w:r>
          </w:p>
          <w:p w14:paraId="5743F83A">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（2）在全厂可能发生泄漏的区域（车间）安装可燃气体报警仪和有毒气体报警仪，以便及早发现泄漏、及早处理。</w:t>
            </w:r>
          </w:p>
          <w:p w14:paraId="67F02236">
            <w:pPr>
              <w:keepNext w:val="0"/>
              <w:keepLines w:val="0"/>
              <w:suppressLineNumbers w:val="0"/>
              <w:snapToGrid w:val="0"/>
              <w:spacing w:before="0" w:beforeAutospacing="0" w:after="0" w:afterAutospacing="0" w:line="500" w:lineRule="exact"/>
              <w:ind w:left="0" w:right="0" w:firstLine="480" w:firstLineChars="200"/>
              <w:rPr>
                <w:rFonts w:hint="eastAsia" w:eastAsia="仿宋_GB2312"/>
                <w:b w:val="0"/>
                <w:bCs/>
                <w:color w:val="auto"/>
                <w:sz w:val="24"/>
                <w:lang w:val="en-US" w:eastAsia="zh-CN"/>
              </w:rPr>
            </w:pPr>
            <w:r>
              <w:rPr>
                <w:rFonts w:hint="eastAsia" w:eastAsia="仿宋_GB2312"/>
                <w:b w:val="0"/>
                <w:bCs/>
                <w:color w:val="auto"/>
                <w:sz w:val="24"/>
                <w:lang w:val="en-US" w:eastAsia="zh-CN"/>
              </w:rPr>
              <w:t>项目生产过程中加强管理，尽可能减少无组织废气产生。经严格执行以上措施后，本项目排放的非甲烷总烃、氯化氢、颗粒物可达到《大气污染物综合排放标准》（DB32/4041-2021），本项目排放的NH</w:t>
            </w:r>
            <w:r>
              <w:rPr>
                <w:rFonts w:hint="eastAsia" w:eastAsia="仿宋_GB2312"/>
                <w:b w:val="0"/>
                <w:bCs/>
                <w:color w:val="auto"/>
                <w:sz w:val="24"/>
                <w:vertAlign w:val="subscript"/>
                <w:lang w:val="en-US" w:eastAsia="zh-CN"/>
              </w:rPr>
              <w:t>3</w:t>
            </w:r>
            <w:r>
              <w:rPr>
                <w:rFonts w:hint="eastAsia" w:eastAsia="仿宋_GB2312"/>
                <w:b w:val="0"/>
                <w:bCs/>
                <w:color w:val="auto"/>
                <w:sz w:val="24"/>
                <w:lang w:val="en-US" w:eastAsia="zh-CN"/>
              </w:rPr>
              <w:t>、H</w:t>
            </w:r>
            <w:r>
              <w:rPr>
                <w:rFonts w:hint="eastAsia" w:eastAsia="仿宋_GB2312"/>
                <w:b w:val="0"/>
                <w:bCs/>
                <w:color w:val="auto"/>
                <w:sz w:val="24"/>
                <w:vertAlign w:val="subscript"/>
                <w:lang w:val="en-US" w:eastAsia="zh-CN"/>
              </w:rPr>
              <w:t>2</w:t>
            </w:r>
            <w:r>
              <w:rPr>
                <w:rFonts w:hint="eastAsia" w:eastAsia="仿宋_GB2312"/>
                <w:b w:val="0"/>
                <w:bCs/>
                <w:color w:val="auto"/>
                <w:sz w:val="24"/>
                <w:lang w:val="en-US" w:eastAsia="zh-CN"/>
              </w:rPr>
              <w:t>S《恶臭污染物排放标准》（GB14554-93）中厂界控制浓度要求。</w:t>
            </w:r>
          </w:p>
          <w:p w14:paraId="6057DEE8">
            <w:pPr>
              <w:keepNext w:val="0"/>
              <w:keepLines w:val="0"/>
              <w:suppressLineNumbers w:val="0"/>
              <w:snapToGrid w:val="0"/>
              <w:spacing w:before="0" w:beforeAutospacing="0" w:after="0" w:afterAutospacing="0" w:line="500" w:lineRule="exact"/>
              <w:ind w:left="0" w:right="0" w:firstLine="482" w:firstLineChars="200"/>
              <w:rPr>
                <w:rFonts w:hint="default" w:eastAsia="仿宋_GB2312"/>
                <w:b/>
                <w:bCs w:val="0"/>
                <w:color w:val="auto"/>
                <w:sz w:val="24"/>
              </w:rPr>
            </w:pPr>
            <w:r>
              <w:rPr>
                <w:rFonts w:hint="eastAsia" w:eastAsia="仿宋_GB2312"/>
                <w:b/>
                <w:bCs w:val="0"/>
                <w:color w:val="auto"/>
                <w:sz w:val="24"/>
                <w:lang w:val="en-US" w:eastAsia="zh-CN"/>
              </w:rPr>
              <w:t>3、</w:t>
            </w:r>
            <w:r>
              <w:rPr>
                <w:rFonts w:hint="default" w:eastAsia="仿宋_GB2312"/>
                <w:b/>
                <w:bCs w:val="0"/>
                <w:color w:val="auto"/>
                <w:sz w:val="24"/>
              </w:rPr>
              <w:t>废气处理措施可行性分析：</w:t>
            </w:r>
          </w:p>
          <w:p w14:paraId="3FE1DEF6">
            <w:pPr>
              <w:keepNext w:val="0"/>
              <w:keepLines w:val="0"/>
              <w:suppressLineNumbers w:val="0"/>
              <w:snapToGrid w:val="0"/>
              <w:spacing w:before="0" w:beforeAutospacing="0" w:after="0" w:afterAutospacing="0" w:line="500" w:lineRule="exact"/>
              <w:ind w:left="0" w:right="0" w:firstLine="482" w:firstLineChars="200"/>
              <w:rPr>
                <w:rFonts w:hint="default" w:eastAsia="仿宋_GB2312"/>
                <w:b/>
                <w:bCs w:val="0"/>
                <w:color w:val="auto"/>
                <w:sz w:val="24"/>
                <w:highlight w:val="none"/>
              </w:rPr>
            </w:pPr>
            <w:r>
              <w:rPr>
                <w:rFonts w:hint="default" w:eastAsia="仿宋_GB2312"/>
                <w:b/>
                <w:bCs w:val="0"/>
                <w:color w:val="auto"/>
                <w:sz w:val="24"/>
                <w:lang w:eastAsia="zh-CN"/>
              </w:rPr>
              <w:t>①</w:t>
            </w:r>
            <w:r>
              <w:rPr>
                <w:rFonts w:hint="default" w:eastAsia="仿宋_GB2312"/>
                <w:b/>
                <w:bCs w:val="0"/>
                <w:color w:val="auto"/>
                <w:sz w:val="24"/>
              </w:rPr>
              <w:t>污染防治措施</w:t>
            </w:r>
            <w:r>
              <w:rPr>
                <w:rFonts w:hint="default" w:eastAsia="仿宋_GB2312"/>
                <w:b/>
                <w:bCs w:val="0"/>
                <w:color w:val="auto"/>
                <w:sz w:val="24"/>
                <w:highlight w:val="none"/>
              </w:rPr>
              <w:t>工艺介绍</w:t>
            </w:r>
          </w:p>
          <w:p w14:paraId="13C46533">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eastAsia" w:eastAsia="仿宋_GB2312"/>
                <w:bCs/>
                <w:color w:val="auto"/>
                <w:sz w:val="24"/>
                <w:highlight w:val="none"/>
                <w:lang w:eastAsia="zh-CN"/>
              </w:rPr>
              <w:t>（</w:t>
            </w:r>
            <w:r>
              <w:rPr>
                <w:rFonts w:hint="eastAsia" w:eastAsia="仿宋_GB2312"/>
                <w:bCs/>
                <w:color w:val="auto"/>
                <w:sz w:val="24"/>
                <w:highlight w:val="none"/>
                <w:lang w:val="en-US" w:eastAsia="zh-CN"/>
              </w:rPr>
              <w:t>1</w:t>
            </w:r>
            <w:r>
              <w:rPr>
                <w:rFonts w:hint="eastAsia" w:eastAsia="仿宋_GB2312"/>
                <w:bCs/>
                <w:color w:val="auto"/>
                <w:sz w:val="24"/>
                <w:highlight w:val="none"/>
                <w:lang w:eastAsia="zh-CN"/>
              </w:rPr>
              <w:t>）</w:t>
            </w:r>
            <w:r>
              <w:rPr>
                <w:rFonts w:hint="default" w:eastAsia="仿宋_GB2312"/>
                <w:bCs/>
                <w:color w:val="auto"/>
                <w:sz w:val="24"/>
                <w:highlight w:val="none"/>
              </w:rPr>
              <w:t>布袋除尘</w:t>
            </w:r>
          </w:p>
          <w:p w14:paraId="4E1622CF">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default" w:eastAsia="仿宋_GB2312"/>
                <w:bCs/>
                <w:color w:val="auto"/>
                <w:sz w:val="24"/>
                <w:highlight w:val="none"/>
              </w:rPr>
              <w:t>布袋除尘器的结构主要由上部、中部、下部、清灰系统和排灰机构等部分组成。其工作过程包括含尘烟气通过过滤材料，尘粒被过滤下来，过滤材料捕集粗粒粉尘主要靠惯性碰撞作用，捕集细粒粉尘主要靠扩散和筛分作用。这种设备对粉尘的特性不敏感，不受粉尘和电阻的影响，因此具有广泛的应用范围。布袋除尘的颗粒物效率取保守估计99%。</w:t>
            </w:r>
          </w:p>
          <w:p w14:paraId="04217217">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eastAsia" w:eastAsia="仿宋_GB2312"/>
                <w:bCs/>
                <w:color w:val="auto"/>
                <w:sz w:val="24"/>
                <w:highlight w:val="none"/>
                <w:lang w:eastAsia="zh-CN"/>
              </w:rPr>
              <w:t>（</w:t>
            </w:r>
            <w:r>
              <w:rPr>
                <w:rFonts w:hint="eastAsia" w:eastAsia="仿宋_GB2312"/>
                <w:bCs/>
                <w:color w:val="auto"/>
                <w:sz w:val="24"/>
                <w:highlight w:val="none"/>
                <w:lang w:val="en-US" w:eastAsia="zh-CN"/>
              </w:rPr>
              <w:t>2</w:t>
            </w:r>
            <w:r>
              <w:rPr>
                <w:rFonts w:hint="eastAsia" w:eastAsia="仿宋_GB2312"/>
                <w:bCs/>
                <w:color w:val="auto"/>
                <w:sz w:val="24"/>
                <w:highlight w:val="none"/>
                <w:lang w:eastAsia="zh-CN"/>
              </w:rPr>
              <w:t>）</w:t>
            </w:r>
            <w:r>
              <w:rPr>
                <w:rFonts w:hint="default" w:eastAsia="仿宋_GB2312"/>
                <w:bCs/>
                <w:color w:val="auto"/>
                <w:sz w:val="24"/>
                <w:highlight w:val="none"/>
              </w:rPr>
              <w:t>酸吸收+碱吸收</w:t>
            </w:r>
          </w:p>
          <w:p w14:paraId="3C98EE43">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default" w:eastAsia="仿宋_GB2312"/>
                <w:bCs/>
                <w:color w:val="auto"/>
                <w:sz w:val="24"/>
                <w:highlight w:val="none"/>
              </w:rPr>
              <w:t>喷淋吸收系统主要由填料、喷淋装置、除雾装置、喷淋液循环泵、吸收塔组成。</w:t>
            </w:r>
          </w:p>
          <w:p w14:paraId="12A9955E">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default" w:eastAsia="仿宋_GB2312"/>
                <w:bCs/>
                <w:color w:val="auto"/>
                <w:sz w:val="24"/>
                <w:highlight w:val="none"/>
              </w:rPr>
              <w:t>填料主要作为布风装置，布置于吸收塔喷淋区下部，烟气通过托盘后，被均匀分布到整个吸收塔截面。这本项目中填料选用球形填料。每台吸收塔再循环泵均对应一个喷淋层，喷淋层上安装空心锥喷嘴，其作用是将喷淋液雾化。吸收塔除雾器布置于吸收塔顶部最后一个喷淋组件的上部。烟气穿过循环浆液喷淋层后，再连续流经除雾器时，液滴由于惯性作用，留在挡板上。吸收塔再循环泵安装在吸收塔旁，用于吸收塔内喷淋液的再循环。循环系统使用一段时间后，循环液废水最终排入废水处理池。吸收塔塔体采用PPH材质。</w:t>
            </w:r>
          </w:p>
          <w:p w14:paraId="0DB6E5C7">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default" w:eastAsia="仿宋_GB2312"/>
                <w:bCs/>
                <w:color w:val="auto"/>
                <w:sz w:val="24"/>
                <w:highlight w:val="none"/>
              </w:rPr>
              <w:t>由于氨气为碱性气体，与酸反应，吸附效率取保守估计50%，H</w:t>
            </w:r>
            <w:r>
              <w:rPr>
                <w:rFonts w:hint="default" w:eastAsia="仿宋_GB2312"/>
                <w:bCs/>
                <w:color w:val="auto"/>
                <w:sz w:val="24"/>
                <w:highlight w:val="none"/>
                <w:vertAlign w:val="subscript"/>
              </w:rPr>
              <w:t>2</w:t>
            </w:r>
            <w:r>
              <w:rPr>
                <w:rFonts w:hint="default" w:eastAsia="仿宋_GB2312"/>
                <w:bCs/>
                <w:color w:val="auto"/>
                <w:sz w:val="24"/>
                <w:highlight w:val="none"/>
              </w:rPr>
              <w:t>S为酸性气体，与碱反应，吸附效率取保守估计60%。</w:t>
            </w:r>
          </w:p>
          <w:p w14:paraId="14245706">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eastAsia" w:eastAsia="仿宋_GB2312"/>
                <w:bCs/>
                <w:color w:val="auto"/>
                <w:sz w:val="24"/>
                <w:highlight w:val="none"/>
                <w:lang w:eastAsia="zh-CN"/>
              </w:rPr>
              <w:t>（</w:t>
            </w:r>
            <w:r>
              <w:rPr>
                <w:rFonts w:hint="eastAsia" w:eastAsia="仿宋_GB2312"/>
                <w:bCs/>
                <w:color w:val="auto"/>
                <w:sz w:val="24"/>
                <w:highlight w:val="none"/>
                <w:lang w:val="en-US" w:eastAsia="zh-CN"/>
              </w:rPr>
              <w:t>3</w:t>
            </w:r>
            <w:r>
              <w:rPr>
                <w:rFonts w:hint="eastAsia" w:eastAsia="仿宋_GB2312"/>
                <w:bCs/>
                <w:color w:val="auto"/>
                <w:sz w:val="24"/>
                <w:highlight w:val="none"/>
                <w:lang w:eastAsia="zh-CN"/>
              </w:rPr>
              <w:t>）</w:t>
            </w:r>
            <w:r>
              <w:rPr>
                <w:rFonts w:hint="default" w:eastAsia="仿宋_GB2312"/>
                <w:bCs/>
                <w:color w:val="auto"/>
                <w:sz w:val="24"/>
                <w:highlight w:val="none"/>
              </w:rPr>
              <w:t>气液分离器</w:t>
            </w:r>
          </w:p>
          <w:p w14:paraId="4672D96E">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default" w:eastAsia="仿宋_GB2312"/>
                <w:bCs/>
                <w:color w:val="auto"/>
                <w:sz w:val="24"/>
                <w:highlight w:val="none"/>
              </w:rPr>
              <w:t>由于水吸收后的气体还含有一些不容易被水吸收的有机废气，本次方案采用活性炭吸附法对有机废气进一步处理，如果气体中水含量较大会严重影响活性炭的吸附效果，因此本次方案为了保护活性炭的吸附效果，在水吸收装置和活性炭吸附装置之间再加一道气液分离器用于分离烟气携带的液滴。烟气流经除雾器时，液滴由于惯性作用，留在挡板上。</w:t>
            </w:r>
          </w:p>
          <w:p w14:paraId="09E66AC2">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eastAsia" w:eastAsia="仿宋_GB2312"/>
                <w:bCs/>
                <w:color w:val="auto"/>
                <w:sz w:val="24"/>
                <w:highlight w:val="none"/>
                <w:lang w:eastAsia="zh-CN"/>
              </w:rPr>
              <w:t>（</w:t>
            </w:r>
            <w:r>
              <w:rPr>
                <w:rFonts w:hint="eastAsia" w:eastAsia="仿宋_GB2312"/>
                <w:bCs/>
                <w:color w:val="auto"/>
                <w:sz w:val="24"/>
                <w:highlight w:val="none"/>
                <w:lang w:val="en-US" w:eastAsia="zh-CN"/>
              </w:rPr>
              <w:t>4</w:t>
            </w:r>
            <w:r>
              <w:rPr>
                <w:rFonts w:hint="eastAsia" w:eastAsia="仿宋_GB2312"/>
                <w:bCs/>
                <w:color w:val="auto"/>
                <w:sz w:val="24"/>
                <w:highlight w:val="none"/>
                <w:lang w:eastAsia="zh-CN"/>
              </w:rPr>
              <w:t>）</w:t>
            </w:r>
            <w:r>
              <w:rPr>
                <w:rFonts w:hint="default" w:eastAsia="仿宋_GB2312"/>
                <w:bCs/>
                <w:color w:val="auto"/>
                <w:sz w:val="24"/>
                <w:highlight w:val="none"/>
              </w:rPr>
              <w:t>活性炭吸附装置</w:t>
            </w:r>
          </w:p>
          <w:p w14:paraId="2AD1C539">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default" w:eastAsia="仿宋_GB2312"/>
                <w:bCs/>
                <w:color w:val="auto"/>
                <w:sz w:val="24"/>
                <w:highlight w:val="none"/>
              </w:rPr>
              <w:t>水吸收后的气体还含有一些不容易被水吸收的有机废气，本次方案采用两级活性炭吸附法对有机废气进一步处理，以确保废气稳定达标排放。</w:t>
            </w:r>
          </w:p>
          <w:p w14:paraId="48E722AF">
            <w:pPr>
              <w:keepNext w:val="0"/>
              <w:keepLines w:val="0"/>
              <w:suppressLineNumbers w:val="0"/>
              <w:snapToGrid w:val="0"/>
              <w:spacing w:before="0" w:beforeAutospacing="0" w:after="0" w:afterAutospacing="0" w:line="500" w:lineRule="exact"/>
              <w:ind w:left="0" w:right="0" w:firstLine="480" w:firstLineChars="200"/>
              <w:rPr>
                <w:rFonts w:hint="default" w:eastAsia="仿宋_GB2312"/>
                <w:bCs/>
                <w:color w:val="auto"/>
                <w:sz w:val="24"/>
                <w:highlight w:val="none"/>
              </w:rPr>
            </w:pPr>
            <w:r>
              <w:rPr>
                <w:rFonts w:hint="default" w:eastAsia="仿宋_GB2312"/>
                <w:bCs/>
                <w:color w:val="auto"/>
                <w:sz w:val="24"/>
                <w:highlight w:val="none"/>
              </w:rPr>
              <w:t>项目废气措施主要设计参数见</w:t>
            </w:r>
            <w:r>
              <w:rPr>
                <w:rFonts w:hint="eastAsia" w:eastAsia="仿宋_GB2312"/>
                <w:bCs/>
                <w:color w:val="auto"/>
                <w:sz w:val="24"/>
                <w:highlight w:val="none"/>
                <w:lang w:eastAsia="zh-CN"/>
              </w:rPr>
              <w:t>下</w:t>
            </w:r>
            <w:r>
              <w:rPr>
                <w:rFonts w:hint="default" w:eastAsia="仿宋_GB2312"/>
                <w:bCs/>
                <w:color w:val="auto"/>
                <w:sz w:val="24"/>
                <w:highlight w:val="none"/>
              </w:rPr>
              <w:t>表。</w:t>
            </w:r>
          </w:p>
          <w:p w14:paraId="61293C4A">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4-7</w:t>
            </w:r>
            <w:r>
              <w:rPr>
                <w:rFonts w:hint="default" w:ascii="Times New Roman" w:hAnsi="Times New Roman" w:eastAsia="仿宋_GB2312" w:cs="Times New Roman"/>
                <w:b/>
                <w:color w:val="auto"/>
                <w:sz w:val="22"/>
                <w:szCs w:val="22"/>
              </w:rPr>
              <w:t xml:space="preserve"> 废气措施主要设计参数</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382"/>
              <w:gridCol w:w="5184"/>
              <w:gridCol w:w="908"/>
              <w:gridCol w:w="1652"/>
            </w:tblGrid>
            <w:tr w14:paraId="34CFE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3" w:type="pct"/>
                  <w:vAlign w:val="center"/>
                </w:tcPr>
                <w:p w14:paraId="4A32C65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处理系统</w:t>
                  </w:r>
                </w:p>
              </w:tc>
              <w:tc>
                <w:tcPr>
                  <w:tcW w:w="694" w:type="pct"/>
                  <w:vAlign w:val="center"/>
                </w:tcPr>
                <w:p w14:paraId="113A42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设备名称</w:t>
                  </w:r>
                </w:p>
              </w:tc>
              <w:tc>
                <w:tcPr>
                  <w:tcW w:w="2539" w:type="pct"/>
                  <w:vAlign w:val="center"/>
                </w:tcPr>
                <w:p w14:paraId="6008DC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规格参数</w:t>
                  </w:r>
                </w:p>
              </w:tc>
              <w:tc>
                <w:tcPr>
                  <w:tcW w:w="464" w:type="pct"/>
                  <w:vAlign w:val="center"/>
                </w:tcPr>
                <w:p w14:paraId="269D27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数量</w:t>
                  </w:r>
                </w:p>
              </w:tc>
              <w:tc>
                <w:tcPr>
                  <w:tcW w:w="708" w:type="pct"/>
                  <w:vAlign w:val="center"/>
                </w:tcPr>
                <w:p w14:paraId="5C0F4FA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备注</w:t>
                  </w:r>
                </w:p>
              </w:tc>
            </w:tr>
            <w:tr w14:paraId="22585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3" w:type="pct"/>
                  <w:vMerge w:val="restart"/>
                  <w:vAlign w:val="center"/>
                </w:tcPr>
                <w:p w14:paraId="24B9C1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eastAsia" w:eastAsia="仿宋_GB2312" w:cs="Times New Roman"/>
                      <w:bCs/>
                      <w:color w:val="1D35AD"/>
                      <w:sz w:val="21"/>
                      <w:lang w:eastAsia="zh-CN"/>
                    </w:rPr>
                    <w:t>袋式</w:t>
                  </w:r>
                  <w:r>
                    <w:rPr>
                      <w:rFonts w:hint="default" w:ascii="Times New Roman" w:hAnsi="Times New Roman" w:eastAsia="仿宋_GB2312" w:cs="Times New Roman"/>
                      <w:bCs/>
                      <w:color w:val="1D35AD"/>
                      <w:sz w:val="21"/>
                    </w:rPr>
                    <w:t>除尘</w:t>
                  </w:r>
                </w:p>
              </w:tc>
              <w:tc>
                <w:tcPr>
                  <w:tcW w:w="694" w:type="pct"/>
                  <w:vAlign w:val="center"/>
                </w:tcPr>
                <w:p w14:paraId="2B93C636">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脉冲式滤筒除尘器</w:t>
                  </w:r>
                </w:p>
              </w:tc>
              <w:tc>
                <w:tcPr>
                  <w:tcW w:w="2539" w:type="pct"/>
                  <w:vAlign w:val="center"/>
                </w:tcPr>
                <w:p w14:paraId="4402EE5D">
                  <w:pPr>
                    <w:pStyle w:val="81"/>
                    <w:keepNext w:val="0"/>
                    <w:keepLines w:val="0"/>
                    <w:widowControl w:val="0"/>
                    <w:suppressLineNumbers w:val="0"/>
                    <w:autoSpaceDE w:val="0"/>
                    <w:autoSpaceDN w:val="0"/>
                    <w:spacing w:before="0" w:beforeAutospacing="0" w:after="0" w:afterAutospacing="0" w:line="320" w:lineRule="atLeast"/>
                    <w:ind w:left="0" w:right="0"/>
                    <w:jc w:val="center"/>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外形尺寸：1500*1200*2500</w:t>
                  </w:r>
                </w:p>
                <w:p w14:paraId="0DD98AB5">
                  <w:pPr>
                    <w:pStyle w:val="81"/>
                    <w:keepNext w:val="0"/>
                    <w:keepLines w:val="0"/>
                    <w:widowControl w:val="0"/>
                    <w:suppressLineNumbers w:val="0"/>
                    <w:autoSpaceDE w:val="0"/>
                    <w:autoSpaceDN w:val="0"/>
                    <w:spacing w:before="0" w:beforeAutospacing="0" w:after="0" w:afterAutospacing="0" w:line="320" w:lineRule="atLeast"/>
                    <w:ind w:left="0" w:right="0"/>
                    <w:jc w:val="center"/>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滤筒型号：Φ320*600，</w:t>
                  </w:r>
                </w:p>
                <w:p w14:paraId="43A1205C">
                  <w:pPr>
                    <w:pStyle w:val="81"/>
                    <w:keepNext w:val="0"/>
                    <w:keepLines w:val="0"/>
                    <w:widowControl w:val="0"/>
                    <w:suppressLineNumbers w:val="0"/>
                    <w:autoSpaceDE w:val="0"/>
                    <w:autoSpaceDN w:val="0"/>
                    <w:spacing w:before="0" w:beforeAutospacing="0" w:after="0" w:afterAutospacing="0" w:line="320" w:lineRule="atLeast"/>
                    <w:ind w:left="0" w:right="0"/>
                    <w:jc w:val="center"/>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滤筒材质：涤纶针刺毡，6筒，</w:t>
                  </w:r>
                </w:p>
                <w:p w14:paraId="40046338">
                  <w:pPr>
                    <w:pStyle w:val="81"/>
                    <w:keepNext w:val="0"/>
                    <w:keepLines w:val="0"/>
                    <w:widowControl w:val="0"/>
                    <w:suppressLineNumbers w:val="0"/>
                    <w:autoSpaceDE w:val="0"/>
                    <w:autoSpaceDN w:val="0"/>
                    <w:spacing w:before="0" w:beforeAutospacing="0" w:after="0" w:afterAutospacing="0" w:line="320" w:lineRule="atLeast"/>
                    <w:ind w:left="0" w:right="0"/>
                    <w:jc w:val="center"/>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机体材质：SUS304，厚度1.5mm</w:t>
                  </w:r>
                </w:p>
                <w:p w14:paraId="13EF9DB8">
                  <w:pPr>
                    <w:pStyle w:val="81"/>
                    <w:keepNext w:val="0"/>
                    <w:keepLines w:val="0"/>
                    <w:widowControl w:val="0"/>
                    <w:suppressLineNumbers w:val="0"/>
                    <w:autoSpaceDE w:val="0"/>
                    <w:autoSpaceDN w:val="0"/>
                    <w:spacing w:before="0" w:beforeAutospacing="0" w:after="0" w:afterAutospacing="0" w:line="320" w:lineRule="atLeast"/>
                    <w:ind w:left="0" w:right="0"/>
                    <w:jc w:val="center"/>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处理风量：4000m³/h,</w:t>
                  </w:r>
                </w:p>
                <w:p w14:paraId="661CDFFF">
                  <w:pPr>
                    <w:pStyle w:val="81"/>
                    <w:keepNext w:val="0"/>
                    <w:keepLines w:val="0"/>
                    <w:widowControl w:val="0"/>
                    <w:suppressLineNumbers w:val="0"/>
                    <w:autoSpaceDE w:val="0"/>
                    <w:autoSpaceDN w:val="0"/>
                    <w:spacing w:before="0" w:beforeAutospacing="0" w:after="0" w:afterAutospacing="0" w:line="320" w:lineRule="atLeast"/>
                    <w:ind w:left="0" w:right="0"/>
                    <w:jc w:val="center"/>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kern w:val="2"/>
                      <w:sz w:val="21"/>
                      <w:szCs w:val="21"/>
                    </w:rPr>
                    <w:t>设备风阻：≤1000Pa</w:t>
                  </w:r>
                </w:p>
                <w:p w14:paraId="1B98B3B3">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含无焰式泄爆器、高温压差报警、消防喷淋、故障报警、自动锁气卸灰装置</w:t>
                  </w:r>
                </w:p>
              </w:tc>
              <w:tc>
                <w:tcPr>
                  <w:tcW w:w="464" w:type="pct"/>
                  <w:vAlign w:val="center"/>
                </w:tcPr>
                <w:p w14:paraId="2ECA55E7">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708" w:type="pct"/>
                  <w:vAlign w:val="center"/>
                </w:tcPr>
                <w:p w14:paraId="55BA2D0F">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不锈钢304</w:t>
                  </w:r>
                </w:p>
              </w:tc>
            </w:tr>
            <w:tr w14:paraId="7B3E2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3" w:type="pct"/>
                  <w:vMerge w:val="continue"/>
                  <w:vAlign w:val="center"/>
                </w:tcPr>
                <w:p w14:paraId="655F1C1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694" w:type="pct"/>
                  <w:vAlign w:val="center"/>
                </w:tcPr>
                <w:p w14:paraId="288396E2">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风机</w:t>
                  </w:r>
                </w:p>
              </w:tc>
              <w:tc>
                <w:tcPr>
                  <w:tcW w:w="2539" w:type="pct"/>
                  <w:vAlign w:val="center"/>
                </w:tcPr>
                <w:p w14:paraId="202B7F61">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材质：碳钢风机</w:t>
                  </w:r>
                </w:p>
                <w:p w14:paraId="26A02267">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风量：3500-6500m</w:t>
                  </w:r>
                  <w:r>
                    <w:rPr>
                      <w:rFonts w:hint="default" w:ascii="Times New Roman" w:hAnsi="Times New Roman" w:eastAsia="仿宋_GB2312" w:cs="Times New Roman"/>
                      <w:color w:val="auto"/>
                      <w:sz w:val="21"/>
                      <w:vertAlign w:val="superscript"/>
                    </w:rPr>
                    <w:t>3</w:t>
                  </w:r>
                  <w:r>
                    <w:rPr>
                      <w:rFonts w:hint="default" w:ascii="Times New Roman" w:hAnsi="Times New Roman" w:eastAsia="仿宋_GB2312" w:cs="Times New Roman"/>
                      <w:color w:val="auto"/>
                      <w:sz w:val="21"/>
                    </w:rPr>
                    <w:t>/h</w:t>
                  </w:r>
                </w:p>
                <w:p w14:paraId="3EB3DF08">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全压：2100-1300Pa</w:t>
                  </w:r>
                </w:p>
                <w:p w14:paraId="7E2D24F1">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功率：5.5kw，</w:t>
                  </w:r>
                </w:p>
                <w:p w14:paraId="5D6422BE">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数量：1台</w:t>
                  </w:r>
                </w:p>
              </w:tc>
              <w:tc>
                <w:tcPr>
                  <w:tcW w:w="464" w:type="pct"/>
                  <w:vAlign w:val="center"/>
                </w:tcPr>
                <w:p w14:paraId="5CBBC99B">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708" w:type="pct"/>
                  <w:vAlign w:val="center"/>
                </w:tcPr>
                <w:p w14:paraId="71936BE5">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r>
            <w:tr w14:paraId="0097F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3" w:type="pct"/>
                  <w:vMerge w:val="continue"/>
                  <w:vAlign w:val="center"/>
                </w:tcPr>
                <w:p w14:paraId="1762BBF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p>
              </w:tc>
              <w:tc>
                <w:tcPr>
                  <w:tcW w:w="694" w:type="pct"/>
                  <w:vAlign w:val="center"/>
                </w:tcPr>
                <w:p w14:paraId="1DEE3570">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排气筒</w:t>
                  </w:r>
                </w:p>
              </w:tc>
              <w:tc>
                <w:tcPr>
                  <w:tcW w:w="2539" w:type="pct"/>
                  <w:vAlign w:val="center"/>
                </w:tcPr>
                <w:p w14:paraId="05982FA1">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设计风量：4000m</w:t>
                  </w:r>
                  <w:r>
                    <w:rPr>
                      <w:rFonts w:hint="default" w:ascii="Times New Roman" w:hAnsi="Times New Roman" w:eastAsia="仿宋_GB2312" w:cs="Times New Roman"/>
                      <w:color w:val="auto"/>
                      <w:sz w:val="21"/>
                      <w:vertAlign w:val="superscript"/>
                    </w:rPr>
                    <w:t>3</w:t>
                  </w:r>
                  <w:r>
                    <w:rPr>
                      <w:rFonts w:hint="default" w:ascii="Times New Roman" w:hAnsi="Times New Roman" w:eastAsia="仿宋_GB2312" w:cs="Times New Roman"/>
                      <w:color w:val="auto"/>
                      <w:sz w:val="21"/>
                    </w:rPr>
                    <w:t>/h</w:t>
                  </w:r>
                </w:p>
                <w:p w14:paraId="02E2DC2B">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设计流速：13.27m/s</w:t>
                  </w:r>
                </w:p>
                <w:p w14:paraId="5B1D1B88">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直径：0.3m</w:t>
                  </w:r>
                </w:p>
                <w:p w14:paraId="09CEC068">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高度：15m</w:t>
                  </w:r>
                </w:p>
                <w:p w14:paraId="001FC0A9">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数量：1根</w:t>
                  </w:r>
                </w:p>
                <w:p w14:paraId="633404E4">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其他：设置规范的监测平台和采样孔等</w:t>
                  </w:r>
                </w:p>
              </w:tc>
              <w:tc>
                <w:tcPr>
                  <w:tcW w:w="464" w:type="pct"/>
                  <w:vAlign w:val="center"/>
                </w:tcPr>
                <w:p w14:paraId="094D6181">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708" w:type="pct"/>
                  <w:vAlign w:val="center"/>
                </w:tcPr>
                <w:p w14:paraId="710DB119">
                  <w:pPr>
                    <w:keepNext w:val="0"/>
                    <w:keepLines w:val="0"/>
                    <w:suppressLineNumbers w:val="0"/>
                    <w:spacing w:before="0" w:beforeAutospacing="0" w:after="0" w:afterAutospacing="0" w:line="320" w:lineRule="atLeas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r>
            <w:tr w14:paraId="61FF8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 w:type="pct"/>
                  <w:vMerge w:val="restart"/>
                  <w:vAlign w:val="center"/>
                </w:tcPr>
                <w:p w14:paraId="11A0CC6C">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酸吸收+碱吸收+除雾器+ +两级活性炭吸附</w:t>
                  </w:r>
                </w:p>
              </w:tc>
              <w:tc>
                <w:tcPr>
                  <w:tcW w:w="694" w:type="pct"/>
                  <w:vAlign w:val="center"/>
                </w:tcPr>
                <w:p w14:paraId="03C11EC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吸收塔</w:t>
                  </w:r>
                </w:p>
              </w:tc>
              <w:tc>
                <w:tcPr>
                  <w:tcW w:w="2539" w:type="pct"/>
                  <w:vAlign w:val="center"/>
                </w:tcPr>
                <w:p w14:paraId="728D7D9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风量：Q=4500m</w:t>
                  </w:r>
                  <w:r>
                    <w:rPr>
                      <w:rFonts w:hint="default" w:ascii="Times New Roman" w:hAnsi="Times New Roman" w:eastAsia="仿宋_GB2312" w:cs="Times New Roman"/>
                      <w:color w:val="auto"/>
                      <w:sz w:val="21"/>
                      <w:vertAlign w:val="superscript"/>
                    </w:rPr>
                    <w:t>3</w:t>
                  </w:r>
                  <w:r>
                    <w:rPr>
                      <w:rFonts w:hint="default" w:ascii="Times New Roman" w:hAnsi="Times New Roman" w:eastAsia="仿宋_GB2312" w:cs="Times New Roman"/>
                      <w:color w:val="auto"/>
                      <w:sz w:val="21"/>
                    </w:rPr>
                    <w:t>/h</w:t>
                  </w:r>
                </w:p>
                <w:p w14:paraId="2A5D2A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空速：1.22m/s</w:t>
                  </w:r>
                </w:p>
                <w:p w14:paraId="597A32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塔径：D=1.0m</w:t>
                  </w:r>
                </w:p>
                <w:p w14:paraId="2E3C495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塔高：H=2.5m</w:t>
                  </w:r>
                </w:p>
                <w:p w14:paraId="426153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填料高度：h=0.6m</w:t>
                  </w:r>
                </w:p>
                <w:p w14:paraId="6343D5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填料材质：pp鲍尔环</w:t>
                  </w:r>
                </w:p>
                <w:p w14:paraId="580EC97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空时：T=4.0s</w:t>
                  </w:r>
                </w:p>
                <w:p w14:paraId="51C8090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单级压力损失：200Pa</w:t>
                  </w:r>
                </w:p>
                <w:p w14:paraId="1A077E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sz w:val="21"/>
                    </w:rPr>
                    <w:t>其他：塔顶设除雾器等；配置液位连锁自动补水阀门</w:t>
                  </w:r>
                </w:p>
              </w:tc>
              <w:tc>
                <w:tcPr>
                  <w:tcW w:w="464" w:type="pct"/>
                  <w:vAlign w:val="center"/>
                </w:tcPr>
                <w:p w14:paraId="67CE91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708" w:type="pct"/>
                  <w:vAlign w:val="center"/>
                </w:tcPr>
                <w:p w14:paraId="2800D93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color w:val="auto"/>
                      <w:sz w:val="21"/>
                    </w:rPr>
                    <w:t>塔体材质10mmPPH板</w:t>
                  </w:r>
                </w:p>
              </w:tc>
            </w:tr>
            <w:tr w14:paraId="451E2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3" w:type="pct"/>
                  <w:vMerge w:val="continue"/>
                  <w:vAlign w:val="center"/>
                </w:tcPr>
                <w:p w14:paraId="034BF59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rPr>
                  </w:pPr>
                </w:p>
              </w:tc>
              <w:tc>
                <w:tcPr>
                  <w:tcW w:w="694" w:type="pct"/>
                  <w:vAlign w:val="center"/>
                </w:tcPr>
                <w:p w14:paraId="4C5B948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加药系统</w:t>
                  </w:r>
                </w:p>
              </w:tc>
              <w:tc>
                <w:tcPr>
                  <w:tcW w:w="2539" w:type="pct"/>
                  <w:vAlign w:val="center"/>
                </w:tcPr>
                <w:p w14:paraId="3DE710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含加酸加碱泵和储酸罐</w:t>
                  </w:r>
                </w:p>
              </w:tc>
              <w:tc>
                <w:tcPr>
                  <w:tcW w:w="464" w:type="pct"/>
                  <w:vAlign w:val="center"/>
                </w:tcPr>
                <w:p w14:paraId="5910D0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708" w:type="pct"/>
                  <w:vAlign w:val="center"/>
                </w:tcPr>
                <w:p w14:paraId="0C83AA1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r>
            <w:tr w14:paraId="52415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3" w:type="pct"/>
                  <w:vMerge w:val="continue"/>
                  <w:vAlign w:val="center"/>
                </w:tcPr>
                <w:p w14:paraId="43B357E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rPr>
                  </w:pPr>
                </w:p>
              </w:tc>
              <w:tc>
                <w:tcPr>
                  <w:tcW w:w="694" w:type="pct"/>
                  <w:vAlign w:val="center"/>
                </w:tcPr>
                <w:p w14:paraId="32DC5B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两活性炭吸附箱</w:t>
                  </w:r>
                </w:p>
              </w:tc>
              <w:tc>
                <w:tcPr>
                  <w:tcW w:w="2539" w:type="pct"/>
                  <w:vAlign w:val="center"/>
                </w:tcPr>
                <w:p w14:paraId="52CBC39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箱体</w:t>
                  </w:r>
                  <w:r>
                    <w:rPr>
                      <w:rFonts w:hint="default" w:ascii="Times New Roman" w:hAnsi="Times New Roman" w:eastAsia="仿宋_GB2312" w:cs="Times New Roman"/>
                      <w:bCs/>
                      <w:color w:val="auto"/>
                      <w:sz w:val="21"/>
                    </w:rPr>
                    <w:t>1000×600×1000</w:t>
                  </w:r>
                </w:p>
                <w:p w14:paraId="730A13D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两层200mm蜂窝状活性炭</w:t>
                  </w:r>
                </w:p>
                <w:p w14:paraId="7252CAF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活性碳装填料0.52m³</w:t>
                  </w:r>
                </w:p>
                <w:p w14:paraId="7C7F79A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过滤面积0.26m</w:t>
                  </w:r>
                  <w:r>
                    <w:rPr>
                      <w:rFonts w:hint="default" w:ascii="Times New Roman" w:hAnsi="Times New Roman" w:eastAsia="仿宋_GB2312" w:cs="Times New Roman"/>
                      <w:color w:val="auto"/>
                      <w:sz w:val="21"/>
                      <w:vertAlign w:val="superscript"/>
                    </w:rPr>
                    <w:t>2</w:t>
                  </w:r>
                </w:p>
              </w:tc>
              <w:tc>
                <w:tcPr>
                  <w:tcW w:w="464" w:type="pct"/>
                  <w:vAlign w:val="center"/>
                </w:tcPr>
                <w:p w14:paraId="532D62B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708" w:type="pct"/>
                  <w:vAlign w:val="center"/>
                </w:tcPr>
                <w:p w14:paraId="10D10C8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r>
            <w:tr w14:paraId="7773B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3" w:type="pct"/>
                  <w:vMerge w:val="continue"/>
                  <w:vAlign w:val="center"/>
                </w:tcPr>
                <w:p w14:paraId="48C551B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rPr>
                  </w:pPr>
                </w:p>
              </w:tc>
              <w:tc>
                <w:tcPr>
                  <w:tcW w:w="694" w:type="pct"/>
                  <w:vAlign w:val="center"/>
                </w:tcPr>
                <w:p w14:paraId="7A4E12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风机</w:t>
                  </w:r>
                </w:p>
              </w:tc>
              <w:tc>
                <w:tcPr>
                  <w:tcW w:w="2539" w:type="pct"/>
                  <w:vAlign w:val="center"/>
                </w:tcPr>
                <w:p w14:paraId="0D5E69B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材质：玻璃钢风机</w:t>
                  </w:r>
                </w:p>
                <w:p w14:paraId="0A5D47D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风量：3850-7200m</w:t>
                  </w:r>
                  <w:r>
                    <w:rPr>
                      <w:rFonts w:hint="default" w:ascii="Times New Roman" w:hAnsi="Times New Roman" w:eastAsia="仿宋_GB2312" w:cs="Times New Roman"/>
                      <w:color w:val="auto"/>
                      <w:sz w:val="21"/>
                      <w:vertAlign w:val="superscript"/>
                    </w:rPr>
                    <w:t>3</w:t>
                  </w:r>
                  <w:r>
                    <w:rPr>
                      <w:rFonts w:hint="default" w:ascii="Times New Roman" w:hAnsi="Times New Roman" w:eastAsia="仿宋_GB2312" w:cs="Times New Roman"/>
                      <w:color w:val="auto"/>
                      <w:sz w:val="21"/>
                    </w:rPr>
                    <w:t>/h</w:t>
                  </w:r>
                </w:p>
                <w:p w14:paraId="1878BF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全压：1500-2100Pa</w:t>
                  </w:r>
                </w:p>
                <w:p w14:paraId="7D7749C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功率：5.5kw，变频电机</w:t>
                  </w:r>
                </w:p>
                <w:p w14:paraId="55F7B7C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数量：1台</w:t>
                  </w:r>
                </w:p>
              </w:tc>
              <w:tc>
                <w:tcPr>
                  <w:tcW w:w="464" w:type="pct"/>
                  <w:vAlign w:val="center"/>
                </w:tcPr>
                <w:p w14:paraId="733537A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708" w:type="pct"/>
                  <w:vAlign w:val="center"/>
                </w:tcPr>
                <w:p w14:paraId="42C189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4/68-4.5A/5.5kw</w:t>
                  </w:r>
                </w:p>
              </w:tc>
            </w:tr>
            <w:tr w14:paraId="21F46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93" w:type="pct"/>
                  <w:vMerge w:val="continue"/>
                  <w:vAlign w:val="center"/>
                </w:tcPr>
                <w:p w14:paraId="6B52EF7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rPr>
                  </w:pPr>
                </w:p>
              </w:tc>
              <w:tc>
                <w:tcPr>
                  <w:tcW w:w="694" w:type="pct"/>
                  <w:vAlign w:val="center"/>
                </w:tcPr>
                <w:p w14:paraId="69FC86F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排气筒</w:t>
                  </w:r>
                </w:p>
              </w:tc>
              <w:tc>
                <w:tcPr>
                  <w:tcW w:w="2539" w:type="pct"/>
                  <w:vAlign w:val="center"/>
                </w:tcPr>
                <w:p w14:paraId="6F461FC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设计风量：4500m</w:t>
                  </w:r>
                  <w:r>
                    <w:rPr>
                      <w:rFonts w:hint="default" w:ascii="Times New Roman" w:hAnsi="Times New Roman" w:eastAsia="仿宋_GB2312" w:cs="Times New Roman"/>
                      <w:color w:val="auto"/>
                      <w:sz w:val="21"/>
                      <w:vertAlign w:val="superscript"/>
                    </w:rPr>
                    <w:t>3</w:t>
                  </w:r>
                  <w:r>
                    <w:rPr>
                      <w:rFonts w:hint="default" w:ascii="Times New Roman" w:hAnsi="Times New Roman" w:eastAsia="仿宋_GB2312" w:cs="Times New Roman"/>
                      <w:color w:val="auto"/>
                      <w:sz w:val="21"/>
                    </w:rPr>
                    <w:t>/h</w:t>
                  </w:r>
                </w:p>
                <w:p w14:paraId="7D6C444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设计流速：14.5m/s</w:t>
                  </w:r>
                </w:p>
                <w:p w14:paraId="1CE470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直径：0.4m</w:t>
                  </w:r>
                </w:p>
                <w:p w14:paraId="00FAEBA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高度：15m</w:t>
                  </w:r>
                </w:p>
                <w:p w14:paraId="15191F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数量：1根</w:t>
                  </w:r>
                </w:p>
                <w:p w14:paraId="067CE3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其他：设置规范的监测平台和采样孔等</w:t>
                  </w:r>
                </w:p>
              </w:tc>
              <w:tc>
                <w:tcPr>
                  <w:tcW w:w="464" w:type="pct"/>
                  <w:vAlign w:val="center"/>
                </w:tcPr>
                <w:p w14:paraId="5B11583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708" w:type="pct"/>
                  <w:vAlign w:val="center"/>
                </w:tcPr>
                <w:p w14:paraId="218750F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离地面15m</w:t>
                  </w:r>
                </w:p>
              </w:tc>
            </w:tr>
          </w:tbl>
          <w:p w14:paraId="086493F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2" w:firstLineChars="200"/>
              <w:textAlignment w:val="auto"/>
              <w:rPr>
                <w:rFonts w:hint="default" w:eastAsia="仿宋_GB2312"/>
                <w:b/>
                <w:bCs w:val="0"/>
                <w:color w:val="auto"/>
                <w:sz w:val="24"/>
                <w:lang w:eastAsia="zh-CN"/>
              </w:rPr>
            </w:pPr>
            <w:r>
              <w:rPr>
                <w:rFonts w:hint="default" w:eastAsia="仿宋_GB2312"/>
                <w:b/>
                <w:bCs w:val="0"/>
                <w:color w:val="auto"/>
                <w:sz w:val="24"/>
                <w:lang w:eastAsia="zh-CN"/>
              </w:rPr>
              <w:t>②技术可行性分析</w:t>
            </w:r>
          </w:p>
          <w:p w14:paraId="6AEAB055">
            <w:pPr>
              <w:pStyle w:val="2"/>
              <w:keepNext w:val="0"/>
              <w:keepLines w:val="0"/>
              <w:pageBreakBefore w:val="0"/>
              <w:suppressLineNumbers w:val="0"/>
              <w:kinsoku/>
              <w:wordWrap/>
              <w:overflowPunct/>
              <w:topLinePunct w:val="0"/>
              <w:autoSpaceDE/>
              <w:autoSpaceDN/>
              <w:bidi w:val="0"/>
              <w:adjustRightInd/>
              <w:spacing w:beforeAutospacing="0" w:after="0" w:afterAutospacing="0" w:line="500" w:lineRule="exact"/>
              <w:ind w:left="0" w:right="0" w:firstLine="482" w:firstLineChars="200"/>
              <w:jc w:val="both"/>
              <w:textAlignment w:val="auto"/>
              <w:rPr>
                <w:rFonts w:hint="default" w:ascii="Times New Roman" w:hAnsi="Times New Roman" w:eastAsia="仿宋_GB2312" w:cs="Times New Roman"/>
                <w:b/>
                <w:bCs w:val="0"/>
                <w:color w:val="auto"/>
                <w:kern w:val="2"/>
                <w:sz w:val="24"/>
                <w:szCs w:val="24"/>
                <w:highlight w:val="none"/>
                <w:lang w:val="en-US" w:eastAsia="zh-CN" w:bidi="ar-SA"/>
              </w:rPr>
            </w:pPr>
            <w:r>
              <w:rPr>
                <w:rFonts w:hint="eastAsia" w:ascii="Times New Roman" w:hAnsi="Times New Roman" w:eastAsia="仿宋_GB2312" w:cs="Times New Roman"/>
                <w:b/>
                <w:bCs w:val="0"/>
                <w:color w:val="auto"/>
                <w:kern w:val="2"/>
                <w:sz w:val="24"/>
                <w:szCs w:val="24"/>
                <w:highlight w:val="none"/>
                <w:lang w:val="en-US" w:eastAsia="zh-CN" w:bidi="ar-SA"/>
              </w:rPr>
              <w:t>有</w:t>
            </w:r>
            <w:r>
              <w:rPr>
                <w:rFonts w:hint="default" w:ascii="Times New Roman" w:hAnsi="Times New Roman" w:eastAsia="仿宋_GB2312" w:cs="Times New Roman"/>
                <w:b/>
                <w:bCs w:val="0"/>
                <w:color w:val="auto"/>
                <w:kern w:val="2"/>
                <w:sz w:val="24"/>
                <w:szCs w:val="24"/>
                <w:highlight w:val="none"/>
                <w:lang w:val="en-US" w:eastAsia="zh-CN" w:bidi="ar-SA"/>
              </w:rPr>
              <w:t>组织废气治理工艺可行性和可靠性论证</w:t>
            </w:r>
          </w:p>
          <w:p w14:paraId="5C00C8E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bCs/>
                <w:color w:val="auto"/>
                <w:kern w:val="2"/>
                <w:sz w:val="24"/>
                <w:szCs w:val="24"/>
                <w:highlight w:val="none"/>
                <w:lang w:val="zh-CN" w:eastAsia="zh-CN" w:bidi="ar-SA"/>
              </w:rPr>
            </w:pPr>
            <w:r>
              <w:rPr>
                <w:rFonts w:hint="eastAsia" w:ascii="Times New Roman" w:hAnsi="Times New Roman" w:eastAsia="仿宋_GB2312" w:cs="Times New Roman"/>
                <w:bCs/>
                <w:color w:val="auto"/>
                <w:kern w:val="2"/>
                <w:sz w:val="24"/>
                <w:szCs w:val="24"/>
                <w:highlight w:val="none"/>
                <w:lang w:val="zh-CN" w:eastAsia="zh-CN" w:bidi="ar-SA"/>
              </w:rPr>
              <w:t>一、工程实例</w:t>
            </w:r>
          </w:p>
          <w:p w14:paraId="0108F85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bCs/>
                <w:color w:val="auto"/>
                <w:kern w:val="2"/>
                <w:sz w:val="24"/>
                <w:szCs w:val="24"/>
                <w:highlight w:val="none"/>
                <w:lang w:val="en-US" w:eastAsia="zh-CN" w:bidi="ar-SA"/>
              </w:rPr>
            </w:pPr>
            <w:r>
              <w:rPr>
                <w:rFonts w:hint="eastAsia" w:ascii="Times New Roman" w:hAnsi="Times New Roman" w:eastAsia="仿宋_GB2312" w:cs="Times New Roman"/>
                <w:bCs/>
                <w:color w:val="auto"/>
                <w:kern w:val="2"/>
                <w:sz w:val="24"/>
                <w:szCs w:val="24"/>
                <w:highlight w:val="none"/>
                <w:lang w:val="en-US" w:eastAsia="zh-CN" w:bidi="ar-SA"/>
              </w:rPr>
              <w:t>（1）根据《常州嘉展电子科技有限公司新建新材料生产项目环境保护竣工验收监测报告》，该项目非甲烷总烃经两级活性炭吸附装置处理后达标排放，且非甲烷总烃去除效率不低于90%，具体数据如下。</w:t>
            </w:r>
          </w:p>
          <w:p w14:paraId="118B7770">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4-8</w:t>
            </w:r>
            <w:r>
              <w:rPr>
                <w:rFonts w:hint="default" w:ascii="Times New Roman" w:hAnsi="Times New Roman" w:eastAsia="仿宋_GB2312" w:cs="Times New Roman"/>
                <w:b/>
                <w:color w:val="auto"/>
                <w:sz w:val="22"/>
                <w:szCs w:val="22"/>
              </w:rPr>
              <w:t xml:space="preserve">  两级活性炭装置工程实例检测数据</w:t>
            </w:r>
          </w:p>
          <w:tbl>
            <w:tblPr>
              <w:tblStyle w:val="111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113"/>
              <w:gridCol w:w="2785"/>
              <w:gridCol w:w="2836"/>
              <w:gridCol w:w="1672"/>
            </w:tblGrid>
            <w:tr w14:paraId="3B6E1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14:paraId="4F8866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序号</w:t>
                  </w:r>
                </w:p>
              </w:tc>
              <w:tc>
                <w:tcPr>
                  <w:tcW w:w="1026" w:type="pct"/>
                  <w:vAlign w:val="center"/>
                </w:tcPr>
                <w:p w14:paraId="68B64FE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1352" w:type="pct"/>
                  <w:vAlign w:val="center"/>
                </w:tcPr>
                <w:p w14:paraId="5159FD4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进口平均浓度（kg/h）</w:t>
                  </w:r>
                </w:p>
              </w:tc>
              <w:tc>
                <w:tcPr>
                  <w:tcW w:w="1377" w:type="pct"/>
                  <w:vAlign w:val="center"/>
                </w:tcPr>
                <w:p w14:paraId="3FBF561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出口平均浓度（kg/h）</w:t>
                  </w:r>
                </w:p>
              </w:tc>
              <w:tc>
                <w:tcPr>
                  <w:tcW w:w="812" w:type="pct"/>
                  <w:vAlign w:val="center"/>
                </w:tcPr>
                <w:p w14:paraId="381BCD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去除率（%）</w:t>
                  </w:r>
                </w:p>
              </w:tc>
            </w:tr>
            <w:tr w14:paraId="009E2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31" w:type="pct"/>
                  <w:vAlign w:val="center"/>
                </w:tcPr>
                <w:p w14:paraId="5C2C867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1026" w:type="pct"/>
                  <w:vAlign w:val="center"/>
                </w:tcPr>
                <w:p w14:paraId="203155B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非甲烷总烃</w:t>
                  </w:r>
                </w:p>
              </w:tc>
              <w:tc>
                <w:tcPr>
                  <w:tcW w:w="1352" w:type="pct"/>
                  <w:vAlign w:val="center"/>
                </w:tcPr>
                <w:p w14:paraId="7DD5153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0.207</w:t>
                  </w:r>
                </w:p>
              </w:tc>
              <w:tc>
                <w:tcPr>
                  <w:tcW w:w="1377" w:type="pct"/>
                  <w:vAlign w:val="center"/>
                </w:tcPr>
                <w:p w14:paraId="687CE94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0.013</w:t>
                  </w:r>
                </w:p>
              </w:tc>
              <w:tc>
                <w:tcPr>
                  <w:tcW w:w="812" w:type="pct"/>
                  <w:vAlign w:val="center"/>
                </w:tcPr>
                <w:p w14:paraId="05A3030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93.7</w:t>
                  </w:r>
                </w:p>
              </w:tc>
            </w:tr>
          </w:tbl>
          <w:p w14:paraId="6AA99B9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bCs/>
                <w:color w:val="auto"/>
                <w:kern w:val="2"/>
                <w:sz w:val="24"/>
                <w:szCs w:val="24"/>
                <w:highlight w:val="none"/>
                <w:lang w:val="en-US" w:eastAsia="zh-CN" w:bidi="ar-SA"/>
              </w:rPr>
            </w:pPr>
            <w:r>
              <w:rPr>
                <w:rFonts w:hint="eastAsia" w:ascii="Times New Roman" w:hAnsi="Times New Roman" w:eastAsia="仿宋_GB2312" w:cs="Times New Roman"/>
                <w:bCs/>
                <w:color w:val="auto"/>
                <w:kern w:val="2"/>
                <w:sz w:val="24"/>
                <w:szCs w:val="24"/>
                <w:highlight w:val="none"/>
                <w:lang w:val="en-US" w:eastAsia="zh-CN" w:bidi="ar-SA"/>
              </w:rPr>
              <w:t>（2）根据《安徽东方佳信建材科技有限公司年产500万平方米高分子卷材、1000万平方米改性沥青防水卷材、5000吨建筑防水材料（非卷材）项目环境保护竣工验收监测报告》，该项目水材料投料工段废气中颗粒物经袋式除尘处理后达标排放，且颗粒物去除效率可达99%以上，具体数据如下。</w:t>
            </w:r>
          </w:p>
          <w:p w14:paraId="73CB997F">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p>
          <w:p w14:paraId="76C97C69">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p>
          <w:p w14:paraId="3628E36D">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4-9</w:t>
            </w:r>
            <w:r>
              <w:rPr>
                <w:rFonts w:hint="eastAsia" w:ascii="Times New Roman" w:hAnsi="Times New Roman" w:eastAsia="仿宋_GB2312" w:cs="Times New Roman"/>
                <w:b/>
                <w:color w:val="auto"/>
                <w:sz w:val="22"/>
                <w:szCs w:val="22"/>
              </w:rPr>
              <w:t xml:space="preserve">  工程实例监测数据一览表</w:t>
            </w:r>
          </w:p>
          <w:tbl>
            <w:tblPr>
              <w:tblStyle w:val="8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7"/>
              <w:gridCol w:w="3025"/>
              <w:gridCol w:w="3324"/>
              <w:gridCol w:w="1870"/>
            </w:tblGrid>
            <w:tr w14:paraId="2282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pct"/>
                  <w:tcBorders>
                    <w:top w:val="single" w:color="auto" w:sz="12" w:space="0"/>
                    <w:left w:val="single" w:color="auto" w:sz="12" w:space="0"/>
                    <w:bottom w:val="single" w:color="auto" w:sz="4" w:space="0"/>
                    <w:right w:val="single" w:color="auto" w:sz="4" w:space="0"/>
                  </w:tcBorders>
                  <w:vAlign w:val="center"/>
                </w:tcPr>
                <w:p w14:paraId="60D751B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1466" w:type="pct"/>
                  <w:tcBorders>
                    <w:top w:val="single" w:color="auto" w:sz="12" w:space="0"/>
                    <w:left w:val="single" w:color="auto" w:sz="4" w:space="0"/>
                    <w:bottom w:val="single" w:color="auto" w:sz="4" w:space="0"/>
                    <w:right w:val="single" w:color="auto" w:sz="4" w:space="0"/>
                  </w:tcBorders>
                  <w:vAlign w:val="center"/>
                </w:tcPr>
                <w:p w14:paraId="5A1AE09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进口平均浓度（mg/m</w:t>
                  </w:r>
                  <w:r>
                    <w:rPr>
                      <w:rFonts w:hint="default" w:ascii="Times New Roman" w:hAnsi="Times New Roman" w:eastAsia="仿宋_GB2312" w:cs="Times New Roman"/>
                      <w:b/>
                      <w:bCs/>
                      <w:color w:val="auto"/>
                      <w:sz w:val="21"/>
                      <w:vertAlign w:val="superscript"/>
                    </w:rPr>
                    <w:t>3</w:t>
                  </w:r>
                  <w:r>
                    <w:rPr>
                      <w:rFonts w:hint="default" w:ascii="Times New Roman" w:hAnsi="Times New Roman" w:eastAsia="仿宋_GB2312" w:cs="Times New Roman"/>
                      <w:b/>
                      <w:bCs/>
                      <w:color w:val="auto"/>
                      <w:sz w:val="21"/>
                    </w:rPr>
                    <w:t>）</w:t>
                  </w:r>
                </w:p>
              </w:tc>
              <w:tc>
                <w:tcPr>
                  <w:tcW w:w="1611" w:type="pct"/>
                  <w:tcBorders>
                    <w:top w:val="single" w:color="auto" w:sz="12" w:space="0"/>
                    <w:left w:val="single" w:color="auto" w:sz="4" w:space="0"/>
                    <w:bottom w:val="single" w:color="auto" w:sz="4" w:space="0"/>
                    <w:right w:val="single" w:color="auto" w:sz="4" w:space="0"/>
                  </w:tcBorders>
                  <w:vAlign w:val="center"/>
                </w:tcPr>
                <w:p w14:paraId="3B2A2D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出口平均浓度（mg/m</w:t>
                  </w:r>
                  <w:r>
                    <w:rPr>
                      <w:rFonts w:hint="default" w:ascii="Times New Roman" w:hAnsi="Times New Roman" w:eastAsia="仿宋_GB2312" w:cs="Times New Roman"/>
                      <w:b/>
                      <w:bCs/>
                      <w:color w:val="auto"/>
                      <w:sz w:val="21"/>
                      <w:vertAlign w:val="superscript"/>
                    </w:rPr>
                    <w:t>3</w:t>
                  </w:r>
                  <w:r>
                    <w:rPr>
                      <w:rFonts w:hint="default" w:ascii="Times New Roman" w:hAnsi="Times New Roman" w:eastAsia="仿宋_GB2312" w:cs="Times New Roman"/>
                      <w:b/>
                      <w:bCs/>
                      <w:color w:val="auto"/>
                      <w:sz w:val="21"/>
                    </w:rPr>
                    <w:t>）</w:t>
                  </w:r>
                </w:p>
              </w:tc>
              <w:tc>
                <w:tcPr>
                  <w:tcW w:w="906" w:type="pct"/>
                  <w:tcBorders>
                    <w:top w:val="single" w:color="auto" w:sz="12" w:space="0"/>
                    <w:left w:val="single" w:color="auto" w:sz="4" w:space="0"/>
                    <w:bottom w:val="single" w:color="auto" w:sz="4" w:space="0"/>
                    <w:right w:val="single" w:color="auto" w:sz="12" w:space="0"/>
                  </w:tcBorders>
                  <w:vAlign w:val="center"/>
                </w:tcPr>
                <w:p w14:paraId="0D52ED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去除率（%）</w:t>
                  </w:r>
                </w:p>
              </w:tc>
            </w:tr>
            <w:tr w14:paraId="31E5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pct"/>
                  <w:tcBorders>
                    <w:top w:val="single" w:color="auto" w:sz="4" w:space="0"/>
                    <w:left w:val="single" w:color="auto" w:sz="12" w:space="0"/>
                    <w:bottom w:val="single" w:color="auto" w:sz="12" w:space="0"/>
                    <w:right w:val="single" w:color="auto" w:sz="4" w:space="0"/>
                  </w:tcBorders>
                  <w:vAlign w:val="center"/>
                </w:tcPr>
                <w:p w14:paraId="4473FE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颗粒物</w:t>
                  </w:r>
                </w:p>
              </w:tc>
              <w:tc>
                <w:tcPr>
                  <w:tcW w:w="1466" w:type="pct"/>
                  <w:tcBorders>
                    <w:top w:val="single" w:color="auto" w:sz="4" w:space="0"/>
                    <w:left w:val="single" w:color="auto" w:sz="4" w:space="0"/>
                    <w:bottom w:val="single" w:color="auto" w:sz="12" w:space="0"/>
                    <w:right w:val="single" w:color="auto" w:sz="4" w:space="0"/>
                  </w:tcBorders>
                  <w:vAlign w:val="center"/>
                </w:tcPr>
                <w:p w14:paraId="1DBA424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281.8</w:t>
                  </w:r>
                </w:p>
              </w:tc>
              <w:tc>
                <w:tcPr>
                  <w:tcW w:w="1611" w:type="pct"/>
                  <w:tcBorders>
                    <w:top w:val="single" w:color="auto" w:sz="4" w:space="0"/>
                    <w:left w:val="single" w:color="auto" w:sz="4" w:space="0"/>
                    <w:bottom w:val="single" w:color="auto" w:sz="12" w:space="0"/>
                    <w:right w:val="single" w:color="auto" w:sz="4" w:space="0"/>
                  </w:tcBorders>
                  <w:vAlign w:val="center"/>
                </w:tcPr>
                <w:p w14:paraId="34DB1A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2.8</w:t>
                  </w:r>
                </w:p>
              </w:tc>
              <w:tc>
                <w:tcPr>
                  <w:tcW w:w="906" w:type="pct"/>
                  <w:tcBorders>
                    <w:top w:val="single" w:color="auto" w:sz="4" w:space="0"/>
                    <w:left w:val="single" w:color="auto" w:sz="4" w:space="0"/>
                    <w:bottom w:val="single" w:color="auto" w:sz="12" w:space="0"/>
                    <w:right w:val="single" w:color="auto" w:sz="12" w:space="0"/>
                  </w:tcBorders>
                  <w:vAlign w:val="center"/>
                </w:tcPr>
                <w:p w14:paraId="346FD69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r>
          </w:tbl>
          <w:p w14:paraId="099198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bCs/>
                <w:color w:val="auto"/>
                <w:kern w:val="2"/>
                <w:sz w:val="24"/>
                <w:szCs w:val="24"/>
                <w:highlight w:val="none"/>
                <w:lang w:val="en-US" w:eastAsia="zh-CN" w:bidi="ar-SA"/>
              </w:rPr>
            </w:pPr>
            <w:r>
              <w:rPr>
                <w:rFonts w:hint="eastAsia" w:ascii="Times New Roman" w:hAnsi="Times New Roman" w:eastAsia="仿宋_GB2312" w:cs="Times New Roman"/>
                <w:bCs/>
                <w:color w:val="auto"/>
                <w:kern w:val="2"/>
                <w:sz w:val="24"/>
                <w:szCs w:val="24"/>
                <w:highlight w:val="none"/>
                <w:lang w:val="zh-CN" w:eastAsia="zh-CN" w:bidi="ar-SA"/>
              </w:rPr>
              <w:t>综上，本项目废气治理措施技术可行可靠。</w:t>
            </w:r>
          </w:p>
          <w:p w14:paraId="5F50D70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bCs/>
                <w:color w:val="auto"/>
                <w:kern w:val="2"/>
                <w:sz w:val="24"/>
                <w:szCs w:val="24"/>
                <w:highlight w:val="none"/>
                <w:lang w:val="en-US" w:eastAsia="zh-CN" w:bidi="ar-SA"/>
              </w:rPr>
            </w:pPr>
            <w:r>
              <w:rPr>
                <w:rFonts w:hint="eastAsia" w:ascii="Times New Roman" w:hAnsi="Times New Roman" w:eastAsia="仿宋_GB2312" w:cs="Times New Roman"/>
                <w:bCs/>
                <w:color w:val="auto"/>
                <w:kern w:val="2"/>
                <w:sz w:val="24"/>
                <w:szCs w:val="24"/>
                <w:highlight w:val="none"/>
                <w:lang w:val="en-US" w:eastAsia="zh-CN" w:bidi="ar-SA"/>
              </w:rPr>
              <w:t>有组织废气各污染物处理效率见下表。</w:t>
            </w:r>
          </w:p>
          <w:p w14:paraId="602183FF">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4-10</w:t>
            </w:r>
            <w:r>
              <w:rPr>
                <w:rFonts w:hint="default" w:ascii="Times New Roman" w:hAnsi="Times New Roman" w:eastAsia="仿宋_GB2312" w:cs="Times New Roman"/>
                <w:b/>
                <w:color w:val="auto"/>
                <w:sz w:val="22"/>
                <w:szCs w:val="22"/>
              </w:rPr>
              <w:t xml:space="preserve">  进入DA001的有组织废气去除效率分析</w:t>
            </w:r>
          </w:p>
          <w:tbl>
            <w:tblPr>
              <w:tblStyle w:val="87"/>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53"/>
              <w:gridCol w:w="3995"/>
              <w:gridCol w:w="3050"/>
            </w:tblGrid>
            <w:tr w14:paraId="0EA71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579" w:type="pct"/>
                  <w:vMerge w:val="restart"/>
                  <w:vAlign w:val="center"/>
                </w:tcPr>
                <w:p w14:paraId="0386C76B">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1939" w:type="pct"/>
                  <w:vMerge w:val="restart"/>
                  <w:vAlign w:val="center"/>
                </w:tcPr>
                <w:p w14:paraId="364C4466">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布袋除尘去除率%</w:t>
                  </w:r>
                </w:p>
              </w:tc>
              <w:tc>
                <w:tcPr>
                  <w:tcW w:w="1480" w:type="pct"/>
                  <w:vMerge w:val="restart"/>
                  <w:vAlign w:val="center"/>
                </w:tcPr>
                <w:p w14:paraId="487F00FB">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保守估计去除率%</w:t>
                  </w:r>
                </w:p>
              </w:tc>
            </w:tr>
            <w:tr w14:paraId="1819A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579" w:type="pct"/>
                  <w:vMerge w:val="continue"/>
                  <w:vAlign w:val="center"/>
                </w:tcPr>
                <w:p w14:paraId="285E0A3E">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p>
              </w:tc>
              <w:tc>
                <w:tcPr>
                  <w:tcW w:w="1939" w:type="pct"/>
                  <w:vMerge w:val="continue"/>
                  <w:vAlign w:val="center"/>
                </w:tcPr>
                <w:p w14:paraId="596E6778">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p>
              </w:tc>
              <w:tc>
                <w:tcPr>
                  <w:tcW w:w="1480" w:type="pct"/>
                  <w:vMerge w:val="continue"/>
                  <w:vAlign w:val="center"/>
                </w:tcPr>
                <w:p w14:paraId="6D34926C">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p>
              </w:tc>
            </w:tr>
            <w:tr w14:paraId="636F3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579" w:type="pct"/>
                  <w:vAlign w:val="center"/>
                </w:tcPr>
                <w:p w14:paraId="67A7329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颗粒物</w:t>
                  </w:r>
                </w:p>
              </w:tc>
              <w:tc>
                <w:tcPr>
                  <w:tcW w:w="1939" w:type="pct"/>
                  <w:vAlign w:val="center"/>
                </w:tcPr>
                <w:p w14:paraId="1F26F44D">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c>
                <w:tcPr>
                  <w:tcW w:w="1480" w:type="pct"/>
                  <w:vAlign w:val="center"/>
                </w:tcPr>
                <w:p w14:paraId="477D76D0">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99</w:t>
                  </w:r>
                </w:p>
              </w:tc>
            </w:tr>
          </w:tbl>
          <w:p w14:paraId="448F8725">
            <w:pPr>
              <w:keepNext w:val="0"/>
              <w:keepLines w:val="0"/>
              <w:suppressLineNumbers w:val="0"/>
              <w:adjustRightInd w:val="0"/>
              <w:snapToGrid w:val="0"/>
              <w:spacing w:before="0" w:beforeAutospacing="0" w:after="0" w:afterAutospacing="0" w:line="500" w:lineRule="exact"/>
              <w:ind w:left="0" w:right="0"/>
              <w:jc w:val="center"/>
              <w:rPr>
                <w:rFonts w:hint="default" w:ascii="Times New Roman" w:hAnsi="Times New Roman" w:eastAsia="仿宋_GB2312" w:cs="Times New Roman"/>
                <w:b/>
                <w:color w:val="auto"/>
                <w:sz w:val="22"/>
                <w:szCs w:val="22"/>
              </w:rPr>
            </w:pPr>
            <w:r>
              <w:rPr>
                <w:rFonts w:hint="default" w:ascii="Times New Roman" w:hAnsi="Times New Roman" w:eastAsia="仿宋_GB2312" w:cs="Times New Roman"/>
                <w:b/>
                <w:color w:val="auto"/>
                <w:sz w:val="22"/>
                <w:szCs w:val="22"/>
              </w:rPr>
              <w:t>表</w:t>
            </w:r>
            <w:r>
              <w:rPr>
                <w:rFonts w:hint="eastAsia" w:eastAsia="仿宋_GB2312" w:cs="Times New Roman"/>
                <w:b/>
                <w:color w:val="auto"/>
                <w:sz w:val="22"/>
                <w:szCs w:val="22"/>
                <w:lang w:val="en-US" w:eastAsia="zh-CN"/>
              </w:rPr>
              <w:t>4-11</w:t>
            </w:r>
            <w:r>
              <w:rPr>
                <w:rFonts w:hint="default" w:ascii="Times New Roman" w:hAnsi="Times New Roman" w:eastAsia="仿宋_GB2312" w:cs="Times New Roman"/>
                <w:b/>
                <w:color w:val="auto"/>
                <w:sz w:val="22"/>
                <w:szCs w:val="22"/>
              </w:rPr>
              <w:t xml:space="preserve">  进入DA002的有组织废气去除效率分析</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84"/>
              <w:gridCol w:w="2461"/>
              <w:gridCol w:w="2064"/>
              <w:gridCol w:w="1788"/>
              <w:gridCol w:w="1699"/>
            </w:tblGrid>
            <w:tr w14:paraId="7FE16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0" w:hRule="atLeast"/>
                <w:tblHeader/>
                <w:jc w:val="center"/>
              </w:trPr>
              <w:tc>
                <w:tcPr>
                  <w:tcW w:w="1109" w:type="pct"/>
                  <w:vMerge w:val="restart"/>
                  <w:vAlign w:val="center"/>
                </w:tcPr>
                <w:p w14:paraId="058D2F5A">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2197" w:type="pct"/>
                  <w:gridSpan w:val="2"/>
                  <w:vAlign w:val="center"/>
                </w:tcPr>
                <w:p w14:paraId="2DBC27BD">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各单元去除效率%</w:t>
                  </w:r>
                </w:p>
              </w:tc>
              <w:tc>
                <w:tcPr>
                  <w:tcW w:w="868" w:type="pct"/>
                  <w:vMerge w:val="restart"/>
                  <w:vAlign w:val="center"/>
                </w:tcPr>
                <w:p w14:paraId="574EB7C0">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总去除率%</w:t>
                  </w:r>
                </w:p>
              </w:tc>
              <w:tc>
                <w:tcPr>
                  <w:tcW w:w="825" w:type="pct"/>
                  <w:vMerge w:val="restart"/>
                  <w:vAlign w:val="center"/>
                </w:tcPr>
                <w:p w14:paraId="3DAB981E">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保守估计去除率%</w:t>
                  </w:r>
                </w:p>
              </w:tc>
            </w:tr>
            <w:tr w14:paraId="21CAF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blHeader/>
                <w:jc w:val="center"/>
              </w:trPr>
              <w:tc>
                <w:tcPr>
                  <w:tcW w:w="1109" w:type="pct"/>
                  <w:vMerge w:val="continue"/>
                  <w:vAlign w:val="center"/>
                </w:tcPr>
                <w:p w14:paraId="22C31CF1">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p>
              </w:tc>
              <w:tc>
                <w:tcPr>
                  <w:tcW w:w="1195" w:type="pct"/>
                  <w:vAlign w:val="center"/>
                </w:tcPr>
                <w:p w14:paraId="25945741">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酸吸收+碱吸收</w:t>
                  </w:r>
                </w:p>
              </w:tc>
              <w:tc>
                <w:tcPr>
                  <w:tcW w:w="1001" w:type="pct"/>
                  <w:vAlign w:val="center"/>
                </w:tcPr>
                <w:p w14:paraId="07853F8C">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二级活性炭</w:t>
                  </w:r>
                </w:p>
              </w:tc>
              <w:tc>
                <w:tcPr>
                  <w:tcW w:w="868" w:type="pct"/>
                  <w:vMerge w:val="continue"/>
                  <w:vAlign w:val="center"/>
                </w:tcPr>
                <w:p w14:paraId="15418DCA">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p>
              </w:tc>
              <w:tc>
                <w:tcPr>
                  <w:tcW w:w="825" w:type="pct"/>
                  <w:vMerge w:val="continue"/>
                  <w:vAlign w:val="center"/>
                </w:tcPr>
                <w:p w14:paraId="1AE9E1A4">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p>
              </w:tc>
            </w:tr>
            <w:tr w14:paraId="7A3F23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109" w:type="pct"/>
                  <w:vAlign w:val="center"/>
                </w:tcPr>
                <w:p w14:paraId="025CEEA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非甲烷总烃</w:t>
                  </w:r>
                </w:p>
              </w:tc>
              <w:tc>
                <w:tcPr>
                  <w:tcW w:w="1195" w:type="pct"/>
                  <w:vAlign w:val="center"/>
                </w:tcPr>
                <w:p w14:paraId="1A3FB04E">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bCs/>
                      <w:color w:val="auto"/>
                      <w:sz w:val="21"/>
                    </w:rPr>
                    <w:t>19</w:t>
                  </w:r>
                </w:p>
              </w:tc>
              <w:tc>
                <w:tcPr>
                  <w:tcW w:w="1001" w:type="pct"/>
                  <w:vAlign w:val="center"/>
                </w:tcPr>
                <w:p w14:paraId="170FEEDA">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90</w:t>
                  </w:r>
                </w:p>
              </w:tc>
              <w:tc>
                <w:tcPr>
                  <w:tcW w:w="868" w:type="pct"/>
                  <w:vAlign w:val="center"/>
                </w:tcPr>
                <w:p w14:paraId="66D1D12A">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91.9</w:t>
                  </w:r>
                </w:p>
              </w:tc>
              <w:tc>
                <w:tcPr>
                  <w:tcW w:w="825" w:type="pct"/>
                  <w:vAlign w:val="center"/>
                </w:tcPr>
                <w:p w14:paraId="5871A15C">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90</w:t>
                  </w:r>
                </w:p>
              </w:tc>
            </w:tr>
            <w:tr w14:paraId="0535C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109" w:type="pct"/>
                  <w:vAlign w:val="center"/>
                </w:tcPr>
                <w:p w14:paraId="08ED5C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p>
              </w:tc>
              <w:tc>
                <w:tcPr>
                  <w:tcW w:w="1195" w:type="pct"/>
                  <w:vAlign w:val="center"/>
                </w:tcPr>
                <w:p w14:paraId="137BA001">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bCs/>
                      <w:color w:val="auto"/>
                      <w:sz w:val="21"/>
                    </w:rPr>
                    <w:t>50</w:t>
                  </w:r>
                </w:p>
              </w:tc>
              <w:tc>
                <w:tcPr>
                  <w:tcW w:w="1001" w:type="pct"/>
                  <w:vAlign w:val="center"/>
                </w:tcPr>
                <w:p w14:paraId="1AC58175">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c>
                <w:tcPr>
                  <w:tcW w:w="868" w:type="pct"/>
                  <w:vAlign w:val="center"/>
                </w:tcPr>
                <w:p w14:paraId="3BD47262">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w:t>
                  </w:r>
                </w:p>
              </w:tc>
              <w:tc>
                <w:tcPr>
                  <w:tcW w:w="825" w:type="pct"/>
                  <w:vAlign w:val="center"/>
                </w:tcPr>
                <w:p w14:paraId="6F37C6BE">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w:t>
                  </w:r>
                </w:p>
              </w:tc>
            </w:tr>
            <w:tr w14:paraId="6AE44F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109" w:type="pct"/>
                  <w:vAlign w:val="center"/>
                </w:tcPr>
                <w:p w14:paraId="098C65D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H</w:t>
                  </w:r>
                  <w:r>
                    <w:rPr>
                      <w:rFonts w:hint="default" w:ascii="Times New Roman" w:hAnsi="Times New Roman" w:eastAsia="仿宋_GB2312" w:cs="Times New Roman"/>
                      <w:color w:val="auto"/>
                      <w:sz w:val="21"/>
                      <w:vertAlign w:val="subscript"/>
                    </w:rPr>
                    <w:t>2</w:t>
                  </w:r>
                  <w:r>
                    <w:rPr>
                      <w:rFonts w:hint="default" w:ascii="Times New Roman" w:hAnsi="Times New Roman" w:eastAsia="仿宋_GB2312" w:cs="Times New Roman"/>
                      <w:color w:val="auto"/>
                      <w:sz w:val="21"/>
                    </w:rPr>
                    <w:t>S</w:t>
                  </w:r>
                </w:p>
              </w:tc>
              <w:tc>
                <w:tcPr>
                  <w:tcW w:w="1195" w:type="pct"/>
                  <w:vAlign w:val="center"/>
                </w:tcPr>
                <w:p w14:paraId="441F3561">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60</w:t>
                  </w:r>
                </w:p>
              </w:tc>
              <w:tc>
                <w:tcPr>
                  <w:tcW w:w="1001" w:type="pct"/>
                  <w:vAlign w:val="center"/>
                </w:tcPr>
                <w:p w14:paraId="71E789BA">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c>
                <w:tcPr>
                  <w:tcW w:w="868" w:type="pct"/>
                  <w:vAlign w:val="center"/>
                </w:tcPr>
                <w:p w14:paraId="4C425474">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60</w:t>
                  </w:r>
                </w:p>
              </w:tc>
              <w:tc>
                <w:tcPr>
                  <w:tcW w:w="825" w:type="pct"/>
                  <w:vAlign w:val="center"/>
                </w:tcPr>
                <w:p w14:paraId="4BD9A1B0">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60</w:t>
                  </w:r>
                </w:p>
              </w:tc>
            </w:tr>
            <w:tr w14:paraId="15B14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109" w:type="pct"/>
                  <w:vAlign w:val="center"/>
                </w:tcPr>
                <w:p w14:paraId="7568086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氯化氢</w:t>
                  </w:r>
                </w:p>
              </w:tc>
              <w:tc>
                <w:tcPr>
                  <w:tcW w:w="1195" w:type="pct"/>
                  <w:vAlign w:val="center"/>
                </w:tcPr>
                <w:p w14:paraId="7562F4C3">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bCs/>
                      <w:color w:val="auto"/>
                      <w:sz w:val="21"/>
                    </w:rPr>
                    <w:t>90</w:t>
                  </w:r>
                </w:p>
              </w:tc>
              <w:tc>
                <w:tcPr>
                  <w:tcW w:w="1001" w:type="pct"/>
                  <w:vAlign w:val="center"/>
                </w:tcPr>
                <w:p w14:paraId="1E05604A">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c>
                <w:tcPr>
                  <w:tcW w:w="868" w:type="pct"/>
                  <w:vAlign w:val="center"/>
                </w:tcPr>
                <w:p w14:paraId="1FC0B1D6">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90</w:t>
                  </w:r>
                </w:p>
              </w:tc>
              <w:tc>
                <w:tcPr>
                  <w:tcW w:w="825" w:type="pct"/>
                  <w:vAlign w:val="center"/>
                </w:tcPr>
                <w:p w14:paraId="3F391B31">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90</w:t>
                  </w:r>
                </w:p>
              </w:tc>
            </w:tr>
          </w:tbl>
          <w:p w14:paraId="0C7FB0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both"/>
              <w:textAlignment w:val="auto"/>
              <w:rPr>
                <w:rFonts w:hint="eastAsia" w:ascii="Times New Roman" w:hAnsi="Times New Roman" w:eastAsia="仿宋_GB2312" w:cs="Times New Roman"/>
                <w:bCs/>
                <w:color w:val="auto"/>
                <w:kern w:val="2"/>
                <w:sz w:val="24"/>
                <w:szCs w:val="24"/>
                <w:highlight w:val="none"/>
                <w:lang w:val="zh-CN" w:eastAsia="zh-CN" w:bidi="ar-SA"/>
              </w:rPr>
            </w:pPr>
            <w:r>
              <w:rPr>
                <w:rFonts w:hint="eastAsia" w:ascii="Times New Roman" w:hAnsi="Times New Roman" w:eastAsia="仿宋_GB2312" w:cs="Times New Roman"/>
                <w:bCs/>
                <w:color w:val="auto"/>
                <w:kern w:val="2"/>
                <w:sz w:val="24"/>
                <w:szCs w:val="24"/>
                <w:highlight w:val="none"/>
                <w:lang w:val="zh-CN" w:eastAsia="zh-CN" w:bidi="ar-SA"/>
              </w:rPr>
              <w:t>根据以上分析，采用上述废气污染物防治处理后，有组织排放废气污染物排放浓度、排放速率均符合相应排放标准要求；因此，本项目有组织废气污染防治措施可行。</w:t>
            </w:r>
          </w:p>
          <w:p w14:paraId="710DC34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2" w:firstLineChars="200"/>
              <w:textAlignment w:val="auto"/>
              <w:rPr>
                <w:rFonts w:hint="default" w:eastAsia="仿宋_GB2312"/>
                <w:b/>
                <w:bCs w:val="0"/>
                <w:color w:val="auto"/>
                <w:sz w:val="24"/>
                <w:lang w:eastAsia="zh-CN"/>
              </w:rPr>
            </w:pPr>
            <w:r>
              <w:rPr>
                <w:rFonts w:hint="eastAsia" w:eastAsia="仿宋_GB2312"/>
                <w:b/>
                <w:bCs w:val="0"/>
                <w:color w:val="auto"/>
                <w:sz w:val="24"/>
                <w:lang w:eastAsia="zh-CN"/>
              </w:rPr>
              <w:t>③经济</w:t>
            </w:r>
            <w:r>
              <w:rPr>
                <w:rFonts w:hint="default" w:eastAsia="仿宋_GB2312"/>
                <w:b/>
                <w:bCs w:val="0"/>
                <w:color w:val="auto"/>
                <w:sz w:val="24"/>
                <w:lang w:eastAsia="zh-CN"/>
              </w:rPr>
              <w:t>可行性分析</w:t>
            </w:r>
          </w:p>
          <w:p w14:paraId="3AF23DB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both"/>
              <w:textAlignment w:val="auto"/>
              <w:rPr>
                <w:rFonts w:hint="default" w:ascii="Times New Roman" w:hAnsi="Times New Roman" w:eastAsia="仿宋_GB2312" w:cs="Times New Roman"/>
                <w:bCs/>
                <w:color w:val="auto"/>
                <w:kern w:val="2"/>
                <w:sz w:val="24"/>
                <w:szCs w:val="24"/>
                <w:highlight w:val="none"/>
                <w:lang w:val="zh-CN" w:eastAsia="zh-CN" w:bidi="ar-SA"/>
              </w:rPr>
            </w:pPr>
            <w:r>
              <w:rPr>
                <w:rFonts w:hint="default" w:ascii="Times New Roman" w:hAnsi="Times New Roman" w:eastAsia="仿宋_GB2312" w:cs="Times New Roman"/>
                <w:bCs/>
                <w:color w:val="auto"/>
                <w:kern w:val="2"/>
                <w:sz w:val="24"/>
                <w:szCs w:val="24"/>
                <w:highlight w:val="none"/>
                <w:lang w:val="zh-CN" w:eastAsia="zh-CN" w:bidi="ar-SA"/>
              </w:rPr>
              <w:t>本项目废气处理设施年运行费用约为10万元，根据企业提供的资料，本项目建成后可实现年净利润1200万元，因此本项目废气污染防治设施的运行费用均在企业可接受的范围内，在经济上可行。</w:t>
            </w:r>
          </w:p>
          <w:p w14:paraId="6DC8822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2" w:firstLineChars="200"/>
              <w:textAlignment w:val="auto"/>
              <w:rPr>
                <w:rFonts w:hint="default" w:eastAsia="仿宋_GB2312"/>
                <w:b/>
                <w:bCs w:val="0"/>
                <w:color w:val="auto"/>
                <w:sz w:val="24"/>
                <w:lang w:val="zh-CN" w:eastAsia="zh-CN"/>
              </w:rPr>
            </w:pPr>
            <w:r>
              <w:rPr>
                <w:rFonts w:hint="eastAsia" w:eastAsia="仿宋_GB2312"/>
                <w:b/>
                <w:bCs w:val="0"/>
                <w:color w:val="auto"/>
                <w:sz w:val="24"/>
                <w:lang w:val="zh-CN" w:eastAsia="zh-CN"/>
              </w:rPr>
              <w:t>④达标排放</w:t>
            </w:r>
            <w:r>
              <w:rPr>
                <w:rFonts w:hint="default" w:eastAsia="仿宋_GB2312"/>
                <w:b/>
                <w:bCs w:val="0"/>
                <w:color w:val="auto"/>
                <w:sz w:val="24"/>
                <w:lang w:eastAsia="zh-CN"/>
              </w:rPr>
              <w:t>可行性分析</w:t>
            </w:r>
          </w:p>
          <w:p w14:paraId="33766C44">
            <w:pPr>
              <w:keepNext w:val="0"/>
              <w:keepLines w:val="0"/>
              <w:widowControl w:val="0"/>
              <w:suppressLineNumbers w:val="0"/>
              <w:spacing w:before="0" w:beforeAutospacing="0" w:after="0" w:afterAutospacing="0" w:line="500" w:lineRule="exact"/>
              <w:ind w:left="0" w:right="0" w:firstLine="480" w:firstLineChars="200"/>
              <w:jc w:val="both"/>
              <w:rPr>
                <w:rFonts w:hint="default" w:ascii="Times New Roman" w:hAnsi="Times New Roman" w:eastAsia="仿宋_GB2312" w:cs="Times New Roman"/>
                <w:color w:val="auto"/>
                <w:sz w:val="24"/>
                <w:szCs w:val="24"/>
                <w:lang w:val="en-US"/>
              </w:rPr>
            </w:pPr>
            <w:r>
              <w:rPr>
                <w:rFonts w:hint="default" w:ascii="Times New Roman" w:hAnsi="Times New Roman" w:eastAsia="仿宋_GB2312" w:cs="Times New Roman"/>
                <w:bCs/>
                <w:color w:val="auto"/>
                <w:kern w:val="2"/>
                <w:sz w:val="24"/>
                <w:szCs w:val="24"/>
                <w:highlight w:val="none"/>
                <w:lang w:val="zh-CN" w:eastAsia="zh-CN" w:bidi="ar-SA"/>
              </w:rPr>
              <w:t>本项目废气排放口（1#排气筒）排放的颗粒物污染物排放浓度满足《大气污染物综合排放标准》(DB32/4041-2021)标准；废气排气口（2#排气筒）排放的非甲烷总烃、氯化氢污染物排放浓度满足《大气污染物综合排放标准》(DB32/4041-2021)标准，NH</w:t>
            </w:r>
            <w:r>
              <w:rPr>
                <w:rFonts w:hint="default" w:ascii="Times New Roman" w:hAnsi="Times New Roman" w:eastAsia="仿宋_GB2312" w:cs="Times New Roman"/>
                <w:bCs/>
                <w:color w:val="auto"/>
                <w:kern w:val="2"/>
                <w:sz w:val="24"/>
                <w:szCs w:val="24"/>
                <w:highlight w:val="none"/>
                <w:vertAlign w:val="subscript"/>
                <w:lang w:val="zh-CN" w:eastAsia="zh-CN" w:bidi="ar-SA"/>
              </w:rPr>
              <w:t>3</w:t>
            </w:r>
            <w:r>
              <w:rPr>
                <w:rFonts w:hint="default" w:ascii="Times New Roman" w:hAnsi="Times New Roman" w:eastAsia="仿宋_GB2312" w:cs="Times New Roman"/>
                <w:bCs/>
                <w:color w:val="auto"/>
                <w:kern w:val="2"/>
                <w:sz w:val="24"/>
                <w:szCs w:val="24"/>
                <w:highlight w:val="none"/>
                <w:lang w:val="zh-CN" w:eastAsia="zh-CN" w:bidi="ar-SA"/>
              </w:rPr>
              <w:t>、H</w:t>
            </w:r>
            <w:r>
              <w:rPr>
                <w:rFonts w:hint="default" w:ascii="Times New Roman" w:hAnsi="Times New Roman" w:eastAsia="仿宋_GB2312" w:cs="Times New Roman"/>
                <w:bCs/>
                <w:color w:val="auto"/>
                <w:kern w:val="2"/>
                <w:sz w:val="24"/>
                <w:szCs w:val="24"/>
                <w:highlight w:val="none"/>
                <w:vertAlign w:val="subscript"/>
                <w:lang w:val="zh-CN" w:eastAsia="zh-CN" w:bidi="ar-SA"/>
              </w:rPr>
              <w:t>2</w:t>
            </w:r>
            <w:r>
              <w:rPr>
                <w:rFonts w:hint="default" w:ascii="Times New Roman" w:hAnsi="Times New Roman" w:eastAsia="仿宋_GB2312" w:cs="Times New Roman"/>
                <w:bCs/>
                <w:color w:val="auto"/>
                <w:kern w:val="2"/>
                <w:sz w:val="24"/>
                <w:szCs w:val="24"/>
                <w:highlight w:val="none"/>
                <w:lang w:val="zh-CN" w:eastAsia="zh-CN" w:bidi="ar-SA"/>
              </w:rPr>
              <w:t>S</w:t>
            </w:r>
            <w:r>
              <w:rPr>
                <w:rFonts w:hint="eastAsia" w:eastAsia="仿宋_GB2312" w:cs="Times New Roman"/>
                <w:bCs/>
                <w:color w:val="auto"/>
                <w:kern w:val="2"/>
                <w:sz w:val="24"/>
                <w:szCs w:val="24"/>
                <w:highlight w:val="none"/>
                <w:lang w:val="zh-CN" w:eastAsia="zh-CN" w:bidi="ar-SA"/>
              </w:rPr>
              <w:t>、臭气浓度</w:t>
            </w:r>
            <w:r>
              <w:rPr>
                <w:rFonts w:hint="default" w:ascii="Times New Roman" w:hAnsi="Times New Roman" w:eastAsia="仿宋_GB2312" w:cs="Times New Roman"/>
                <w:bCs/>
                <w:color w:val="auto"/>
                <w:kern w:val="2"/>
                <w:sz w:val="24"/>
                <w:szCs w:val="24"/>
                <w:highlight w:val="none"/>
                <w:lang w:val="zh-CN" w:eastAsia="zh-CN" w:bidi="ar-SA"/>
              </w:rPr>
              <w:t>污染物排放浓度满足《恶臭污染物排放标准》（GB14554-93）标准限值要求；燃气蒸汽发生器废气排口（3#排气筒）排放的NOx、SO</w:t>
            </w:r>
            <w:r>
              <w:rPr>
                <w:rFonts w:hint="default" w:ascii="Times New Roman" w:hAnsi="Times New Roman" w:eastAsia="仿宋_GB2312" w:cs="Times New Roman"/>
                <w:bCs/>
                <w:color w:val="auto"/>
                <w:kern w:val="2"/>
                <w:sz w:val="24"/>
                <w:szCs w:val="24"/>
                <w:highlight w:val="none"/>
                <w:vertAlign w:val="subscript"/>
                <w:lang w:val="zh-CN" w:eastAsia="zh-CN" w:bidi="ar-SA"/>
              </w:rPr>
              <w:t>2</w:t>
            </w:r>
            <w:r>
              <w:rPr>
                <w:rFonts w:hint="default" w:ascii="Times New Roman" w:hAnsi="Times New Roman" w:eastAsia="仿宋_GB2312" w:cs="Times New Roman"/>
                <w:bCs/>
                <w:color w:val="auto"/>
                <w:kern w:val="2"/>
                <w:sz w:val="24"/>
                <w:szCs w:val="24"/>
                <w:highlight w:val="none"/>
                <w:lang w:val="zh-CN" w:eastAsia="zh-CN" w:bidi="ar-SA"/>
              </w:rPr>
              <w:t>、颗粒物排放浓度满足《锅炉大气污染物排放标准》（DB32/4385-2022）标准限值要求。</w:t>
            </w:r>
          </w:p>
          <w:p w14:paraId="29275DCC">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eastAsia" w:eastAsia="仿宋_GB2312"/>
                <w:b/>
                <w:bCs/>
                <w:color w:val="auto"/>
                <w:sz w:val="24"/>
                <w:lang w:val="en-US" w:eastAsia="zh-CN"/>
              </w:rPr>
              <w:t>4</w:t>
            </w:r>
            <w:r>
              <w:rPr>
                <w:rFonts w:hint="default" w:eastAsia="仿宋_GB2312"/>
                <w:b/>
                <w:bCs/>
                <w:color w:val="auto"/>
                <w:sz w:val="24"/>
              </w:rPr>
              <w:t>、废气达标排放情况</w:t>
            </w:r>
          </w:p>
          <w:p w14:paraId="1F2DA678">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本项目污染物产生及排放情况见下表。</w:t>
            </w:r>
          </w:p>
          <w:p w14:paraId="235E32E4">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p>
          <w:p w14:paraId="5A2D16E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p>
          <w:p w14:paraId="06D65691">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w:t>
            </w:r>
            <w:r>
              <w:rPr>
                <w:rFonts w:hint="eastAsia" w:eastAsia="仿宋_GB2312"/>
                <w:b/>
                <w:color w:val="auto"/>
                <w:sz w:val="22"/>
                <w:szCs w:val="22"/>
              </w:rPr>
              <w:t>1</w:t>
            </w:r>
            <w:r>
              <w:rPr>
                <w:rFonts w:hint="eastAsia" w:eastAsia="仿宋_GB2312"/>
                <w:b/>
                <w:color w:val="auto"/>
                <w:sz w:val="22"/>
                <w:szCs w:val="22"/>
                <w:lang w:val="en-US" w:eastAsia="zh-CN"/>
              </w:rPr>
              <w:t>2</w:t>
            </w:r>
            <w:r>
              <w:rPr>
                <w:rFonts w:hint="default" w:eastAsia="仿宋_GB2312"/>
                <w:b/>
                <w:color w:val="auto"/>
                <w:sz w:val="22"/>
                <w:szCs w:val="22"/>
              </w:rPr>
              <w:t xml:space="preserve">  本项目有组织废气产生及排放情况汇总表</w:t>
            </w:r>
          </w:p>
          <w:tbl>
            <w:tblPr>
              <w:tblStyle w:val="8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636"/>
              <w:gridCol w:w="1266"/>
              <w:gridCol w:w="798"/>
              <w:gridCol w:w="794"/>
              <w:gridCol w:w="899"/>
              <w:gridCol w:w="427"/>
              <w:gridCol w:w="848"/>
              <w:gridCol w:w="798"/>
              <w:gridCol w:w="794"/>
              <w:gridCol w:w="794"/>
              <w:gridCol w:w="798"/>
              <w:gridCol w:w="613"/>
            </w:tblGrid>
            <w:tr w14:paraId="12EC4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restart"/>
                  <w:vAlign w:val="center"/>
                </w:tcPr>
                <w:p w14:paraId="74F736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排气筒</w:t>
                  </w:r>
                </w:p>
              </w:tc>
              <w:tc>
                <w:tcPr>
                  <w:tcW w:w="379" w:type="pct"/>
                  <w:vMerge w:val="restart"/>
                  <w:vAlign w:val="center"/>
                </w:tcPr>
                <w:p w14:paraId="49CA2FF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排气量m</w:t>
                  </w:r>
                  <w:r>
                    <w:rPr>
                      <w:rFonts w:hint="default" w:ascii="Times New Roman" w:hAnsi="Times New Roman" w:eastAsia="仿宋_GB2312" w:cs="Times New Roman"/>
                      <w:b/>
                      <w:bCs/>
                      <w:color w:val="auto"/>
                      <w:kern w:val="0"/>
                      <w:sz w:val="21"/>
                      <w:vertAlign w:val="superscript"/>
                    </w:rPr>
                    <w:t>3</w:t>
                  </w:r>
                  <w:r>
                    <w:rPr>
                      <w:rFonts w:hint="default" w:ascii="Times New Roman" w:hAnsi="Times New Roman" w:eastAsia="仿宋_GB2312" w:cs="Times New Roman"/>
                      <w:b/>
                      <w:bCs/>
                      <w:color w:val="auto"/>
                      <w:kern w:val="0"/>
                      <w:sz w:val="21"/>
                    </w:rPr>
                    <w:t>/h</w:t>
                  </w:r>
                </w:p>
              </w:tc>
              <w:tc>
                <w:tcPr>
                  <w:tcW w:w="546" w:type="pct"/>
                  <w:vMerge w:val="restart"/>
                  <w:vAlign w:val="center"/>
                </w:tcPr>
                <w:p w14:paraId="45016F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污染物名称</w:t>
                  </w:r>
                </w:p>
              </w:tc>
              <w:tc>
                <w:tcPr>
                  <w:tcW w:w="1219" w:type="pct"/>
                  <w:gridSpan w:val="3"/>
                  <w:vAlign w:val="center"/>
                </w:tcPr>
                <w:p w14:paraId="502E153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污染物产生情况</w:t>
                  </w:r>
                </w:p>
              </w:tc>
              <w:tc>
                <w:tcPr>
                  <w:tcW w:w="386" w:type="pct"/>
                  <w:vMerge w:val="restart"/>
                  <w:vAlign w:val="center"/>
                </w:tcPr>
                <w:p w14:paraId="6C82F31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治理措施</w:t>
                  </w:r>
                </w:p>
              </w:tc>
              <w:tc>
                <w:tcPr>
                  <w:tcW w:w="402" w:type="pct"/>
                  <w:vMerge w:val="restart"/>
                  <w:vAlign w:val="center"/>
                </w:tcPr>
                <w:p w14:paraId="6495638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去除率（%）</w:t>
                  </w:r>
                </w:p>
              </w:tc>
              <w:tc>
                <w:tcPr>
                  <w:tcW w:w="1136" w:type="pct"/>
                  <w:gridSpan w:val="3"/>
                  <w:vAlign w:val="center"/>
                </w:tcPr>
                <w:p w14:paraId="2798DE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污染物排放情况</w:t>
                  </w:r>
                </w:p>
              </w:tc>
              <w:tc>
                <w:tcPr>
                  <w:tcW w:w="592" w:type="pct"/>
                  <w:gridSpan w:val="2"/>
                  <w:vAlign w:val="center"/>
                </w:tcPr>
                <w:p w14:paraId="2CEC69B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排放标准</w:t>
                  </w:r>
                </w:p>
              </w:tc>
            </w:tr>
            <w:tr w14:paraId="1F0FC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0F6C25F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379" w:type="pct"/>
                  <w:vMerge w:val="continue"/>
                  <w:vAlign w:val="center"/>
                </w:tcPr>
                <w:p w14:paraId="4DA2E9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546" w:type="pct"/>
                  <w:vMerge w:val="continue"/>
                  <w:vAlign w:val="center"/>
                </w:tcPr>
                <w:p w14:paraId="75AD9A9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386" w:type="pct"/>
                  <w:vAlign w:val="center"/>
                </w:tcPr>
                <w:p w14:paraId="01805A8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最大浓度mg/m</w:t>
                  </w:r>
                  <w:r>
                    <w:rPr>
                      <w:rFonts w:hint="default" w:ascii="Times New Roman" w:hAnsi="Times New Roman" w:eastAsia="仿宋_GB2312" w:cs="Times New Roman"/>
                      <w:b/>
                      <w:bCs/>
                      <w:color w:val="auto"/>
                      <w:kern w:val="0"/>
                      <w:sz w:val="21"/>
                      <w:vertAlign w:val="superscript"/>
                    </w:rPr>
                    <w:t>3</w:t>
                  </w:r>
                </w:p>
              </w:tc>
              <w:tc>
                <w:tcPr>
                  <w:tcW w:w="392" w:type="pct"/>
                  <w:vAlign w:val="center"/>
                </w:tcPr>
                <w:p w14:paraId="2F412DE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最大速率kg/h</w:t>
                  </w:r>
                </w:p>
              </w:tc>
              <w:tc>
                <w:tcPr>
                  <w:tcW w:w="439" w:type="pct"/>
                  <w:vAlign w:val="center"/>
                </w:tcPr>
                <w:p w14:paraId="4C9382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产生量t/a</w:t>
                  </w:r>
                </w:p>
              </w:tc>
              <w:tc>
                <w:tcPr>
                  <w:tcW w:w="386" w:type="pct"/>
                  <w:vMerge w:val="continue"/>
                  <w:vAlign w:val="center"/>
                </w:tcPr>
                <w:p w14:paraId="2932FB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402" w:type="pct"/>
                  <w:vMerge w:val="continue"/>
                  <w:vAlign w:val="center"/>
                </w:tcPr>
                <w:p w14:paraId="6AD2104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413" w:type="pct"/>
                  <w:vAlign w:val="center"/>
                </w:tcPr>
                <w:p w14:paraId="56C46CD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最大浓度mg/m</w:t>
                  </w:r>
                  <w:r>
                    <w:rPr>
                      <w:rFonts w:hint="default" w:ascii="Times New Roman" w:hAnsi="Times New Roman" w:eastAsia="仿宋_GB2312" w:cs="Times New Roman"/>
                      <w:b/>
                      <w:bCs/>
                      <w:color w:val="auto"/>
                      <w:kern w:val="0"/>
                      <w:sz w:val="21"/>
                      <w:vertAlign w:val="superscript"/>
                    </w:rPr>
                    <w:t>3</w:t>
                  </w:r>
                </w:p>
              </w:tc>
              <w:tc>
                <w:tcPr>
                  <w:tcW w:w="376" w:type="pct"/>
                  <w:vAlign w:val="center"/>
                </w:tcPr>
                <w:p w14:paraId="4F9CCE4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最大速率kg/h</w:t>
                  </w:r>
                </w:p>
              </w:tc>
              <w:tc>
                <w:tcPr>
                  <w:tcW w:w="346" w:type="pct"/>
                  <w:vAlign w:val="center"/>
                </w:tcPr>
                <w:p w14:paraId="453A581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排放量t/a</w:t>
                  </w:r>
                </w:p>
              </w:tc>
              <w:tc>
                <w:tcPr>
                  <w:tcW w:w="329" w:type="pct"/>
                  <w:vAlign w:val="center"/>
                </w:tcPr>
                <w:p w14:paraId="7FEE39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浓度mg/m</w:t>
                  </w:r>
                  <w:r>
                    <w:rPr>
                      <w:rFonts w:hint="default" w:ascii="Times New Roman" w:hAnsi="Times New Roman" w:eastAsia="仿宋_GB2312" w:cs="Times New Roman"/>
                      <w:b/>
                      <w:bCs/>
                      <w:color w:val="auto"/>
                      <w:kern w:val="0"/>
                      <w:sz w:val="21"/>
                      <w:vertAlign w:val="superscript"/>
                    </w:rPr>
                    <w:t>3</w:t>
                  </w:r>
                </w:p>
              </w:tc>
              <w:tc>
                <w:tcPr>
                  <w:tcW w:w="263" w:type="pct"/>
                  <w:vAlign w:val="center"/>
                </w:tcPr>
                <w:p w14:paraId="51F86D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速率kg/h</w:t>
                  </w:r>
                </w:p>
              </w:tc>
            </w:tr>
            <w:tr w14:paraId="2B8BB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35" w:type="pct"/>
                  <w:vAlign w:val="center"/>
                </w:tcPr>
                <w:p w14:paraId="138DD1E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DA001</w:t>
                  </w:r>
                </w:p>
              </w:tc>
              <w:tc>
                <w:tcPr>
                  <w:tcW w:w="379" w:type="pct"/>
                  <w:vAlign w:val="center"/>
                </w:tcPr>
                <w:p w14:paraId="5CB852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4000</w:t>
                  </w:r>
                </w:p>
              </w:tc>
              <w:tc>
                <w:tcPr>
                  <w:tcW w:w="546" w:type="pct"/>
                  <w:noWrap/>
                  <w:vAlign w:val="center"/>
                </w:tcPr>
                <w:p w14:paraId="680ED6C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颗粒物</w:t>
                  </w:r>
                </w:p>
              </w:tc>
              <w:tc>
                <w:tcPr>
                  <w:tcW w:w="386" w:type="pct"/>
                  <w:vAlign w:val="center"/>
                </w:tcPr>
                <w:p w14:paraId="68B075E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175</w:t>
                  </w:r>
                </w:p>
              </w:tc>
              <w:tc>
                <w:tcPr>
                  <w:tcW w:w="392" w:type="pct"/>
                  <w:noWrap/>
                  <w:vAlign w:val="center"/>
                </w:tcPr>
                <w:p w14:paraId="65EF305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0.7</w:t>
                  </w:r>
                </w:p>
              </w:tc>
              <w:tc>
                <w:tcPr>
                  <w:tcW w:w="439" w:type="pct"/>
                  <w:vAlign w:val="center"/>
                </w:tcPr>
                <w:p w14:paraId="4F57DD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0.1</w:t>
                  </w:r>
                  <w:r>
                    <w:rPr>
                      <w:rFonts w:hint="eastAsia" w:eastAsia="仿宋_GB2312" w:cs="Times New Roman"/>
                      <w:color w:val="auto"/>
                      <w:kern w:val="0"/>
                      <w:sz w:val="21"/>
                      <w:lang w:val="en-US" w:eastAsia="zh-CN"/>
                    </w:rPr>
                    <w:t>279</w:t>
                  </w:r>
                </w:p>
              </w:tc>
              <w:tc>
                <w:tcPr>
                  <w:tcW w:w="386" w:type="pct"/>
                  <w:vAlign w:val="center"/>
                </w:tcPr>
                <w:p w14:paraId="6B2421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布袋除尘</w:t>
                  </w:r>
                </w:p>
              </w:tc>
              <w:tc>
                <w:tcPr>
                  <w:tcW w:w="402" w:type="pct"/>
                  <w:vAlign w:val="center"/>
                </w:tcPr>
                <w:p w14:paraId="798EBF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99%</w:t>
                  </w:r>
                </w:p>
              </w:tc>
              <w:tc>
                <w:tcPr>
                  <w:tcW w:w="413" w:type="pct"/>
                  <w:vAlign w:val="center"/>
                </w:tcPr>
                <w:p w14:paraId="4FC2AF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1.75</w:t>
                  </w:r>
                </w:p>
              </w:tc>
              <w:tc>
                <w:tcPr>
                  <w:tcW w:w="376" w:type="pct"/>
                  <w:vAlign w:val="center"/>
                </w:tcPr>
                <w:p w14:paraId="62486A2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0.007</w:t>
                  </w:r>
                </w:p>
              </w:tc>
              <w:tc>
                <w:tcPr>
                  <w:tcW w:w="346" w:type="pct"/>
                  <w:vAlign w:val="center"/>
                </w:tcPr>
                <w:p w14:paraId="1BFF7E1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 xml:space="preserve">0.001 </w:t>
                  </w:r>
                </w:p>
              </w:tc>
              <w:tc>
                <w:tcPr>
                  <w:tcW w:w="329" w:type="pct"/>
                  <w:vAlign w:val="center"/>
                </w:tcPr>
                <w:p w14:paraId="63E4B1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w:t>
                  </w:r>
                </w:p>
              </w:tc>
              <w:tc>
                <w:tcPr>
                  <w:tcW w:w="263" w:type="pct"/>
                  <w:vAlign w:val="center"/>
                </w:tcPr>
                <w:p w14:paraId="5AA505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w:t>
                  </w:r>
                </w:p>
              </w:tc>
            </w:tr>
            <w:tr w14:paraId="3B2C0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5" w:type="pct"/>
                  <w:vMerge w:val="restart"/>
                  <w:vAlign w:val="center"/>
                </w:tcPr>
                <w:p w14:paraId="600C71C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DA002</w:t>
                  </w:r>
                </w:p>
              </w:tc>
              <w:tc>
                <w:tcPr>
                  <w:tcW w:w="379" w:type="pct"/>
                  <w:vMerge w:val="restart"/>
                  <w:vAlign w:val="center"/>
                </w:tcPr>
                <w:p w14:paraId="6868EC7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4500</w:t>
                  </w:r>
                </w:p>
              </w:tc>
              <w:tc>
                <w:tcPr>
                  <w:tcW w:w="546" w:type="pct"/>
                  <w:noWrap/>
                  <w:vAlign w:val="center"/>
                </w:tcPr>
                <w:p w14:paraId="3AB420A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非甲烷总烃</w:t>
                  </w:r>
                </w:p>
              </w:tc>
              <w:tc>
                <w:tcPr>
                  <w:tcW w:w="386" w:type="pct"/>
                  <w:vAlign w:val="center"/>
                </w:tcPr>
                <w:p w14:paraId="5E03E26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8.51</w:t>
                  </w:r>
                </w:p>
              </w:tc>
              <w:tc>
                <w:tcPr>
                  <w:tcW w:w="392" w:type="pct"/>
                  <w:noWrap/>
                  <w:vAlign w:val="center"/>
                </w:tcPr>
                <w:p w14:paraId="3C831EE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0.0383</w:t>
                  </w:r>
                </w:p>
              </w:tc>
              <w:tc>
                <w:tcPr>
                  <w:tcW w:w="439" w:type="pct"/>
                  <w:vAlign w:val="center"/>
                </w:tcPr>
                <w:p w14:paraId="2DF4825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0.2524</w:t>
                  </w:r>
                </w:p>
              </w:tc>
              <w:tc>
                <w:tcPr>
                  <w:tcW w:w="386" w:type="pct"/>
                  <w:vMerge w:val="restart"/>
                  <w:vAlign w:val="center"/>
                </w:tcPr>
                <w:p w14:paraId="5F083F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酸吸收+碱吸收+除雾器+两级活性炭吸附</w:t>
                  </w:r>
                </w:p>
              </w:tc>
              <w:tc>
                <w:tcPr>
                  <w:tcW w:w="402" w:type="pct"/>
                  <w:vAlign w:val="center"/>
                </w:tcPr>
                <w:p w14:paraId="7D76B3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w:t>
                  </w:r>
                </w:p>
              </w:tc>
              <w:tc>
                <w:tcPr>
                  <w:tcW w:w="413" w:type="pct"/>
                  <w:vAlign w:val="center"/>
                </w:tcPr>
                <w:p w14:paraId="4C50D5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0.89</w:t>
                  </w:r>
                </w:p>
              </w:tc>
              <w:tc>
                <w:tcPr>
                  <w:tcW w:w="376" w:type="pct"/>
                  <w:vAlign w:val="center"/>
                </w:tcPr>
                <w:p w14:paraId="5DAF3A5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04</w:t>
                  </w:r>
                  <w:r>
                    <w:rPr>
                      <w:rFonts w:hint="default" w:ascii="Times New Roman" w:hAnsi="Times New Roman" w:eastAsia="仿宋_GB2312" w:cs="Times New Roman"/>
                      <w:color w:val="auto"/>
                      <w:kern w:val="0"/>
                      <w:sz w:val="21"/>
                    </w:rPr>
                    <w:t xml:space="preserve"> </w:t>
                  </w:r>
                </w:p>
              </w:tc>
              <w:tc>
                <w:tcPr>
                  <w:tcW w:w="346" w:type="pct"/>
                  <w:vAlign w:val="center"/>
                </w:tcPr>
                <w:p w14:paraId="3BCFD2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25</w:t>
                  </w:r>
                  <w:r>
                    <w:rPr>
                      <w:rFonts w:hint="default" w:ascii="Times New Roman" w:hAnsi="Times New Roman" w:eastAsia="仿宋_GB2312" w:cs="Times New Roman"/>
                      <w:color w:val="auto"/>
                      <w:kern w:val="0"/>
                      <w:sz w:val="21"/>
                    </w:rPr>
                    <w:t xml:space="preserve"> </w:t>
                  </w:r>
                </w:p>
              </w:tc>
              <w:tc>
                <w:tcPr>
                  <w:tcW w:w="329" w:type="pct"/>
                  <w:vAlign w:val="center"/>
                </w:tcPr>
                <w:p w14:paraId="33B5D2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60</w:t>
                  </w:r>
                </w:p>
              </w:tc>
              <w:tc>
                <w:tcPr>
                  <w:tcW w:w="263" w:type="pct"/>
                  <w:vAlign w:val="center"/>
                </w:tcPr>
                <w:p w14:paraId="63B63D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w:t>
                  </w:r>
                </w:p>
              </w:tc>
            </w:tr>
            <w:tr w14:paraId="14F6C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5" w:type="pct"/>
                  <w:vMerge w:val="continue"/>
                  <w:vAlign w:val="center"/>
                </w:tcPr>
                <w:p w14:paraId="65D3D8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379" w:type="pct"/>
                  <w:vMerge w:val="continue"/>
                  <w:vAlign w:val="center"/>
                </w:tcPr>
                <w:p w14:paraId="2BAFDB3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546" w:type="pct"/>
                  <w:noWrap/>
                  <w:vAlign w:val="center"/>
                </w:tcPr>
                <w:p w14:paraId="5BFF04C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386" w:type="pct"/>
                  <w:vAlign w:val="center"/>
                </w:tcPr>
                <w:p w14:paraId="0466832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 xml:space="preserve">3.09 </w:t>
                  </w:r>
                </w:p>
              </w:tc>
              <w:tc>
                <w:tcPr>
                  <w:tcW w:w="392" w:type="pct"/>
                  <w:noWrap/>
                  <w:vAlign w:val="center"/>
                </w:tcPr>
                <w:p w14:paraId="324EDF0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139</w:t>
                  </w:r>
                </w:p>
              </w:tc>
              <w:tc>
                <w:tcPr>
                  <w:tcW w:w="439" w:type="pct"/>
                  <w:vAlign w:val="center"/>
                </w:tcPr>
                <w:p w14:paraId="74633B9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0.1152</w:t>
                  </w:r>
                </w:p>
              </w:tc>
              <w:tc>
                <w:tcPr>
                  <w:tcW w:w="386" w:type="pct"/>
                  <w:vMerge w:val="continue"/>
                  <w:vAlign w:val="center"/>
                </w:tcPr>
                <w:p w14:paraId="198A06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402" w:type="pct"/>
                  <w:vAlign w:val="center"/>
                </w:tcPr>
                <w:p w14:paraId="745DACC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50%</w:t>
                  </w:r>
                </w:p>
              </w:tc>
              <w:tc>
                <w:tcPr>
                  <w:tcW w:w="413" w:type="pct"/>
                  <w:vAlign w:val="center"/>
                </w:tcPr>
                <w:p w14:paraId="04118D0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1.56</w:t>
                  </w:r>
                  <w:r>
                    <w:rPr>
                      <w:rFonts w:hint="default" w:ascii="Times New Roman" w:hAnsi="Times New Roman" w:eastAsia="仿宋_GB2312" w:cs="Times New Roman"/>
                      <w:color w:val="auto"/>
                      <w:kern w:val="0"/>
                      <w:sz w:val="21"/>
                    </w:rPr>
                    <w:t xml:space="preserve"> </w:t>
                  </w:r>
                </w:p>
              </w:tc>
              <w:tc>
                <w:tcPr>
                  <w:tcW w:w="376" w:type="pct"/>
                  <w:vAlign w:val="center"/>
                </w:tcPr>
                <w:p w14:paraId="4186233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07</w:t>
                  </w:r>
                  <w:r>
                    <w:rPr>
                      <w:rFonts w:hint="default" w:ascii="Times New Roman" w:hAnsi="Times New Roman" w:eastAsia="仿宋_GB2312" w:cs="Times New Roman"/>
                      <w:color w:val="auto"/>
                      <w:kern w:val="0"/>
                      <w:sz w:val="21"/>
                    </w:rPr>
                    <w:t xml:space="preserve"> </w:t>
                  </w:r>
                </w:p>
              </w:tc>
              <w:tc>
                <w:tcPr>
                  <w:tcW w:w="346" w:type="pct"/>
                  <w:vAlign w:val="center"/>
                </w:tcPr>
                <w:p w14:paraId="11DEC68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576</w:t>
                  </w:r>
                  <w:r>
                    <w:rPr>
                      <w:rFonts w:hint="default" w:ascii="Times New Roman" w:hAnsi="Times New Roman" w:eastAsia="仿宋_GB2312" w:cs="Times New Roman"/>
                      <w:color w:val="auto"/>
                      <w:kern w:val="0"/>
                      <w:sz w:val="21"/>
                    </w:rPr>
                    <w:t xml:space="preserve"> </w:t>
                  </w:r>
                </w:p>
              </w:tc>
              <w:tc>
                <w:tcPr>
                  <w:tcW w:w="329" w:type="pct"/>
                  <w:vAlign w:val="center"/>
                </w:tcPr>
                <w:p w14:paraId="4C71039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263" w:type="pct"/>
                  <w:vAlign w:val="center"/>
                </w:tcPr>
                <w:p w14:paraId="11ECA80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4.9</w:t>
                  </w:r>
                </w:p>
              </w:tc>
            </w:tr>
            <w:tr w14:paraId="0457D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35" w:type="pct"/>
                  <w:vMerge w:val="continue"/>
                  <w:vAlign w:val="center"/>
                </w:tcPr>
                <w:p w14:paraId="3A2D5EB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379" w:type="pct"/>
                  <w:vMerge w:val="continue"/>
                  <w:vAlign w:val="center"/>
                </w:tcPr>
                <w:p w14:paraId="13CA2F1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546" w:type="pct"/>
                  <w:noWrap/>
                  <w:vAlign w:val="center"/>
                </w:tcPr>
                <w:p w14:paraId="7E65CC8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386" w:type="pct"/>
                  <w:vAlign w:val="center"/>
                </w:tcPr>
                <w:p w14:paraId="417DA7D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 xml:space="preserve">0.71 </w:t>
                  </w:r>
                </w:p>
              </w:tc>
              <w:tc>
                <w:tcPr>
                  <w:tcW w:w="392" w:type="pct"/>
                  <w:noWrap/>
                  <w:vAlign w:val="center"/>
                </w:tcPr>
                <w:p w14:paraId="705DE7C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032</w:t>
                  </w:r>
                </w:p>
              </w:tc>
              <w:tc>
                <w:tcPr>
                  <w:tcW w:w="439" w:type="pct"/>
                  <w:vAlign w:val="center"/>
                </w:tcPr>
                <w:p w14:paraId="78F492C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0.01443</w:t>
                  </w:r>
                </w:p>
              </w:tc>
              <w:tc>
                <w:tcPr>
                  <w:tcW w:w="386" w:type="pct"/>
                  <w:vMerge w:val="continue"/>
                  <w:vAlign w:val="center"/>
                </w:tcPr>
                <w:p w14:paraId="1E87A8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402" w:type="pct"/>
                  <w:vAlign w:val="center"/>
                </w:tcPr>
                <w:p w14:paraId="07B1F45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60%</w:t>
                  </w:r>
                </w:p>
              </w:tc>
              <w:tc>
                <w:tcPr>
                  <w:tcW w:w="413" w:type="pct"/>
                  <w:vAlign w:val="center"/>
                </w:tcPr>
                <w:p w14:paraId="19EAE31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eastAsia="仿宋_GB2312" w:cs="Times New Roman"/>
                      <w:color w:val="auto"/>
                      <w:kern w:val="0"/>
                      <w:sz w:val="21"/>
                      <w:lang w:val="en-US" w:eastAsia="zh-CN"/>
                    </w:rPr>
                    <w:t>0.29</w:t>
                  </w:r>
                  <w:r>
                    <w:rPr>
                      <w:rFonts w:hint="default" w:ascii="Times New Roman" w:hAnsi="Times New Roman" w:eastAsia="仿宋_GB2312" w:cs="Times New Roman"/>
                      <w:color w:val="auto"/>
                      <w:kern w:val="0"/>
                      <w:sz w:val="21"/>
                    </w:rPr>
                    <w:t xml:space="preserve"> </w:t>
                  </w:r>
                </w:p>
              </w:tc>
              <w:tc>
                <w:tcPr>
                  <w:tcW w:w="376" w:type="pct"/>
                  <w:vAlign w:val="center"/>
                </w:tcPr>
                <w:p w14:paraId="5EE384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w:t>
                  </w:r>
                  <w:r>
                    <w:rPr>
                      <w:rFonts w:hint="eastAsia" w:eastAsia="仿宋_GB2312" w:cs="Times New Roman"/>
                      <w:color w:val="auto"/>
                      <w:kern w:val="0"/>
                      <w:sz w:val="21"/>
                      <w:lang w:val="en-US" w:eastAsia="zh-CN"/>
                    </w:rPr>
                    <w:t>13</w:t>
                  </w:r>
                  <w:r>
                    <w:rPr>
                      <w:rFonts w:hint="default" w:ascii="Times New Roman" w:hAnsi="Times New Roman" w:eastAsia="仿宋_GB2312" w:cs="Times New Roman"/>
                      <w:color w:val="auto"/>
                      <w:kern w:val="0"/>
                      <w:sz w:val="21"/>
                    </w:rPr>
                    <w:t xml:space="preserve"> </w:t>
                  </w:r>
                </w:p>
              </w:tc>
              <w:tc>
                <w:tcPr>
                  <w:tcW w:w="346" w:type="pct"/>
                  <w:vAlign w:val="center"/>
                </w:tcPr>
                <w:p w14:paraId="6D907C6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006</w:t>
                  </w:r>
                  <w:r>
                    <w:rPr>
                      <w:rFonts w:hint="default" w:ascii="Times New Roman" w:hAnsi="Times New Roman" w:eastAsia="仿宋_GB2312" w:cs="Times New Roman"/>
                      <w:color w:val="auto"/>
                      <w:kern w:val="0"/>
                      <w:sz w:val="21"/>
                    </w:rPr>
                    <w:t xml:space="preserve"> </w:t>
                  </w:r>
                </w:p>
              </w:tc>
              <w:tc>
                <w:tcPr>
                  <w:tcW w:w="329" w:type="pct"/>
                  <w:vAlign w:val="center"/>
                </w:tcPr>
                <w:p w14:paraId="3210683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263" w:type="pct"/>
                  <w:vAlign w:val="center"/>
                </w:tcPr>
                <w:p w14:paraId="35D586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0.33</w:t>
                  </w:r>
                </w:p>
              </w:tc>
            </w:tr>
            <w:tr w14:paraId="6B59D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35" w:type="pct"/>
                  <w:vMerge w:val="continue"/>
                  <w:vAlign w:val="center"/>
                </w:tcPr>
                <w:p w14:paraId="2FEE1D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379" w:type="pct"/>
                  <w:vMerge w:val="continue"/>
                  <w:vAlign w:val="center"/>
                </w:tcPr>
                <w:p w14:paraId="1C02423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546" w:type="pct"/>
                  <w:noWrap/>
                  <w:vAlign w:val="center"/>
                </w:tcPr>
                <w:p w14:paraId="65D7EE4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氯化氢</w:t>
                  </w:r>
                </w:p>
              </w:tc>
              <w:tc>
                <w:tcPr>
                  <w:tcW w:w="386" w:type="pct"/>
                  <w:vAlign w:val="center"/>
                </w:tcPr>
                <w:p w14:paraId="521186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38.89</w:t>
                  </w:r>
                </w:p>
              </w:tc>
              <w:tc>
                <w:tcPr>
                  <w:tcW w:w="392" w:type="pct"/>
                  <w:noWrap/>
                  <w:vAlign w:val="center"/>
                </w:tcPr>
                <w:p w14:paraId="49E4BE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175</w:t>
                  </w:r>
                </w:p>
              </w:tc>
              <w:tc>
                <w:tcPr>
                  <w:tcW w:w="439" w:type="pct"/>
                  <w:vAlign w:val="center"/>
                </w:tcPr>
                <w:p w14:paraId="44D457E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07</w:t>
                  </w:r>
                </w:p>
              </w:tc>
              <w:tc>
                <w:tcPr>
                  <w:tcW w:w="386" w:type="pct"/>
                  <w:vMerge w:val="continue"/>
                  <w:vAlign w:val="center"/>
                </w:tcPr>
                <w:p w14:paraId="476A0A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402" w:type="pct"/>
                  <w:vAlign w:val="center"/>
                </w:tcPr>
                <w:p w14:paraId="163BEAC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w:t>
                  </w:r>
                </w:p>
              </w:tc>
              <w:tc>
                <w:tcPr>
                  <w:tcW w:w="413" w:type="pct"/>
                  <w:vAlign w:val="center"/>
                </w:tcPr>
                <w:p w14:paraId="2173FB5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3.89</w:t>
                  </w:r>
                </w:p>
              </w:tc>
              <w:tc>
                <w:tcPr>
                  <w:tcW w:w="376" w:type="pct"/>
                  <w:vAlign w:val="center"/>
                </w:tcPr>
                <w:p w14:paraId="49A59E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175</w:t>
                  </w:r>
                </w:p>
              </w:tc>
              <w:tc>
                <w:tcPr>
                  <w:tcW w:w="346" w:type="pct"/>
                  <w:vAlign w:val="center"/>
                </w:tcPr>
                <w:p w14:paraId="3D0793E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w:t>
                  </w:r>
                  <w:r>
                    <w:rPr>
                      <w:rFonts w:hint="eastAsia" w:eastAsia="仿宋_GB2312" w:cs="Times New Roman"/>
                      <w:color w:val="auto"/>
                      <w:kern w:val="0"/>
                      <w:sz w:val="21"/>
                      <w:lang w:val="en-US" w:eastAsia="zh-CN"/>
                    </w:rPr>
                    <w:t>07</w:t>
                  </w:r>
                  <w:r>
                    <w:rPr>
                      <w:rFonts w:hint="default" w:ascii="Times New Roman" w:hAnsi="Times New Roman" w:eastAsia="仿宋_GB2312" w:cs="Times New Roman"/>
                      <w:color w:val="auto"/>
                      <w:kern w:val="0"/>
                      <w:sz w:val="21"/>
                    </w:rPr>
                    <w:t xml:space="preserve"> </w:t>
                  </w:r>
                </w:p>
              </w:tc>
              <w:tc>
                <w:tcPr>
                  <w:tcW w:w="329" w:type="pct"/>
                  <w:vAlign w:val="center"/>
                </w:tcPr>
                <w:p w14:paraId="74AFCF9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w:t>
                  </w:r>
                </w:p>
              </w:tc>
              <w:tc>
                <w:tcPr>
                  <w:tcW w:w="263" w:type="pct"/>
                  <w:vAlign w:val="center"/>
                </w:tcPr>
                <w:p w14:paraId="6247339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0.18</w:t>
                  </w:r>
                </w:p>
              </w:tc>
            </w:tr>
            <w:tr w14:paraId="1AE4F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35" w:type="pct"/>
                  <w:vMerge w:val="restart"/>
                  <w:vAlign w:val="center"/>
                </w:tcPr>
                <w:p w14:paraId="70AC9F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DA003</w:t>
                  </w:r>
                </w:p>
              </w:tc>
              <w:tc>
                <w:tcPr>
                  <w:tcW w:w="379" w:type="pct"/>
                  <w:vMerge w:val="restart"/>
                  <w:vAlign w:val="center"/>
                </w:tcPr>
                <w:p w14:paraId="0F7F2E3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1000</w:t>
                  </w:r>
                </w:p>
              </w:tc>
              <w:tc>
                <w:tcPr>
                  <w:tcW w:w="546" w:type="pct"/>
                  <w:noWrap/>
                  <w:vAlign w:val="center"/>
                </w:tcPr>
                <w:p w14:paraId="54B4124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SO</w:t>
                  </w:r>
                  <w:r>
                    <w:rPr>
                      <w:rFonts w:hint="default" w:ascii="Times New Roman" w:hAnsi="Times New Roman" w:eastAsia="仿宋_GB2312" w:cs="Times New Roman"/>
                      <w:color w:val="auto"/>
                      <w:sz w:val="21"/>
                      <w:vertAlign w:val="subscript"/>
                    </w:rPr>
                    <w:t>2</w:t>
                  </w:r>
                </w:p>
              </w:tc>
              <w:tc>
                <w:tcPr>
                  <w:tcW w:w="386" w:type="pct"/>
                  <w:vAlign w:val="center"/>
                </w:tcPr>
                <w:p w14:paraId="3A33D14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3.2</w:t>
                  </w:r>
                </w:p>
              </w:tc>
              <w:tc>
                <w:tcPr>
                  <w:tcW w:w="392" w:type="pct"/>
                  <w:noWrap/>
                  <w:vAlign w:val="center"/>
                </w:tcPr>
                <w:p w14:paraId="53CAC50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0.0032</w:t>
                  </w:r>
                </w:p>
              </w:tc>
              <w:tc>
                <w:tcPr>
                  <w:tcW w:w="439" w:type="pct"/>
                  <w:vAlign w:val="center"/>
                </w:tcPr>
                <w:p w14:paraId="7C13A52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0.002</w:t>
                  </w:r>
                </w:p>
              </w:tc>
              <w:tc>
                <w:tcPr>
                  <w:tcW w:w="386" w:type="pct"/>
                  <w:vMerge w:val="restart"/>
                  <w:vAlign w:val="center"/>
                </w:tcPr>
                <w:p w14:paraId="792920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402" w:type="pct"/>
                  <w:vMerge w:val="restart"/>
                  <w:vAlign w:val="center"/>
                </w:tcPr>
                <w:p w14:paraId="3CE20C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413" w:type="pct"/>
                  <w:vAlign w:val="center"/>
                </w:tcPr>
                <w:p w14:paraId="2E6DB3C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3.2</w:t>
                  </w:r>
                </w:p>
              </w:tc>
              <w:tc>
                <w:tcPr>
                  <w:tcW w:w="376" w:type="pct"/>
                  <w:vAlign w:val="center"/>
                </w:tcPr>
                <w:p w14:paraId="1C2A14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0.0032</w:t>
                  </w:r>
                </w:p>
              </w:tc>
              <w:tc>
                <w:tcPr>
                  <w:tcW w:w="346" w:type="pct"/>
                  <w:vAlign w:val="center"/>
                </w:tcPr>
                <w:p w14:paraId="050DCB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0.002</w:t>
                  </w:r>
                </w:p>
              </w:tc>
              <w:tc>
                <w:tcPr>
                  <w:tcW w:w="329" w:type="pct"/>
                  <w:vAlign w:val="center"/>
                </w:tcPr>
                <w:p w14:paraId="0FAC277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35</w:t>
                  </w:r>
                </w:p>
              </w:tc>
              <w:tc>
                <w:tcPr>
                  <w:tcW w:w="263" w:type="pct"/>
                  <w:vAlign w:val="center"/>
                </w:tcPr>
                <w:p w14:paraId="575BE0E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r>
            <w:tr w14:paraId="04173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35" w:type="pct"/>
                  <w:vMerge w:val="continue"/>
                  <w:vAlign w:val="center"/>
                </w:tcPr>
                <w:p w14:paraId="04587D5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379" w:type="pct"/>
                  <w:vMerge w:val="continue"/>
                  <w:vAlign w:val="center"/>
                </w:tcPr>
                <w:p w14:paraId="68CA98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546" w:type="pct"/>
                  <w:noWrap/>
                  <w:vAlign w:val="center"/>
                </w:tcPr>
                <w:p w14:paraId="2736B0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NO</w:t>
                  </w:r>
                  <w:r>
                    <w:rPr>
                      <w:rFonts w:hint="default" w:ascii="Times New Roman" w:hAnsi="Times New Roman" w:eastAsia="仿宋_GB2312" w:cs="Times New Roman"/>
                      <w:color w:val="auto"/>
                      <w:sz w:val="21"/>
                      <w:vertAlign w:val="subscript"/>
                    </w:rPr>
                    <w:t>X</w:t>
                  </w:r>
                </w:p>
              </w:tc>
              <w:tc>
                <w:tcPr>
                  <w:tcW w:w="386" w:type="pct"/>
                  <w:vAlign w:val="center"/>
                </w:tcPr>
                <w:p w14:paraId="70C000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32.3</w:t>
                  </w:r>
                </w:p>
              </w:tc>
              <w:tc>
                <w:tcPr>
                  <w:tcW w:w="392" w:type="pct"/>
                  <w:noWrap/>
                  <w:vAlign w:val="center"/>
                </w:tcPr>
                <w:p w14:paraId="7460D7A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0.0323</w:t>
                  </w:r>
                </w:p>
              </w:tc>
              <w:tc>
                <w:tcPr>
                  <w:tcW w:w="439" w:type="pct"/>
                  <w:vAlign w:val="center"/>
                </w:tcPr>
                <w:p w14:paraId="782DAC3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c>
                <w:tcPr>
                  <w:tcW w:w="386" w:type="pct"/>
                  <w:vMerge w:val="continue"/>
                  <w:vAlign w:val="center"/>
                </w:tcPr>
                <w:p w14:paraId="64AB97B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402" w:type="pct"/>
                  <w:vMerge w:val="continue"/>
                  <w:vAlign w:val="center"/>
                </w:tcPr>
                <w:p w14:paraId="59C302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c>
                <w:tcPr>
                  <w:tcW w:w="413" w:type="pct"/>
                  <w:vAlign w:val="center"/>
                </w:tcPr>
                <w:p w14:paraId="643E16C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32.3</w:t>
                  </w:r>
                </w:p>
              </w:tc>
              <w:tc>
                <w:tcPr>
                  <w:tcW w:w="376" w:type="pct"/>
                  <w:vAlign w:val="center"/>
                </w:tcPr>
                <w:p w14:paraId="7D20DF4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0.0323</w:t>
                  </w:r>
                </w:p>
              </w:tc>
              <w:tc>
                <w:tcPr>
                  <w:tcW w:w="346" w:type="pct"/>
                  <w:vAlign w:val="center"/>
                </w:tcPr>
                <w:p w14:paraId="7E7354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c>
                <w:tcPr>
                  <w:tcW w:w="329" w:type="pct"/>
                  <w:vAlign w:val="center"/>
                </w:tcPr>
                <w:p w14:paraId="184F4F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50</w:t>
                  </w:r>
                </w:p>
              </w:tc>
              <w:tc>
                <w:tcPr>
                  <w:tcW w:w="263" w:type="pct"/>
                  <w:vAlign w:val="center"/>
                </w:tcPr>
                <w:p w14:paraId="3715DDB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r>
            <w:tr w14:paraId="1F4DB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35" w:type="pct"/>
                  <w:vMerge w:val="continue"/>
                  <w:vAlign w:val="center"/>
                </w:tcPr>
                <w:p w14:paraId="4930379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379" w:type="pct"/>
                  <w:vMerge w:val="continue"/>
                  <w:vAlign w:val="center"/>
                </w:tcPr>
                <w:p w14:paraId="5FE85F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546" w:type="pct"/>
                  <w:noWrap/>
                  <w:vAlign w:val="center"/>
                </w:tcPr>
                <w:p w14:paraId="6A755A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颗粒物</w:t>
                  </w:r>
                </w:p>
              </w:tc>
              <w:tc>
                <w:tcPr>
                  <w:tcW w:w="386" w:type="pct"/>
                  <w:vAlign w:val="center"/>
                </w:tcPr>
                <w:p w14:paraId="29A5E0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6.5</w:t>
                  </w:r>
                </w:p>
              </w:tc>
              <w:tc>
                <w:tcPr>
                  <w:tcW w:w="392" w:type="pct"/>
                  <w:noWrap/>
                  <w:vAlign w:val="center"/>
                </w:tcPr>
                <w:p w14:paraId="0614351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0.0065</w:t>
                  </w:r>
                </w:p>
              </w:tc>
              <w:tc>
                <w:tcPr>
                  <w:tcW w:w="439" w:type="pct"/>
                  <w:vAlign w:val="center"/>
                </w:tcPr>
                <w:p w14:paraId="6EB3D2C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0.004</w:t>
                  </w:r>
                </w:p>
              </w:tc>
              <w:tc>
                <w:tcPr>
                  <w:tcW w:w="386" w:type="pct"/>
                  <w:vMerge w:val="continue"/>
                  <w:vAlign w:val="center"/>
                </w:tcPr>
                <w:p w14:paraId="0092E0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402" w:type="pct"/>
                  <w:vMerge w:val="continue"/>
                  <w:vAlign w:val="center"/>
                </w:tcPr>
                <w:p w14:paraId="3EDEBC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c>
                <w:tcPr>
                  <w:tcW w:w="413" w:type="pct"/>
                  <w:vAlign w:val="center"/>
                </w:tcPr>
                <w:p w14:paraId="647389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6.5</w:t>
                  </w:r>
                </w:p>
              </w:tc>
              <w:tc>
                <w:tcPr>
                  <w:tcW w:w="376" w:type="pct"/>
                  <w:vAlign w:val="center"/>
                </w:tcPr>
                <w:p w14:paraId="617A4C9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0.0065</w:t>
                  </w:r>
                </w:p>
              </w:tc>
              <w:tc>
                <w:tcPr>
                  <w:tcW w:w="346" w:type="pct"/>
                  <w:vAlign w:val="center"/>
                </w:tcPr>
                <w:p w14:paraId="5632E35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0.004</w:t>
                  </w:r>
                </w:p>
              </w:tc>
              <w:tc>
                <w:tcPr>
                  <w:tcW w:w="329" w:type="pct"/>
                  <w:vAlign w:val="center"/>
                </w:tcPr>
                <w:p w14:paraId="0BC5C6F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10</w:t>
                  </w:r>
                </w:p>
              </w:tc>
              <w:tc>
                <w:tcPr>
                  <w:tcW w:w="263" w:type="pct"/>
                  <w:vAlign w:val="center"/>
                </w:tcPr>
                <w:p w14:paraId="421802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r>
          </w:tbl>
          <w:p w14:paraId="62714140">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由上表可知，本项目排放的污染物能满足相应标准排放限值。</w:t>
            </w:r>
          </w:p>
          <w:p w14:paraId="1632DE23">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本项目废气排放口基本情况见下表。</w:t>
            </w:r>
          </w:p>
          <w:p w14:paraId="344A9D5E">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表4-1</w:t>
            </w:r>
            <w:r>
              <w:rPr>
                <w:rFonts w:hint="eastAsia" w:eastAsia="仿宋_GB2312"/>
                <w:b/>
                <w:color w:val="auto"/>
                <w:sz w:val="22"/>
                <w:szCs w:val="22"/>
                <w:lang w:val="en-US" w:eastAsia="zh-CN"/>
              </w:rPr>
              <w:t>3</w:t>
            </w:r>
            <w:r>
              <w:rPr>
                <w:rFonts w:hint="default" w:eastAsia="仿宋_GB2312"/>
                <w:b/>
                <w:color w:val="auto"/>
                <w:sz w:val="22"/>
                <w:szCs w:val="22"/>
              </w:rPr>
              <w:t xml:space="preserve">  本项目废气排放口基本情况表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094"/>
              <w:gridCol w:w="1867"/>
              <w:gridCol w:w="1288"/>
              <w:gridCol w:w="1822"/>
              <w:gridCol w:w="1374"/>
              <w:gridCol w:w="3"/>
              <w:gridCol w:w="1275"/>
            </w:tblGrid>
            <w:tr w14:paraId="20F59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12" w:type="pct"/>
                  <w:tcBorders>
                    <w:tl2br w:val="nil"/>
                    <w:tr2bl w:val="nil"/>
                  </w:tcBorders>
                  <w:vAlign w:val="center"/>
                </w:tcPr>
                <w:p w14:paraId="12CBD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kern w:val="0"/>
                      <w:sz w:val="21"/>
                      <w:szCs w:val="24"/>
                      <w:lang w:val="en-US" w:eastAsia="zh-CN" w:bidi="ar-SA"/>
                    </w:rPr>
                  </w:pPr>
                  <w:r>
                    <w:rPr>
                      <w:rFonts w:hint="default" w:ascii="Times New Roman" w:hAnsi="Times New Roman" w:eastAsia="仿宋_GB2312" w:cs="Times New Roman"/>
                      <w:b/>
                      <w:color w:val="auto"/>
                      <w:sz w:val="21"/>
                    </w:rPr>
                    <w:t>编号</w:t>
                  </w:r>
                </w:p>
              </w:tc>
              <w:tc>
                <w:tcPr>
                  <w:tcW w:w="578" w:type="pct"/>
                  <w:tcBorders>
                    <w:tl2br w:val="nil"/>
                    <w:tr2bl w:val="nil"/>
                  </w:tcBorders>
                  <w:noWrap/>
                  <w:vAlign w:val="center"/>
                </w:tcPr>
                <w:p w14:paraId="46935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kern w:val="0"/>
                      <w:sz w:val="21"/>
                      <w:szCs w:val="24"/>
                      <w:lang w:val="en-US" w:eastAsia="zh-CN" w:bidi="ar-SA"/>
                    </w:rPr>
                  </w:pPr>
                  <w:r>
                    <w:rPr>
                      <w:rFonts w:hint="default" w:ascii="Times New Roman" w:hAnsi="Times New Roman" w:eastAsia="仿宋_GB2312" w:cs="Times New Roman"/>
                      <w:b/>
                      <w:color w:val="auto"/>
                      <w:sz w:val="21"/>
                    </w:rPr>
                    <w:t>名称</w:t>
                  </w:r>
                </w:p>
              </w:tc>
              <w:tc>
                <w:tcPr>
                  <w:tcW w:w="578" w:type="pct"/>
                  <w:tcBorders>
                    <w:tl2br w:val="nil"/>
                    <w:tr2bl w:val="nil"/>
                  </w:tcBorders>
                  <w:noWrap/>
                  <w:vAlign w:val="center"/>
                </w:tcPr>
                <w:p w14:paraId="736CF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kern w:val="0"/>
                      <w:sz w:val="21"/>
                      <w:szCs w:val="24"/>
                      <w:lang w:val="en-US" w:eastAsia="zh-CN" w:bidi="ar-SA"/>
                    </w:rPr>
                  </w:pPr>
                  <w:r>
                    <w:rPr>
                      <w:rFonts w:hint="default" w:ascii="Times New Roman" w:hAnsi="Times New Roman" w:eastAsia="仿宋_GB2312" w:cs="Times New Roman"/>
                      <w:b/>
                      <w:color w:val="auto"/>
                      <w:kern w:val="0"/>
                      <w:sz w:val="21"/>
                    </w:rPr>
                    <w:t>排气筒高度（m）</w:t>
                  </w:r>
                </w:p>
              </w:tc>
              <w:tc>
                <w:tcPr>
                  <w:tcW w:w="672" w:type="pct"/>
                  <w:tcBorders>
                    <w:tl2br w:val="nil"/>
                    <w:tr2bl w:val="nil"/>
                  </w:tcBorders>
                  <w:vAlign w:val="center"/>
                </w:tcPr>
                <w:p w14:paraId="2BE1C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kern w:val="0"/>
                      <w:sz w:val="21"/>
                      <w:szCs w:val="24"/>
                      <w:lang w:val="en-US" w:eastAsia="zh-CN" w:bidi="ar-SA"/>
                    </w:rPr>
                  </w:pPr>
                  <w:r>
                    <w:rPr>
                      <w:rFonts w:hint="default" w:ascii="Times New Roman" w:hAnsi="Times New Roman" w:eastAsia="仿宋_GB2312" w:cs="Times New Roman"/>
                      <w:b/>
                      <w:color w:val="auto"/>
                      <w:kern w:val="0"/>
                      <w:sz w:val="21"/>
                    </w:rPr>
                    <w:t>排气筒出口内径（m）</w:t>
                  </w:r>
                </w:p>
              </w:tc>
              <w:tc>
                <w:tcPr>
                  <w:tcW w:w="931" w:type="pct"/>
                  <w:tcBorders>
                    <w:tl2br w:val="nil"/>
                    <w:tr2bl w:val="nil"/>
                  </w:tcBorders>
                  <w:noWrap/>
                  <w:vAlign w:val="center"/>
                </w:tcPr>
                <w:p w14:paraId="04303B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kern w:val="0"/>
                      <w:sz w:val="21"/>
                      <w:szCs w:val="24"/>
                      <w:lang w:val="en-US" w:eastAsia="zh-CN" w:bidi="ar-SA"/>
                    </w:rPr>
                  </w:pPr>
                  <w:r>
                    <w:rPr>
                      <w:rFonts w:hint="default" w:ascii="Times New Roman" w:hAnsi="Times New Roman" w:eastAsia="仿宋_GB2312" w:cs="Times New Roman"/>
                      <w:b/>
                      <w:color w:val="auto"/>
                      <w:kern w:val="0"/>
                      <w:sz w:val="21"/>
                    </w:rPr>
                    <w:t>烟气流速（m/s）</w:t>
                  </w:r>
                </w:p>
              </w:tc>
              <w:tc>
                <w:tcPr>
                  <w:tcW w:w="713" w:type="pct"/>
                  <w:tcBorders>
                    <w:tl2br w:val="nil"/>
                    <w:tr2bl w:val="nil"/>
                  </w:tcBorders>
                  <w:vAlign w:val="center"/>
                </w:tcPr>
                <w:p w14:paraId="23141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kern w:val="0"/>
                      <w:sz w:val="21"/>
                      <w:szCs w:val="24"/>
                      <w:lang w:val="en-US" w:eastAsia="zh-CN" w:bidi="ar-SA"/>
                    </w:rPr>
                  </w:pPr>
                  <w:r>
                    <w:rPr>
                      <w:rFonts w:hint="default" w:ascii="Times New Roman" w:hAnsi="Times New Roman" w:eastAsia="仿宋_GB2312" w:cs="Times New Roman"/>
                      <w:b/>
                      <w:color w:val="auto"/>
                      <w:kern w:val="0"/>
                      <w:sz w:val="21"/>
                    </w:rPr>
                    <w:t>烟气温度（℃）</w:t>
                  </w:r>
                </w:p>
              </w:tc>
              <w:tc>
                <w:tcPr>
                  <w:tcW w:w="713" w:type="pct"/>
                  <w:gridSpan w:val="2"/>
                  <w:tcBorders>
                    <w:tl2br w:val="nil"/>
                    <w:tr2bl w:val="nil"/>
                  </w:tcBorders>
                  <w:vAlign w:val="center"/>
                </w:tcPr>
                <w:p w14:paraId="76D69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color w:val="auto"/>
                      <w:kern w:val="0"/>
                      <w:sz w:val="21"/>
                      <w:szCs w:val="24"/>
                      <w:lang w:val="en-US" w:eastAsia="zh-CN" w:bidi="ar-SA"/>
                    </w:rPr>
                  </w:pPr>
                  <w:r>
                    <w:rPr>
                      <w:rFonts w:hint="default" w:ascii="Times New Roman" w:hAnsi="Times New Roman" w:eastAsia="仿宋_GB2312" w:cs="Times New Roman"/>
                      <w:b/>
                      <w:color w:val="auto"/>
                      <w:kern w:val="0"/>
                      <w:sz w:val="21"/>
                    </w:rPr>
                    <w:t>年排放小时数（h）</w:t>
                  </w:r>
                </w:p>
              </w:tc>
            </w:tr>
            <w:tr w14:paraId="7AE2D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2" w:type="pct"/>
                  <w:tcBorders>
                    <w:tl2br w:val="nil"/>
                    <w:tr2bl w:val="nil"/>
                  </w:tcBorders>
                  <w:vAlign w:val="center"/>
                </w:tcPr>
                <w:p w14:paraId="434F4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
                      <w:color w:val="auto"/>
                      <w:kern w:val="0"/>
                      <w:szCs w:val="21"/>
                    </w:rPr>
                  </w:pPr>
                  <w:r>
                    <w:rPr>
                      <w:rFonts w:hint="default" w:ascii="Times New Roman" w:hAnsi="Times New Roman" w:eastAsia="仿宋_GB2312" w:cs="Times New Roman"/>
                      <w:color w:val="auto"/>
                      <w:kern w:val="0"/>
                      <w:sz w:val="21"/>
                      <w:shd w:val="clear" w:color="auto" w:fill="auto"/>
                    </w:rPr>
                    <w:t>DA001</w:t>
                  </w:r>
                </w:p>
              </w:tc>
              <w:tc>
                <w:tcPr>
                  <w:tcW w:w="578" w:type="pct"/>
                  <w:tcBorders>
                    <w:tl2br w:val="nil"/>
                    <w:tr2bl w:val="nil"/>
                  </w:tcBorders>
                  <w:vAlign w:val="center"/>
                </w:tcPr>
                <w:p w14:paraId="4C637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
                      <w:color w:val="auto"/>
                      <w:kern w:val="0"/>
                      <w:szCs w:val="21"/>
                    </w:rPr>
                  </w:pPr>
                  <w:r>
                    <w:rPr>
                      <w:rFonts w:hint="default" w:ascii="Times New Roman" w:hAnsi="Times New Roman" w:eastAsia="仿宋_GB2312" w:cs="Times New Roman"/>
                      <w:color w:val="auto"/>
                      <w:kern w:val="0"/>
                      <w:sz w:val="21"/>
                      <w:shd w:val="clear" w:color="auto" w:fill="auto"/>
                    </w:rPr>
                    <w:t>1#排气筒</w:t>
                  </w:r>
                </w:p>
              </w:tc>
              <w:tc>
                <w:tcPr>
                  <w:tcW w:w="578" w:type="pct"/>
                  <w:tcBorders>
                    <w:tl2br w:val="nil"/>
                    <w:tr2bl w:val="nil"/>
                  </w:tcBorders>
                  <w:vAlign w:val="center"/>
                </w:tcPr>
                <w:p w14:paraId="17723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
                      <w:color w:val="auto"/>
                      <w:kern w:val="0"/>
                      <w:szCs w:val="21"/>
                    </w:rPr>
                  </w:pPr>
                  <w:r>
                    <w:rPr>
                      <w:rFonts w:hint="default" w:ascii="Times New Roman" w:hAnsi="Times New Roman" w:eastAsia="仿宋_GB2312" w:cs="Times New Roman"/>
                      <w:color w:val="auto"/>
                      <w:kern w:val="0"/>
                      <w:sz w:val="21"/>
                      <w:shd w:val="clear" w:color="auto" w:fill="auto"/>
                    </w:rPr>
                    <w:t>15</w:t>
                  </w:r>
                </w:p>
              </w:tc>
              <w:tc>
                <w:tcPr>
                  <w:tcW w:w="672" w:type="pct"/>
                  <w:tcBorders>
                    <w:tl2br w:val="nil"/>
                    <w:tr2bl w:val="nil"/>
                  </w:tcBorders>
                  <w:vAlign w:val="center"/>
                </w:tcPr>
                <w:p w14:paraId="1333C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
                      <w:color w:val="auto"/>
                      <w:kern w:val="0"/>
                      <w:szCs w:val="21"/>
                    </w:rPr>
                  </w:pPr>
                  <w:r>
                    <w:rPr>
                      <w:rFonts w:hint="default" w:ascii="Times New Roman" w:hAnsi="Times New Roman" w:eastAsia="仿宋_GB2312" w:cs="Times New Roman"/>
                      <w:color w:val="auto"/>
                      <w:kern w:val="0"/>
                      <w:sz w:val="21"/>
                      <w:shd w:val="clear" w:color="auto" w:fill="auto"/>
                    </w:rPr>
                    <w:t>0.3</w:t>
                  </w:r>
                </w:p>
              </w:tc>
              <w:tc>
                <w:tcPr>
                  <w:tcW w:w="931" w:type="pct"/>
                  <w:tcBorders>
                    <w:tl2br w:val="nil"/>
                    <w:tr2bl w:val="nil"/>
                  </w:tcBorders>
                  <w:vAlign w:val="center"/>
                </w:tcPr>
                <w:p w14:paraId="1E56B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
                      <w:color w:val="auto"/>
                      <w:kern w:val="0"/>
                      <w:szCs w:val="21"/>
                    </w:rPr>
                  </w:pPr>
                  <w:r>
                    <w:rPr>
                      <w:rFonts w:hint="default" w:ascii="Times New Roman" w:hAnsi="Times New Roman" w:eastAsia="仿宋_GB2312" w:cs="Times New Roman"/>
                      <w:color w:val="auto"/>
                      <w:kern w:val="0"/>
                      <w:sz w:val="21"/>
                      <w:shd w:val="clear" w:color="auto" w:fill="auto"/>
                    </w:rPr>
                    <w:t>1.11</w:t>
                  </w:r>
                </w:p>
              </w:tc>
              <w:tc>
                <w:tcPr>
                  <w:tcW w:w="715" w:type="pct"/>
                  <w:gridSpan w:val="2"/>
                  <w:tcBorders>
                    <w:tl2br w:val="nil"/>
                    <w:tr2bl w:val="nil"/>
                  </w:tcBorders>
                  <w:vAlign w:val="center"/>
                </w:tcPr>
                <w:p w14:paraId="58F50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
                      <w:color w:val="auto"/>
                      <w:kern w:val="0"/>
                      <w:szCs w:val="21"/>
                    </w:rPr>
                  </w:pPr>
                  <w:r>
                    <w:rPr>
                      <w:rFonts w:hint="default" w:ascii="Times New Roman" w:hAnsi="Times New Roman" w:eastAsia="仿宋_GB2312" w:cs="Times New Roman"/>
                      <w:color w:val="auto"/>
                      <w:kern w:val="0"/>
                      <w:sz w:val="21"/>
                      <w:shd w:val="clear" w:color="auto" w:fill="auto"/>
                    </w:rPr>
                    <w:t>25</w:t>
                  </w:r>
                </w:p>
              </w:tc>
              <w:tc>
                <w:tcPr>
                  <w:tcW w:w="711" w:type="pct"/>
                  <w:tcBorders>
                    <w:tl2br w:val="nil"/>
                    <w:tr2bl w:val="nil"/>
                  </w:tcBorders>
                  <w:vAlign w:val="center"/>
                </w:tcPr>
                <w:p w14:paraId="6F0FF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
                      <w:color w:val="auto"/>
                      <w:kern w:val="0"/>
                      <w:szCs w:val="21"/>
                    </w:rPr>
                  </w:pPr>
                  <w:r>
                    <w:rPr>
                      <w:rFonts w:hint="default" w:ascii="Times New Roman" w:hAnsi="Times New Roman" w:eastAsia="仿宋_GB2312" w:cs="Times New Roman"/>
                      <w:color w:val="auto"/>
                      <w:kern w:val="0"/>
                      <w:sz w:val="21"/>
                      <w:shd w:val="clear" w:color="auto" w:fill="auto"/>
                    </w:rPr>
                    <w:t>7200</w:t>
                  </w:r>
                </w:p>
              </w:tc>
            </w:tr>
            <w:tr w14:paraId="5FE46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2" w:type="pct"/>
                  <w:tcBorders>
                    <w:tl2br w:val="nil"/>
                    <w:tr2bl w:val="nil"/>
                  </w:tcBorders>
                  <w:vAlign w:val="center"/>
                </w:tcPr>
                <w:p w14:paraId="4610D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DA002</w:t>
                  </w:r>
                </w:p>
              </w:tc>
              <w:tc>
                <w:tcPr>
                  <w:tcW w:w="578" w:type="pct"/>
                  <w:tcBorders>
                    <w:tl2br w:val="nil"/>
                    <w:tr2bl w:val="nil"/>
                  </w:tcBorders>
                  <w:vAlign w:val="center"/>
                </w:tcPr>
                <w:p w14:paraId="174F7A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2#排气筒</w:t>
                  </w:r>
                </w:p>
              </w:tc>
              <w:tc>
                <w:tcPr>
                  <w:tcW w:w="578" w:type="pct"/>
                  <w:tcBorders>
                    <w:tl2br w:val="nil"/>
                    <w:tr2bl w:val="nil"/>
                  </w:tcBorders>
                  <w:vAlign w:val="center"/>
                </w:tcPr>
                <w:p w14:paraId="018AC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15</w:t>
                  </w:r>
                </w:p>
              </w:tc>
              <w:tc>
                <w:tcPr>
                  <w:tcW w:w="672" w:type="pct"/>
                  <w:tcBorders>
                    <w:tl2br w:val="nil"/>
                    <w:tr2bl w:val="nil"/>
                  </w:tcBorders>
                  <w:vAlign w:val="center"/>
                </w:tcPr>
                <w:p w14:paraId="711E4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Cs/>
                      <w:color w:val="auto"/>
                      <w:kern w:val="0"/>
                      <w:szCs w:val="21"/>
                    </w:rPr>
                  </w:pPr>
                  <w:r>
                    <w:rPr>
                      <w:rFonts w:hint="default" w:ascii="Times New Roman" w:hAnsi="Times New Roman" w:eastAsia="仿宋_GB2312" w:cs="Times New Roman"/>
                      <w:color w:val="auto"/>
                      <w:kern w:val="0"/>
                      <w:sz w:val="21"/>
                      <w:shd w:val="clear" w:color="auto" w:fill="auto"/>
                    </w:rPr>
                    <w:t>0.3</w:t>
                  </w:r>
                </w:p>
              </w:tc>
              <w:tc>
                <w:tcPr>
                  <w:tcW w:w="931" w:type="pct"/>
                  <w:tcBorders>
                    <w:tl2br w:val="nil"/>
                    <w:tr2bl w:val="nil"/>
                  </w:tcBorders>
                  <w:vAlign w:val="center"/>
                </w:tcPr>
                <w:p w14:paraId="31A65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Cs/>
                      <w:color w:val="auto"/>
                      <w:kern w:val="0"/>
                      <w:szCs w:val="21"/>
                    </w:rPr>
                  </w:pPr>
                  <w:r>
                    <w:rPr>
                      <w:rFonts w:hint="default" w:ascii="Times New Roman" w:hAnsi="Times New Roman" w:eastAsia="仿宋_GB2312" w:cs="Times New Roman"/>
                      <w:color w:val="auto"/>
                      <w:kern w:val="0"/>
                      <w:sz w:val="21"/>
                      <w:shd w:val="clear" w:color="auto" w:fill="auto"/>
                    </w:rPr>
                    <w:t>1.25</w:t>
                  </w:r>
                </w:p>
              </w:tc>
              <w:tc>
                <w:tcPr>
                  <w:tcW w:w="715" w:type="pct"/>
                  <w:gridSpan w:val="2"/>
                  <w:tcBorders>
                    <w:tl2br w:val="nil"/>
                    <w:tr2bl w:val="nil"/>
                  </w:tcBorders>
                  <w:vAlign w:val="center"/>
                </w:tcPr>
                <w:p w14:paraId="48765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25</w:t>
                  </w:r>
                </w:p>
              </w:tc>
              <w:tc>
                <w:tcPr>
                  <w:tcW w:w="711" w:type="pct"/>
                  <w:tcBorders>
                    <w:tl2br w:val="nil"/>
                    <w:tr2bl w:val="nil"/>
                  </w:tcBorders>
                  <w:vAlign w:val="center"/>
                </w:tcPr>
                <w:p w14:paraId="5501E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7200</w:t>
                  </w:r>
                </w:p>
              </w:tc>
            </w:tr>
            <w:tr w14:paraId="32E57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2" w:type="pct"/>
                  <w:tcBorders>
                    <w:tl2br w:val="nil"/>
                    <w:tr2bl w:val="nil"/>
                  </w:tcBorders>
                  <w:vAlign w:val="center"/>
                </w:tcPr>
                <w:p w14:paraId="0A855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DA003</w:t>
                  </w:r>
                </w:p>
              </w:tc>
              <w:tc>
                <w:tcPr>
                  <w:tcW w:w="578" w:type="pct"/>
                  <w:tcBorders>
                    <w:tl2br w:val="nil"/>
                    <w:tr2bl w:val="nil"/>
                  </w:tcBorders>
                  <w:vAlign w:val="center"/>
                </w:tcPr>
                <w:p w14:paraId="2BCC6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3#排气筒</w:t>
                  </w:r>
                </w:p>
              </w:tc>
              <w:tc>
                <w:tcPr>
                  <w:tcW w:w="578" w:type="pct"/>
                  <w:tcBorders>
                    <w:tl2br w:val="nil"/>
                    <w:tr2bl w:val="nil"/>
                  </w:tcBorders>
                  <w:vAlign w:val="center"/>
                </w:tcPr>
                <w:p w14:paraId="447A6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15</w:t>
                  </w:r>
                </w:p>
              </w:tc>
              <w:tc>
                <w:tcPr>
                  <w:tcW w:w="672" w:type="pct"/>
                  <w:tcBorders>
                    <w:tl2br w:val="nil"/>
                    <w:tr2bl w:val="nil"/>
                  </w:tcBorders>
                  <w:vAlign w:val="center"/>
                </w:tcPr>
                <w:p w14:paraId="2AE53D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Cs/>
                      <w:color w:val="auto"/>
                      <w:kern w:val="0"/>
                      <w:szCs w:val="21"/>
                    </w:rPr>
                  </w:pPr>
                  <w:r>
                    <w:rPr>
                      <w:rFonts w:hint="default" w:ascii="Times New Roman" w:hAnsi="Times New Roman" w:eastAsia="仿宋_GB2312" w:cs="Times New Roman"/>
                      <w:color w:val="auto"/>
                      <w:kern w:val="0"/>
                      <w:sz w:val="21"/>
                      <w:shd w:val="clear" w:color="auto" w:fill="auto"/>
                    </w:rPr>
                    <w:t>0.3</w:t>
                  </w:r>
                </w:p>
              </w:tc>
              <w:tc>
                <w:tcPr>
                  <w:tcW w:w="931" w:type="pct"/>
                  <w:tcBorders>
                    <w:tl2br w:val="nil"/>
                    <w:tr2bl w:val="nil"/>
                  </w:tcBorders>
                  <w:vAlign w:val="center"/>
                </w:tcPr>
                <w:p w14:paraId="79A1F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bCs/>
                      <w:color w:val="auto"/>
                      <w:kern w:val="0"/>
                      <w:szCs w:val="21"/>
                    </w:rPr>
                  </w:pPr>
                  <w:r>
                    <w:rPr>
                      <w:rFonts w:hint="default" w:ascii="Times New Roman" w:hAnsi="Times New Roman" w:eastAsia="仿宋_GB2312" w:cs="Times New Roman"/>
                      <w:color w:val="auto"/>
                      <w:kern w:val="0"/>
                      <w:sz w:val="21"/>
                      <w:shd w:val="clear" w:color="auto" w:fill="auto"/>
                    </w:rPr>
                    <w:t>1.11</w:t>
                  </w:r>
                </w:p>
              </w:tc>
              <w:tc>
                <w:tcPr>
                  <w:tcW w:w="715" w:type="pct"/>
                  <w:gridSpan w:val="2"/>
                  <w:tcBorders>
                    <w:tl2br w:val="nil"/>
                    <w:tr2bl w:val="nil"/>
                  </w:tcBorders>
                  <w:vAlign w:val="center"/>
                </w:tcPr>
                <w:p w14:paraId="34286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lang w:val="en-US" w:eastAsia="zh-CN"/>
                    </w:rPr>
                  </w:pPr>
                  <w:r>
                    <w:rPr>
                      <w:rFonts w:hint="eastAsia" w:eastAsia="仿宋_GB2312" w:cs="Times New Roman"/>
                      <w:color w:val="auto"/>
                      <w:kern w:val="0"/>
                      <w:sz w:val="21"/>
                      <w:shd w:val="clear" w:color="auto" w:fill="auto"/>
                      <w:lang w:val="en-US" w:eastAsia="zh-CN"/>
                    </w:rPr>
                    <w:t>110</w:t>
                  </w:r>
                </w:p>
              </w:tc>
              <w:tc>
                <w:tcPr>
                  <w:tcW w:w="711" w:type="pct"/>
                  <w:tcBorders>
                    <w:tl2br w:val="nil"/>
                    <w:tr2bl w:val="nil"/>
                  </w:tcBorders>
                  <w:vAlign w:val="center"/>
                </w:tcPr>
                <w:p w14:paraId="26A60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仿宋_GB2312"/>
                      <w:color w:val="auto"/>
                      <w:kern w:val="0"/>
                      <w:szCs w:val="21"/>
                    </w:rPr>
                  </w:pPr>
                  <w:r>
                    <w:rPr>
                      <w:rFonts w:hint="default" w:ascii="Times New Roman" w:hAnsi="Times New Roman" w:eastAsia="仿宋_GB2312" w:cs="Times New Roman"/>
                      <w:color w:val="auto"/>
                      <w:kern w:val="0"/>
                      <w:sz w:val="21"/>
                      <w:shd w:val="clear" w:color="auto" w:fill="auto"/>
                    </w:rPr>
                    <w:t>6000</w:t>
                  </w:r>
                </w:p>
              </w:tc>
            </w:tr>
          </w:tbl>
          <w:p w14:paraId="68A3ABC4">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本项目无组织废气排放情况见下表。</w:t>
            </w:r>
          </w:p>
          <w:p w14:paraId="7FCCD629">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w:t>
            </w:r>
            <w:r>
              <w:rPr>
                <w:rFonts w:hint="eastAsia" w:eastAsia="仿宋_GB2312"/>
                <w:b/>
                <w:color w:val="auto"/>
                <w:sz w:val="22"/>
                <w:szCs w:val="22"/>
                <w:lang w:val="en-US" w:eastAsia="zh-CN"/>
              </w:rPr>
              <w:t>14</w:t>
            </w:r>
            <w:r>
              <w:rPr>
                <w:rFonts w:hint="default" w:eastAsia="仿宋_GB2312"/>
                <w:b/>
                <w:color w:val="auto"/>
                <w:sz w:val="22"/>
                <w:szCs w:val="22"/>
              </w:rPr>
              <w:t xml:space="preserve">  本项目无组织废气排放情况表</w:t>
            </w:r>
          </w:p>
          <w:tbl>
            <w:tblPr>
              <w:tblStyle w:val="87"/>
              <w:tblW w:w="46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1364"/>
              <w:gridCol w:w="1212"/>
              <w:gridCol w:w="1306"/>
              <w:gridCol w:w="1105"/>
              <w:gridCol w:w="1466"/>
              <w:gridCol w:w="1441"/>
            </w:tblGrid>
            <w:tr w14:paraId="7836C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89" w:type="pct"/>
                  <w:vAlign w:val="center"/>
                </w:tcPr>
                <w:p w14:paraId="06D5D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废气来源</w:t>
                  </w:r>
                </w:p>
              </w:tc>
              <w:tc>
                <w:tcPr>
                  <w:tcW w:w="710" w:type="pct"/>
                  <w:vAlign w:val="center"/>
                </w:tcPr>
                <w:p w14:paraId="07541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编号</w:t>
                  </w:r>
                </w:p>
              </w:tc>
              <w:tc>
                <w:tcPr>
                  <w:tcW w:w="631" w:type="pct"/>
                  <w:vAlign w:val="center"/>
                </w:tcPr>
                <w:p w14:paraId="07CAE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污染物名称</w:t>
                  </w:r>
                </w:p>
              </w:tc>
              <w:tc>
                <w:tcPr>
                  <w:tcW w:w="680" w:type="pct"/>
                  <w:vAlign w:val="center"/>
                </w:tcPr>
                <w:p w14:paraId="36ABF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产生速率</w:t>
                  </w:r>
                </w:p>
                <w:p w14:paraId="4DB1B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（kg/h）</w:t>
                  </w:r>
                </w:p>
              </w:tc>
              <w:tc>
                <w:tcPr>
                  <w:tcW w:w="575" w:type="pct"/>
                  <w:vAlign w:val="center"/>
                </w:tcPr>
                <w:p w14:paraId="56FFD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产生量（t/a）</w:t>
                  </w:r>
                </w:p>
              </w:tc>
              <w:tc>
                <w:tcPr>
                  <w:tcW w:w="763" w:type="pct"/>
                  <w:vAlign w:val="center"/>
                </w:tcPr>
                <w:p w14:paraId="1279A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面源面积</w:t>
                  </w:r>
                </w:p>
                <w:p w14:paraId="3A2DA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（m</w:t>
                  </w:r>
                  <w:r>
                    <w:rPr>
                      <w:rFonts w:hint="default" w:ascii="Times New Roman" w:hAnsi="Times New Roman" w:eastAsia="仿宋_GB2312" w:cs="Times New Roman"/>
                      <w:b/>
                      <w:bCs/>
                      <w:color w:val="auto"/>
                      <w:kern w:val="0"/>
                      <w:sz w:val="21"/>
                      <w:szCs w:val="21"/>
                      <w:vertAlign w:val="superscript"/>
                    </w:rPr>
                    <w:t>2</w:t>
                  </w:r>
                  <w:r>
                    <w:rPr>
                      <w:rFonts w:hint="default" w:ascii="Times New Roman" w:hAnsi="Times New Roman" w:eastAsia="仿宋_GB2312" w:cs="Times New Roman"/>
                      <w:b/>
                      <w:bCs/>
                      <w:color w:val="auto"/>
                      <w:kern w:val="0"/>
                      <w:sz w:val="21"/>
                      <w:szCs w:val="21"/>
                    </w:rPr>
                    <w:t>）</w:t>
                  </w:r>
                </w:p>
              </w:tc>
              <w:tc>
                <w:tcPr>
                  <w:tcW w:w="750" w:type="pct"/>
                  <w:vAlign w:val="center"/>
                </w:tcPr>
                <w:p w14:paraId="396615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面源高度</w:t>
                  </w:r>
                </w:p>
                <w:p w14:paraId="5B42F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（m）</w:t>
                  </w:r>
                </w:p>
              </w:tc>
            </w:tr>
            <w:tr w14:paraId="43D50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pct"/>
                  <w:vMerge w:val="restart"/>
                  <w:vAlign w:val="center"/>
                </w:tcPr>
                <w:p w14:paraId="6A727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r>
                    <w:rPr>
                      <w:rFonts w:hint="default" w:ascii="Times New Roman" w:hAnsi="Times New Roman" w:eastAsia="仿宋_GB2312" w:cs="Times New Roman"/>
                      <w:color w:val="auto"/>
                      <w:sz w:val="21"/>
                      <w:szCs w:val="21"/>
                    </w:rPr>
                    <w:t>内包间</w:t>
                  </w:r>
                </w:p>
              </w:tc>
              <w:tc>
                <w:tcPr>
                  <w:tcW w:w="710" w:type="pct"/>
                  <w:vAlign w:val="center"/>
                </w:tcPr>
                <w:p w14:paraId="5D222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G’1-5</w:t>
                  </w:r>
                </w:p>
              </w:tc>
              <w:tc>
                <w:tcPr>
                  <w:tcW w:w="631" w:type="pct"/>
                  <w:noWrap/>
                  <w:vAlign w:val="center"/>
                </w:tcPr>
                <w:p w14:paraId="31D74F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颗粒物</w:t>
                  </w:r>
                </w:p>
              </w:tc>
              <w:tc>
                <w:tcPr>
                  <w:tcW w:w="680" w:type="pct"/>
                  <w:vAlign w:val="center"/>
                </w:tcPr>
                <w:p w14:paraId="2B1BCDF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0.004</w:t>
                  </w:r>
                </w:p>
              </w:tc>
              <w:tc>
                <w:tcPr>
                  <w:tcW w:w="575" w:type="pct"/>
                  <w:vAlign w:val="center"/>
                </w:tcPr>
                <w:p w14:paraId="6680130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0.0006</w:t>
                  </w:r>
                </w:p>
              </w:tc>
              <w:tc>
                <w:tcPr>
                  <w:tcW w:w="763" w:type="pct"/>
                  <w:vAlign w:val="center"/>
                </w:tcPr>
                <w:p w14:paraId="5A227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26</w:t>
                  </w:r>
                </w:p>
              </w:tc>
              <w:tc>
                <w:tcPr>
                  <w:tcW w:w="750" w:type="pct"/>
                  <w:vAlign w:val="center"/>
                </w:tcPr>
                <w:p w14:paraId="6007B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22E78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9" w:type="pct"/>
                  <w:vMerge w:val="continue"/>
                  <w:vAlign w:val="center"/>
                </w:tcPr>
                <w:p w14:paraId="64A95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p>
              </w:tc>
              <w:tc>
                <w:tcPr>
                  <w:tcW w:w="710" w:type="pct"/>
                  <w:vAlign w:val="center"/>
                </w:tcPr>
                <w:p w14:paraId="60EEE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G’2-5</w:t>
                  </w:r>
                </w:p>
              </w:tc>
              <w:tc>
                <w:tcPr>
                  <w:tcW w:w="631" w:type="pct"/>
                  <w:noWrap/>
                  <w:vAlign w:val="center"/>
                </w:tcPr>
                <w:p w14:paraId="1317C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颗粒物</w:t>
                  </w:r>
                </w:p>
              </w:tc>
              <w:tc>
                <w:tcPr>
                  <w:tcW w:w="680" w:type="pct"/>
                  <w:vAlign w:val="center"/>
                </w:tcPr>
                <w:p w14:paraId="7B01E9D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0.003</w:t>
                  </w:r>
                </w:p>
              </w:tc>
              <w:tc>
                <w:tcPr>
                  <w:tcW w:w="575" w:type="pct"/>
                  <w:vAlign w:val="center"/>
                </w:tcPr>
                <w:p w14:paraId="2329910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0.0005</w:t>
                  </w:r>
                </w:p>
              </w:tc>
              <w:tc>
                <w:tcPr>
                  <w:tcW w:w="763" w:type="pct"/>
                  <w:vAlign w:val="center"/>
                </w:tcPr>
                <w:p w14:paraId="46086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26</w:t>
                  </w:r>
                </w:p>
              </w:tc>
              <w:tc>
                <w:tcPr>
                  <w:tcW w:w="750" w:type="pct"/>
                  <w:vAlign w:val="center"/>
                </w:tcPr>
                <w:p w14:paraId="52D6B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5D778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9" w:type="pct"/>
                  <w:vMerge w:val="restart"/>
                  <w:vAlign w:val="center"/>
                </w:tcPr>
                <w:p w14:paraId="5D62E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r>
                    <w:rPr>
                      <w:rFonts w:hint="default" w:ascii="Times New Roman" w:hAnsi="Times New Roman" w:eastAsia="仿宋_GB2312" w:cs="Times New Roman"/>
                      <w:color w:val="auto"/>
                      <w:kern w:val="0"/>
                      <w:sz w:val="21"/>
                      <w:szCs w:val="21"/>
                    </w:rPr>
                    <w:t>混合间</w:t>
                  </w:r>
                </w:p>
              </w:tc>
              <w:tc>
                <w:tcPr>
                  <w:tcW w:w="710" w:type="pct"/>
                  <w:vAlign w:val="center"/>
                </w:tcPr>
                <w:p w14:paraId="22211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G’3-1-1</w:t>
                  </w:r>
                </w:p>
              </w:tc>
              <w:tc>
                <w:tcPr>
                  <w:tcW w:w="631" w:type="pct"/>
                  <w:noWrap/>
                  <w:vAlign w:val="center"/>
                </w:tcPr>
                <w:p w14:paraId="2EF1F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颗粒物</w:t>
                  </w:r>
                </w:p>
              </w:tc>
              <w:tc>
                <w:tcPr>
                  <w:tcW w:w="680" w:type="pct"/>
                  <w:vAlign w:val="center"/>
                </w:tcPr>
                <w:p w14:paraId="00809F1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0.075</w:t>
                  </w:r>
                </w:p>
              </w:tc>
              <w:tc>
                <w:tcPr>
                  <w:tcW w:w="575" w:type="pct"/>
                  <w:vAlign w:val="center"/>
                </w:tcPr>
                <w:p w14:paraId="206FFAC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0.003</w:t>
                  </w:r>
                </w:p>
              </w:tc>
              <w:tc>
                <w:tcPr>
                  <w:tcW w:w="763" w:type="pct"/>
                  <w:vAlign w:val="center"/>
                </w:tcPr>
                <w:p w14:paraId="4A248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33</w:t>
                  </w:r>
                </w:p>
              </w:tc>
              <w:tc>
                <w:tcPr>
                  <w:tcW w:w="750" w:type="pct"/>
                  <w:vAlign w:val="center"/>
                </w:tcPr>
                <w:p w14:paraId="66778C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2F5BC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9" w:type="pct"/>
                  <w:vMerge w:val="continue"/>
                  <w:vAlign w:val="center"/>
                </w:tcPr>
                <w:p w14:paraId="09476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p>
              </w:tc>
              <w:tc>
                <w:tcPr>
                  <w:tcW w:w="710" w:type="pct"/>
                  <w:vAlign w:val="center"/>
                </w:tcPr>
                <w:p w14:paraId="063E2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G’3-2-1</w:t>
                  </w:r>
                </w:p>
              </w:tc>
              <w:tc>
                <w:tcPr>
                  <w:tcW w:w="631" w:type="pct"/>
                  <w:noWrap/>
                  <w:vAlign w:val="center"/>
                </w:tcPr>
                <w:p w14:paraId="2C4C4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颗粒物</w:t>
                  </w:r>
                </w:p>
              </w:tc>
              <w:tc>
                <w:tcPr>
                  <w:tcW w:w="680" w:type="pct"/>
                  <w:vAlign w:val="center"/>
                </w:tcPr>
                <w:p w14:paraId="69273BB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0.07</w:t>
                  </w:r>
                </w:p>
              </w:tc>
              <w:tc>
                <w:tcPr>
                  <w:tcW w:w="575" w:type="pct"/>
                  <w:vAlign w:val="center"/>
                </w:tcPr>
                <w:p w14:paraId="751D402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0.0007</w:t>
                  </w:r>
                </w:p>
              </w:tc>
              <w:tc>
                <w:tcPr>
                  <w:tcW w:w="763" w:type="pct"/>
                  <w:vAlign w:val="center"/>
                </w:tcPr>
                <w:p w14:paraId="6F62E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33</w:t>
                  </w:r>
                </w:p>
              </w:tc>
              <w:tc>
                <w:tcPr>
                  <w:tcW w:w="750" w:type="pct"/>
                  <w:vAlign w:val="center"/>
                </w:tcPr>
                <w:p w14:paraId="4C10F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00160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9" w:type="pct"/>
                  <w:vAlign w:val="center"/>
                </w:tcPr>
                <w:p w14:paraId="7FA9E9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称量间</w:t>
                  </w:r>
                </w:p>
              </w:tc>
              <w:tc>
                <w:tcPr>
                  <w:tcW w:w="710" w:type="pct"/>
                  <w:vAlign w:val="center"/>
                </w:tcPr>
                <w:p w14:paraId="65B37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631" w:type="pct"/>
                  <w:noWrap/>
                  <w:vAlign w:val="center"/>
                </w:tcPr>
                <w:p w14:paraId="1B350B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颗粒物</w:t>
                  </w:r>
                </w:p>
              </w:tc>
              <w:tc>
                <w:tcPr>
                  <w:tcW w:w="680" w:type="pct"/>
                  <w:vAlign w:val="center"/>
                </w:tcPr>
                <w:p w14:paraId="0C38831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lang w:val="en-US"/>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09</w:t>
                  </w:r>
                </w:p>
              </w:tc>
              <w:tc>
                <w:tcPr>
                  <w:tcW w:w="575" w:type="pct"/>
                  <w:vAlign w:val="center"/>
                </w:tcPr>
                <w:p w14:paraId="2CC50EE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lang w:val="en-US"/>
                    </w:rPr>
                  </w:pPr>
                  <w:r>
                    <w:rPr>
                      <w:rFonts w:hint="default" w:ascii="Times New Roman" w:hAnsi="Times New Roman" w:eastAsia="仿宋_GB2312" w:cs="Times New Roman"/>
                      <w:color w:val="auto"/>
                      <w:kern w:val="0"/>
                      <w:sz w:val="21"/>
                    </w:rPr>
                    <w:t>0.00</w:t>
                  </w:r>
                  <w:r>
                    <w:rPr>
                      <w:rFonts w:hint="eastAsia" w:eastAsia="仿宋_GB2312" w:cs="Times New Roman"/>
                      <w:color w:val="auto"/>
                      <w:kern w:val="0"/>
                      <w:sz w:val="21"/>
                      <w:lang w:val="en-US" w:eastAsia="zh-CN"/>
                    </w:rPr>
                    <w:t>07</w:t>
                  </w:r>
                </w:p>
              </w:tc>
              <w:tc>
                <w:tcPr>
                  <w:tcW w:w="763" w:type="pct"/>
                  <w:vAlign w:val="center"/>
                </w:tcPr>
                <w:p w14:paraId="08EB9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r>
                    <w:rPr>
                      <w:rFonts w:hint="default" w:ascii="Times New Roman" w:hAnsi="Times New Roman" w:eastAsia="仿宋_GB2312" w:cs="Times New Roman"/>
                      <w:color w:val="auto"/>
                      <w:kern w:val="0"/>
                      <w:sz w:val="21"/>
                      <w:szCs w:val="21"/>
                    </w:rPr>
                    <w:t>15</w:t>
                  </w:r>
                </w:p>
              </w:tc>
              <w:tc>
                <w:tcPr>
                  <w:tcW w:w="750" w:type="pct"/>
                  <w:vAlign w:val="center"/>
                </w:tcPr>
                <w:p w14:paraId="6C2AE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62425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pct"/>
                  <w:vMerge w:val="restart"/>
                  <w:vAlign w:val="center"/>
                </w:tcPr>
                <w:p w14:paraId="70B66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质检区</w:t>
                  </w:r>
                </w:p>
              </w:tc>
              <w:tc>
                <w:tcPr>
                  <w:tcW w:w="710" w:type="pct"/>
                  <w:vAlign w:val="center"/>
                </w:tcPr>
                <w:p w14:paraId="7A859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631" w:type="pct"/>
                  <w:vAlign w:val="center"/>
                </w:tcPr>
                <w:p w14:paraId="5A0E4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氯化氢</w:t>
                  </w:r>
                </w:p>
              </w:tc>
              <w:tc>
                <w:tcPr>
                  <w:tcW w:w="680" w:type="pct"/>
                  <w:vAlign w:val="center"/>
                </w:tcPr>
                <w:p w14:paraId="38EBF75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0.01</w:t>
                  </w:r>
                </w:p>
              </w:tc>
              <w:tc>
                <w:tcPr>
                  <w:tcW w:w="575" w:type="pct"/>
                  <w:vAlign w:val="center"/>
                </w:tcPr>
                <w:p w14:paraId="7A5F39B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0.001</w:t>
                  </w:r>
                </w:p>
              </w:tc>
              <w:tc>
                <w:tcPr>
                  <w:tcW w:w="763" w:type="pct"/>
                  <w:vAlign w:val="center"/>
                </w:tcPr>
                <w:p w14:paraId="2AEAF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r>
                    <w:rPr>
                      <w:rFonts w:hint="default" w:ascii="Times New Roman" w:hAnsi="Times New Roman" w:eastAsia="仿宋_GB2312" w:cs="Times New Roman"/>
                      <w:color w:val="auto"/>
                      <w:kern w:val="0"/>
                      <w:sz w:val="21"/>
                      <w:szCs w:val="21"/>
                    </w:rPr>
                    <w:t>20</w:t>
                  </w:r>
                </w:p>
              </w:tc>
              <w:tc>
                <w:tcPr>
                  <w:tcW w:w="750" w:type="pct"/>
                  <w:vAlign w:val="center"/>
                </w:tcPr>
                <w:p w14:paraId="32E1A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7772E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pct"/>
                  <w:vMerge w:val="continue"/>
                  <w:noWrap/>
                  <w:vAlign w:val="center"/>
                </w:tcPr>
                <w:p w14:paraId="2592B0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p>
              </w:tc>
              <w:tc>
                <w:tcPr>
                  <w:tcW w:w="710" w:type="pct"/>
                  <w:vAlign w:val="center"/>
                </w:tcPr>
                <w:p w14:paraId="19517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631" w:type="pct"/>
                  <w:vAlign w:val="center"/>
                </w:tcPr>
                <w:p w14:paraId="5BB37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非甲烷总烃</w:t>
                  </w:r>
                </w:p>
              </w:tc>
              <w:tc>
                <w:tcPr>
                  <w:tcW w:w="680" w:type="pct"/>
                  <w:noWrap/>
                  <w:vAlign w:val="center"/>
                </w:tcPr>
                <w:p w14:paraId="1E95022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0.001</w:t>
                  </w:r>
                </w:p>
              </w:tc>
              <w:tc>
                <w:tcPr>
                  <w:tcW w:w="575" w:type="pct"/>
                  <w:vAlign w:val="center"/>
                </w:tcPr>
                <w:p w14:paraId="0CAA294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0.01</w:t>
                  </w:r>
                </w:p>
              </w:tc>
              <w:tc>
                <w:tcPr>
                  <w:tcW w:w="763" w:type="pct"/>
                  <w:noWrap/>
                  <w:vAlign w:val="center"/>
                </w:tcPr>
                <w:p w14:paraId="0CB1F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r>
                    <w:rPr>
                      <w:rFonts w:hint="default" w:ascii="Times New Roman" w:hAnsi="Times New Roman" w:eastAsia="仿宋_GB2312" w:cs="Times New Roman"/>
                      <w:color w:val="auto"/>
                      <w:kern w:val="0"/>
                      <w:sz w:val="21"/>
                      <w:szCs w:val="21"/>
                    </w:rPr>
                    <w:t>310</w:t>
                  </w:r>
                </w:p>
              </w:tc>
              <w:tc>
                <w:tcPr>
                  <w:tcW w:w="750" w:type="pct"/>
                  <w:noWrap/>
                  <w:vAlign w:val="center"/>
                </w:tcPr>
                <w:p w14:paraId="48B18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4C387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pct"/>
                  <w:noWrap/>
                  <w:vAlign w:val="center"/>
                </w:tcPr>
                <w:p w14:paraId="247033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危废库</w:t>
                  </w:r>
                </w:p>
              </w:tc>
              <w:tc>
                <w:tcPr>
                  <w:tcW w:w="710" w:type="pct"/>
                  <w:vAlign w:val="center"/>
                </w:tcPr>
                <w:p w14:paraId="511A8B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631" w:type="pct"/>
                  <w:vAlign w:val="center"/>
                </w:tcPr>
                <w:p w14:paraId="009CB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非甲烷总烃</w:t>
                  </w:r>
                </w:p>
              </w:tc>
              <w:tc>
                <w:tcPr>
                  <w:tcW w:w="680" w:type="pct"/>
                  <w:noWrap/>
                  <w:vAlign w:val="center"/>
                </w:tcPr>
                <w:p w14:paraId="6857D31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0.001</w:t>
                  </w:r>
                </w:p>
              </w:tc>
              <w:tc>
                <w:tcPr>
                  <w:tcW w:w="575" w:type="pct"/>
                  <w:vAlign w:val="center"/>
                </w:tcPr>
                <w:p w14:paraId="12B1DA0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0.01</w:t>
                  </w:r>
                </w:p>
              </w:tc>
              <w:tc>
                <w:tcPr>
                  <w:tcW w:w="763" w:type="pct"/>
                  <w:noWrap/>
                  <w:vAlign w:val="center"/>
                </w:tcPr>
                <w:p w14:paraId="3783A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r>
                    <w:rPr>
                      <w:rFonts w:hint="default" w:ascii="Times New Roman" w:hAnsi="Times New Roman" w:eastAsia="仿宋_GB2312" w:cs="Times New Roman"/>
                      <w:color w:val="auto"/>
                      <w:kern w:val="0"/>
                      <w:sz w:val="21"/>
                      <w:szCs w:val="21"/>
                    </w:rPr>
                    <w:t>20</w:t>
                  </w:r>
                </w:p>
              </w:tc>
              <w:tc>
                <w:tcPr>
                  <w:tcW w:w="750" w:type="pct"/>
                  <w:noWrap/>
                  <w:vAlign w:val="center"/>
                </w:tcPr>
                <w:p w14:paraId="7A9A32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w:t>
                  </w:r>
                </w:p>
              </w:tc>
            </w:tr>
            <w:tr w14:paraId="78A5D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89" w:type="pct"/>
                  <w:vMerge w:val="restart"/>
                  <w:vAlign w:val="center"/>
                </w:tcPr>
                <w:p w14:paraId="65E27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污水站</w:t>
                  </w:r>
                </w:p>
              </w:tc>
              <w:tc>
                <w:tcPr>
                  <w:tcW w:w="710" w:type="pct"/>
                  <w:vMerge w:val="restart"/>
                  <w:vAlign w:val="center"/>
                </w:tcPr>
                <w:p w14:paraId="1749C8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631" w:type="pct"/>
                  <w:vAlign w:val="center"/>
                </w:tcPr>
                <w:p w14:paraId="0EC83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NH</w:t>
                  </w:r>
                  <w:r>
                    <w:rPr>
                      <w:rFonts w:hint="default" w:ascii="Times New Roman" w:hAnsi="Times New Roman" w:eastAsia="仿宋_GB2312" w:cs="Times New Roman"/>
                      <w:color w:val="auto"/>
                      <w:kern w:val="0"/>
                      <w:sz w:val="21"/>
                      <w:szCs w:val="21"/>
                      <w:vertAlign w:val="subscript"/>
                    </w:rPr>
                    <w:t>3</w:t>
                  </w:r>
                </w:p>
              </w:tc>
              <w:tc>
                <w:tcPr>
                  <w:tcW w:w="680" w:type="pct"/>
                  <w:vAlign w:val="center"/>
                </w:tcPr>
                <w:p w14:paraId="3B7991F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0.001</w:t>
                  </w:r>
                </w:p>
              </w:tc>
              <w:tc>
                <w:tcPr>
                  <w:tcW w:w="575" w:type="pct"/>
                  <w:vAlign w:val="center"/>
                </w:tcPr>
                <w:p w14:paraId="2802D09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0.01</w:t>
                  </w:r>
                </w:p>
              </w:tc>
              <w:tc>
                <w:tcPr>
                  <w:tcW w:w="763" w:type="pct"/>
                  <w:vMerge w:val="restart"/>
                  <w:vAlign w:val="center"/>
                </w:tcPr>
                <w:p w14:paraId="28F5B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highlight w:val="yellow"/>
                    </w:rPr>
                  </w:pPr>
                  <w:r>
                    <w:rPr>
                      <w:rFonts w:hint="default" w:ascii="Times New Roman" w:hAnsi="Times New Roman" w:eastAsia="仿宋_GB2312" w:cs="Times New Roman"/>
                      <w:color w:val="auto"/>
                      <w:kern w:val="0"/>
                      <w:sz w:val="21"/>
                      <w:szCs w:val="21"/>
                    </w:rPr>
                    <w:t>100</w:t>
                  </w:r>
                </w:p>
              </w:tc>
              <w:tc>
                <w:tcPr>
                  <w:tcW w:w="750" w:type="pct"/>
                  <w:vMerge w:val="restart"/>
                  <w:vAlign w:val="center"/>
                </w:tcPr>
                <w:p w14:paraId="18B48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w:t>
                  </w:r>
                </w:p>
              </w:tc>
            </w:tr>
            <w:tr w14:paraId="3FA6A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89" w:type="pct"/>
                  <w:vMerge w:val="continue"/>
                  <w:vAlign w:val="center"/>
                </w:tcPr>
                <w:p w14:paraId="7E4EC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p>
              </w:tc>
              <w:tc>
                <w:tcPr>
                  <w:tcW w:w="710" w:type="pct"/>
                  <w:vMerge w:val="continue"/>
                  <w:vAlign w:val="center"/>
                </w:tcPr>
                <w:p w14:paraId="64034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p>
              </w:tc>
              <w:tc>
                <w:tcPr>
                  <w:tcW w:w="631" w:type="pct"/>
                  <w:vAlign w:val="center"/>
                </w:tcPr>
                <w:p w14:paraId="57763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H</w:t>
                  </w:r>
                  <w:r>
                    <w:rPr>
                      <w:rFonts w:hint="default" w:ascii="Times New Roman" w:hAnsi="Times New Roman" w:eastAsia="仿宋_GB2312" w:cs="Times New Roman"/>
                      <w:color w:val="auto"/>
                      <w:kern w:val="0"/>
                      <w:sz w:val="21"/>
                      <w:szCs w:val="21"/>
                      <w:vertAlign w:val="subscript"/>
                    </w:rPr>
                    <w:t>2</w:t>
                  </w:r>
                  <w:r>
                    <w:rPr>
                      <w:rFonts w:hint="default" w:ascii="Times New Roman" w:hAnsi="Times New Roman" w:eastAsia="仿宋_GB2312" w:cs="Times New Roman"/>
                      <w:color w:val="auto"/>
                      <w:kern w:val="0"/>
                      <w:sz w:val="21"/>
                      <w:szCs w:val="21"/>
                    </w:rPr>
                    <w:t>S</w:t>
                  </w:r>
                </w:p>
              </w:tc>
              <w:tc>
                <w:tcPr>
                  <w:tcW w:w="680" w:type="pct"/>
                  <w:noWrap/>
                  <w:vAlign w:val="center"/>
                </w:tcPr>
                <w:p w14:paraId="6EE68D1E">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0.0001</w:t>
                  </w:r>
                </w:p>
              </w:tc>
              <w:tc>
                <w:tcPr>
                  <w:tcW w:w="575" w:type="pct"/>
                  <w:vAlign w:val="center"/>
                </w:tcPr>
                <w:p w14:paraId="5DD8AD1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rPr>
                    <w:t>0.001</w:t>
                  </w:r>
                </w:p>
              </w:tc>
              <w:tc>
                <w:tcPr>
                  <w:tcW w:w="763" w:type="pct"/>
                  <w:vMerge w:val="continue"/>
                  <w:vAlign w:val="center"/>
                </w:tcPr>
                <w:p w14:paraId="335A0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p>
              </w:tc>
              <w:tc>
                <w:tcPr>
                  <w:tcW w:w="750" w:type="pct"/>
                  <w:vMerge w:val="continue"/>
                  <w:vAlign w:val="center"/>
                </w:tcPr>
                <w:p w14:paraId="3B080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Times New Roman"/>
                      <w:color w:val="auto"/>
                      <w:kern w:val="0"/>
                      <w:sz w:val="21"/>
                      <w:szCs w:val="21"/>
                    </w:rPr>
                  </w:pPr>
                </w:p>
              </w:tc>
            </w:tr>
          </w:tbl>
          <w:p w14:paraId="123F98EF">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default" w:eastAsia="仿宋_GB2312"/>
                <w:b/>
                <w:bCs/>
                <w:color w:val="auto"/>
                <w:sz w:val="24"/>
              </w:rPr>
              <w:t>4、非正常工况情况</w:t>
            </w:r>
          </w:p>
          <w:p w14:paraId="42956E48">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非正常工况指生产过程中开停车（工、炉）、设备检修、工艺设备运转异常等非正常工况下的污染物排放，以及污染物排放控制措施达不到应有效率等情况下的排放。在分析本项目生产工艺的基础上可知，本项目非正常工况主要为废气治理措施出现故障，如未起到应有的效果（袋式除尘器损坏、吸收液失效未及时更换、喷淋循环泵坏未检修），导致有组织废气排放速率和浓度仍远高于正常工况，将有可能造成废气超标排放。</w:t>
            </w:r>
          </w:p>
          <w:p w14:paraId="7A04F6A3">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本项目非正常工况时，如废气防治措施未起到应有的效果，导致有组织废气未经处理直接排放。厂区所有废气处理装置同时发生事故的几率较小，因此选择废气污染物产生量较大的处理装置（DA002排气筒）出现故障的状态作为本项目非正常工况。具体排放情况见下表。</w:t>
            </w:r>
          </w:p>
          <w:p w14:paraId="5AAC213B">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w:t>
            </w:r>
            <w:r>
              <w:rPr>
                <w:rFonts w:hint="eastAsia" w:eastAsia="仿宋_GB2312"/>
                <w:b/>
                <w:color w:val="auto"/>
                <w:sz w:val="22"/>
                <w:szCs w:val="22"/>
                <w:lang w:val="en-US" w:eastAsia="zh-CN"/>
              </w:rPr>
              <w:t>15</w:t>
            </w:r>
            <w:r>
              <w:rPr>
                <w:rFonts w:hint="default" w:eastAsia="仿宋_GB2312"/>
                <w:b/>
                <w:color w:val="auto"/>
                <w:sz w:val="22"/>
                <w:szCs w:val="22"/>
              </w:rPr>
              <w:t xml:space="preserve">  非正常工况下废气产生源强</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653"/>
              <w:gridCol w:w="2055"/>
              <w:gridCol w:w="1879"/>
              <w:gridCol w:w="1752"/>
              <w:gridCol w:w="1568"/>
            </w:tblGrid>
            <w:tr w14:paraId="391E5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Align w:val="center"/>
                </w:tcPr>
                <w:p w14:paraId="0CEECB5B">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非正常排放源</w:t>
                  </w:r>
                </w:p>
              </w:tc>
              <w:tc>
                <w:tcPr>
                  <w:tcW w:w="802" w:type="pct"/>
                  <w:vAlign w:val="center"/>
                </w:tcPr>
                <w:p w14:paraId="3CA66E8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非正常排放原因</w:t>
                  </w:r>
                </w:p>
              </w:tc>
              <w:tc>
                <w:tcPr>
                  <w:tcW w:w="997" w:type="pct"/>
                  <w:vAlign w:val="center"/>
                </w:tcPr>
                <w:p w14:paraId="398B7466">
                  <w:pPr>
                    <w:keepNext w:val="0"/>
                    <w:keepLines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w:t>
                  </w:r>
                </w:p>
              </w:tc>
              <w:tc>
                <w:tcPr>
                  <w:tcW w:w="912" w:type="pct"/>
                  <w:vAlign w:val="center"/>
                </w:tcPr>
                <w:p w14:paraId="753ED74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非正常排放速率（kg/h）</w:t>
                  </w:r>
                </w:p>
              </w:tc>
              <w:tc>
                <w:tcPr>
                  <w:tcW w:w="850" w:type="pct"/>
                  <w:vAlign w:val="center"/>
                </w:tcPr>
                <w:p w14:paraId="7DEBD6A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单次持续时间（h）</w:t>
                  </w:r>
                </w:p>
              </w:tc>
              <w:tc>
                <w:tcPr>
                  <w:tcW w:w="761" w:type="pct"/>
                  <w:vAlign w:val="center"/>
                </w:tcPr>
                <w:p w14:paraId="389DEF0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年发生频次（次）</w:t>
                  </w:r>
                </w:p>
              </w:tc>
            </w:tr>
            <w:tr w14:paraId="1EDC5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Merge w:val="restart"/>
                  <w:vAlign w:val="center"/>
                </w:tcPr>
                <w:p w14:paraId="3574B61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DA002</w:t>
                  </w:r>
                </w:p>
              </w:tc>
              <w:tc>
                <w:tcPr>
                  <w:tcW w:w="802" w:type="pct"/>
                  <w:vMerge w:val="restart"/>
                  <w:vAlign w:val="center"/>
                </w:tcPr>
                <w:p w14:paraId="2FEE9CB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废气处理设施故障，污染物未经处理直接排放</w:t>
                  </w:r>
                </w:p>
              </w:tc>
              <w:tc>
                <w:tcPr>
                  <w:tcW w:w="997" w:type="pct"/>
                  <w:vAlign w:val="center"/>
                </w:tcPr>
                <w:p w14:paraId="5AD86C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非甲烷总烃</w:t>
                  </w:r>
                </w:p>
              </w:tc>
              <w:tc>
                <w:tcPr>
                  <w:tcW w:w="912" w:type="pct"/>
                  <w:vAlign w:val="center"/>
                </w:tcPr>
                <w:p w14:paraId="4F23322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16"/>
                      <w:lang w:val="en-US" w:eastAsia="zh-CN"/>
                    </w:rPr>
                  </w:pPr>
                  <w:r>
                    <w:rPr>
                      <w:rFonts w:hint="eastAsia" w:eastAsia="仿宋_GB2312" w:cs="Times New Roman"/>
                      <w:color w:val="auto"/>
                      <w:kern w:val="0"/>
                      <w:sz w:val="21"/>
                      <w:lang w:val="en-US" w:eastAsia="zh-CN"/>
                    </w:rPr>
                    <w:t>0.0383</w:t>
                  </w:r>
                </w:p>
              </w:tc>
              <w:tc>
                <w:tcPr>
                  <w:tcW w:w="850" w:type="pct"/>
                  <w:vMerge w:val="restart"/>
                  <w:vAlign w:val="center"/>
                </w:tcPr>
                <w:p w14:paraId="1F2F61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color w:val="auto"/>
                      <w:sz w:val="21"/>
                    </w:rPr>
                    <w:t>≤1</w:t>
                  </w:r>
                </w:p>
              </w:tc>
              <w:tc>
                <w:tcPr>
                  <w:tcW w:w="761" w:type="pct"/>
                  <w:vMerge w:val="restart"/>
                  <w:vAlign w:val="center"/>
                </w:tcPr>
                <w:p w14:paraId="50E4D4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color w:val="auto"/>
                      <w:sz w:val="21"/>
                    </w:rPr>
                    <w:t>≤1</w:t>
                  </w:r>
                </w:p>
              </w:tc>
            </w:tr>
            <w:tr w14:paraId="75594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Merge w:val="continue"/>
                  <w:vAlign w:val="center"/>
                </w:tcPr>
                <w:p w14:paraId="486158F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02" w:type="pct"/>
                  <w:vMerge w:val="continue"/>
                  <w:vAlign w:val="center"/>
                </w:tcPr>
                <w:p w14:paraId="0417B09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997" w:type="pct"/>
                  <w:vAlign w:val="center"/>
                </w:tcPr>
                <w:p w14:paraId="6D1BAE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912" w:type="pct"/>
                  <w:vAlign w:val="center"/>
                </w:tcPr>
                <w:p w14:paraId="1F80B7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16"/>
                      <w:lang w:val="en-US" w:eastAsia="zh-CN"/>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139</w:t>
                  </w:r>
                </w:p>
              </w:tc>
              <w:tc>
                <w:tcPr>
                  <w:tcW w:w="850" w:type="pct"/>
                  <w:vMerge w:val="continue"/>
                  <w:vAlign w:val="center"/>
                </w:tcPr>
                <w:p w14:paraId="3B6C4AD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61" w:type="pct"/>
                  <w:vMerge w:val="continue"/>
                  <w:vAlign w:val="center"/>
                </w:tcPr>
                <w:p w14:paraId="556A05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85B1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Merge w:val="continue"/>
                  <w:vAlign w:val="center"/>
                </w:tcPr>
                <w:p w14:paraId="67CE045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02" w:type="pct"/>
                  <w:vMerge w:val="continue"/>
                  <w:vAlign w:val="center"/>
                </w:tcPr>
                <w:p w14:paraId="473D249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997" w:type="pct"/>
                  <w:vAlign w:val="center"/>
                </w:tcPr>
                <w:p w14:paraId="43EA65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912" w:type="pct"/>
                  <w:vAlign w:val="center"/>
                </w:tcPr>
                <w:p w14:paraId="7F0EDA1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16"/>
                      <w:lang w:val="en-US" w:eastAsia="zh-CN"/>
                    </w:rPr>
                  </w:pPr>
                  <w:r>
                    <w:rPr>
                      <w:rFonts w:hint="default" w:ascii="Times New Roman" w:hAnsi="Times New Roman" w:eastAsia="仿宋_GB2312" w:cs="Times New Roman"/>
                      <w:color w:val="auto"/>
                      <w:kern w:val="0"/>
                      <w:sz w:val="21"/>
                    </w:rPr>
                    <w:t>0.0</w:t>
                  </w:r>
                  <w:r>
                    <w:rPr>
                      <w:rFonts w:hint="eastAsia" w:eastAsia="仿宋_GB2312" w:cs="Times New Roman"/>
                      <w:color w:val="auto"/>
                      <w:kern w:val="0"/>
                      <w:sz w:val="21"/>
                      <w:lang w:val="en-US" w:eastAsia="zh-CN"/>
                    </w:rPr>
                    <w:t>032</w:t>
                  </w:r>
                </w:p>
              </w:tc>
              <w:tc>
                <w:tcPr>
                  <w:tcW w:w="850" w:type="pct"/>
                  <w:vMerge w:val="continue"/>
                  <w:vAlign w:val="center"/>
                </w:tcPr>
                <w:p w14:paraId="6D2C3D9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61" w:type="pct"/>
                  <w:vMerge w:val="continue"/>
                  <w:vAlign w:val="center"/>
                </w:tcPr>
                <w:p w14:paraId="2AE8E13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5D961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Merge w:val="continue"/>
                  <w:vAlign w:val="center"/>
                </w:tcPr>
                <w:p w14:paraId="7F2C63C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802" w:type="pct"/>
                  <w:vMerge w:val="continue"/>
                  <w:vAlign w:val="center"/>
                </w:tcPr>
                <w:p w14:paraId="623B41F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997" w:type="pct"/>
                  <w:vAlign w:val="center"/>
                </w:tcPr>
                <w:p w14:paraId="4B43FA9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16"/>
                      <w:lang w:val="zh-CN"/>
                    </w:rPr>
                  </w:pPr>
                  <w:r>
                    <w:rPr>
                      <w:rFonts w:hint="default" w:ascii="Times New Roman" w:hAnsi="Times New Roman" w:eastAsia="仿宋_GB2312" w:cs="Times New Roman"/>
                      <w:color w:val="auto"/>
                      <w:kern w:val="0"/>
                      <w:sz w:val="21"/>
                    </w:rPr>
                    <w:t>氯化氢</w:t>
                  </w:r>
                </w:p>
              </w:tc>
              <w:tc>
                <w:tcPr>
                  <w:tcW w:w="912" w:type="pct"/>
                  <w:vAlign w:val="center"/>
                </w:tcPr>
                <w:p w14:paraId="7EEFCE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16"/>
                      <w:lang w:val="en-US" w:eastAsia="zh-CN"/>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175</w:t>
                  </w:r>
                </w:p>
              </w:tc>
              <w:tc>
                <w:tcPr>
                  <w:tcW w:w="850" w:type="pct"/>
                  <w:vMerge w:val="continue"/>
                  <w:vAlign w:val="center"/>
                </w:tcPr>
                <w:p w14:paraId="7A8F15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761" w:type="pct"/>
                  <w:vMerge w:val="continue"/>
                  <w:vAlign w:val="center"/>
                </w:tcPr>
                <w:p w14:paraId="12A4D0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bl>
          <w:p w14:paraId="6EC23060">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为预防此类工况发生，除确保生产设备和施工安装质量先进可靠外，还需加强管理，做好设备的日常维护、保养工作，定期检查环保设施的运行情况，同时严格按照操作规程生产，可减少此类非正常工况的发生。</w:t>
            </w:r>
          </w:p>
          <w:p w14:paraId="3AE92E45">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default" w:eastAsia="仿宋_GB2312"/>
                <w:b/>
                <w:bCs/>
                <w:color w:val="auto"/>
                <w:sz w:val="24"/>
              </w:rPr>
              <w:t>5、卫生防护距离计算</w:t>
            </w:r>
          </w:p>
          <w:p w14:paraId="36D935B8">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根据无组织排放废气对环境的影响，并提出卫生防护距离。</w:t>
            </w:r>
            <w:r>
              <w:rPr>
                <w:rFonts w:hint="default" w:eastAsia="仿宋_GB2312"/>
                <w:color w:val="auto"/>
                <w:kern w:val="0"/>
                <w:sz w:val="24"/>
                <w:szCs w:val="20"/>
              </w:rPr>
              <w:t>根据《大气有害物质无组织排放卫生防护距离推导技术导则》（GB/T39499-2020）中相关要求，</w:t>
            </w:r>
            <w:r>
              <w:rPr>
                <w:rFonts w:hint="default" w:eastAsia="仿宋_GB2312"/>
                <w:color w:val="auto"/>
                <w:sz w:val="24"/>
              </w:rPr>
              <w:t>生产车间等与居住区之间的卫生防护距离初值</w:t>
            </w:r>
            <w:r>
              <w:rPr>
                <w:rFonts w:hint="default" w:eastAsia="仿宋_GB2312"/>
                <w:color w:val="auto"/>
                <w:kern w:val="0"/>
                <w:sz w:val="24"/>
                <w:szCs w:val="20"/>
              </w:rPr>
              <w:t>采用</w:t>
            </w:r>
            <w:r>
              <w:rPr>
                <w:rFonts w:hint="default" w:eastAsia="仿宋_GB2312"/>
                <w:color w:val="auto"/>
                <w:sz w:val="24"/>
              </w:rPr>
              <w:t>GB/T 3840-1991中推荐的估算方案进行计算：</w:t>
            </w:r>
          </w:p>
          <w:p w14:paraId="18FAC190">
            <w:pPr>
              <w:keepNext w:val="0"/>
              <w:keepLines w:val="0"/>
              <w:suppressLineNumbers w:val="0"/>
              <w:snapToGrid w:val="0"/>
              <w:spacing w:before="0" w:beforeAutospacing="0" w:after="0" w:afterAutospacing="0"/>
              <w:ind w:left="0" w:right="0"/>
              <w:jc w:val="center"/>
              <w:rPr>
                <w:rFonts w:hint="default" w:eastAsia="仿宋_GB2312"/>
                <w:color w:val="auto"/>
              </w:rPr>
            </w:pPr>
            <w:r>
              <w:rPr>
                <w:rFonts w:hint="default" w:eastAsia="仿宋_GB2312"/>
                <w:color w:val="auto"/>
              </w:rPr>
              <w:drawing>
                <wp:inline distT="0" distB="0" distL="0" distR="0">
                  <wp:extent cx="2267585" cy="461010"/>
                  <wp:effectExtent l="0" t="0" r="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267585" cy="461010"/>
                          </a:xfrm>
                          <a:prstGeom prst="rect">
                            <a:avLst/>
                          </a:prstGeom>
                          <a:noFill/>
                          <a:ln>
                            <a:noFill/>
                          </a:ln>
                        </pic:spPr>
                      </pic:pic>
                    </a:graphicData>
                  </a:graphic>
                </wp:inline>
              </w:drawing>
            </w:r>
          </w:p>
          <w:p w14:paraId="7EB64074">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式中：</w:t>
            </w:r>
          </w:p>
          <w:p w14:paraId="6D4BD687">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Qc——大气有害物质的无组织排放量，单位为千克每小时（kg/h）；</w:t>
            </w:r>
          </w:p>
          <w:p w14:paraId="0AA8723A">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Cm——大气有害物质环境空气质量的标准限值，单位为毫克每立方米（mg/m</w:t>
            </w:r>
            <w:r>
              <w:rPr>
                <w:rFonts w:hint="default" w:eastAsia="仿宋_GB2312"/>
                <w:color w:val="auto"/>
                <w:sz w:val="24"/>
                <w:vertAlign w:val="superscript"/>
              </w:rPr>
              <w:t>3</w:t>
            </w:r>
            <w:r>
              <w:rPr>
                <w:rFonts w:hint="default" w:eastAsia="仿宋_GB2312"/>
                <w:color w:val="auto"/>
                <w:sz w:val="24"/>
              </w:rPr>
              <w:t>）；</w:t>
            </w:r>
          </w:p>
          <w:p w14:paraId="1340E6DE">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L——大气有害物质卫生防护距离初值，单位为米（m）；</w:t>
            </w:r>
          </w:p>
          <w:p w14:paraId="51E7687D">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r——大气有害物质无组织排放源所在生产单元的等效半径，单位为米（m）；</w:t>
            </w:r>
          </w:p>
          <w:p w14:paraId="6037FEE9">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rPr>
            </w:pPr>
            <w:r>
              <w:rPr>
                <w:rFonts w:hint="default" w:eastAsia="仿宋_GB2312"/>
                <w:color w:val="auto"/>
                <w:sz w:val="24"/>
              </w:rPr>
              <w:t>A、B、C、D——卫生防护距离初值计算系数，无因次，根据工业企业所在地区近5年平均风速及大气污染源构成类别从下表查取。</w:t>
            </w:r>
          </w:p>
          <w:p w14:paraId="305F6A32">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表4-1</w:t>
            </w:r>
            <w:r>
              <w:rPr>
                <w:rFonts w:hint="eastAsia" w:eastAsia="仿宋_GB2312"/>
                <w:b/>
                <w:color w:val="auto"/>
                <w:sz w:val="22"/>
                <w:szCs w:val="22"/>
                <w:lang w:val="en-US" w:eastAsia="zh-CN"/>
              </w:rPr>
              <w:t>6</w:t>
            </w:r>
            <w:r>
              <w:rPr>
                <w:rFonts w:hint="default" w:eastAsia="仿宋_GB2312"/>
                <w:b/>
                <w:color w:val="auto"/>
                <w:sz w:val="22"/>
                <w:szCs w:val="22"/>
              </w:rPr>
              <w:t xml:space="preserve">  卫生防护距离初值计算系数</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614"/>
              <w:gridCol w:w="898"/>
              <w:gridCol w:w="900"/>
              <w:gridCol w:w="898"/>
              <w:gridCol w:w="720"/>
              <w:gridCol w:w="898"/>
              <w:gridCol w:w="718"/>
              <w:gridCol w:w="900"/>
              <w:gridCol w:w="898"/>
              <w:gridCol w:w="745"/>
            </w:tblGrid>
            <w:tr w14:paraId="1EC0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48" w:type="pct"/>
                  <w:vMerge w:val="restart"/>
                  <w:vAlign w:val="center"/>
                </w:tcPr>
                <w:p w14:paraId="2C4001E6">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eastAsia="仿宋_GB2312"/>
                      <w:b/>
                      <w:color w:val="auto"/>
                      <w:szCs w:val="21"/>
                    </w:rPr>
                    <w:t>卫生防护距离初值计算系数</w:t>
                  </w:r>
                </w:p>
              </w:tc>
              <w:tc>
                <w:tcPr>
                  <w:tcW w:w="782" w:type="pct"/>
                  <w:vMerge w:val="restart"/>
                  <w:vAlign w:val="center"/>
                </w:tcPr>
                <w:p w14:paraId="09AB9BED">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eastAsia="仿宋_GB2312"/>
                      <w:b/>
                      <w:color w:val="auto"/>
                      <w:szCs w:val="21"/>
                    </w:rPr>
                    <w:t>工业企业所在地区近5年平均风速（m/s）</w:t>
                  </w:r>
                </w:p>
              </w:tc>
              <w:tc>
                <w:tcPr>
                  <w:tcW w:w="3670" w:type="pct"/>
                  <w:gridSpan w:val="9"/>
                  <w:vAlign w:val="center"/>
                </w:tcPr>
                <w:p w14:paraId="134CD648">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eastAsia="仿宋_GB2312"/>
                      <w:b/>
                      <w:color w:val="auto"/>
                      <w:szCs w:val="21"/>
                    </w:rPr>
                    <w:t>卫生防护距离L（m）</w:t>
                  </w:r>
                </w:p>
              </w:tc>
            </w:tr>
            <w:tr w14:paraId="348A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48" w:type="pct"/>
                  <w:vMerge w:val="continue"/>
                  <w:vAlign w:val="center"/>
                </w:tcPr>
                <w:p w14:paraId="5EDF64BA">
                  <w:pPr>
                    <w:keepNext w:val="0"/>
                    <w:keepLines w:val="0"/>
                    <w:suppressLineNumbers w:val="0"/>
                    <w:snapToGrid w:val="0"/>
                    <w:spacing w:before="0" w:beforeAutospacing="0" w:after="0" w:afterAutospacing="0"/>
                    <w:ind w:left="0" w:right="0"/>
                    <w:jc w:val="center"/>
                    <w:rPr>
                      <w:rFonts w:hint="default" w:eastAsia="仿宋_GB2312"/>
                      <w:b/>
                      <w:color w:val="auto"/>
                      <w:szCs w:val="21"/>
                    </w:rPr>
                  </w:pPr>
                </w:p>
              </w:tc>
              <w:tc>
                <w:tcPr>
                  <w:tcW w:w="782" w:type="pct"/>
                  <w:vMerge w:val="continue"/>
                  <w:vAlign w:val="center"/>
                </w:tcPr>
                <w:p w14:paraId="28853ABD">
                  <w:pPr>
                    <w:keepNext w:val="0"/>
                    <w:keepLines w:val="0"/>
                    <w:suppressLineNumbers w:val="0"/>
                    <w:snapToGrid w:val="0"/>
                    <w:spacing w:before="0" w:beforeAutospacing="0" w:after="0" w:afterAutospacing="0"/>
                    <w:ind w:left="0" w:right="0"/>
                    <w:jc w:val="center"/>
                    <w:rPr>
                      <w:rFonts w:hint="default" w:eastAsia="仿宋_GB2312"/>
                      <w:b/>
                      <w:color w:val="auto"/>
                      <w:szCs w:val="21"/>
                    </w:rPr>
                  </w:pPr>
                </w:p>
              </w:tc>
              <w:tc>
                <w:tcPr>
                  <w:tcW w:w="1306" w:type="pct"/>
                  <w:gridSpan w:val="3"/>
                  <w:vAlign w:val="center"/>
                </w:tcPr>
                <w:p w14:paraId="459A36E6">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eastAsia="仿宋_GB2312"/>
                      <w:b/>
                      <w:color w:val="auto"/>
                      <w:szCs w:val="21"/>
                    </w:rPr>
                    <w:t>L≤1000</w:t>
                  </w:r>
                </w:p>
              </w:tc>
              <w:tc>
                <w:tcPr>
                  <w:tcW w:w="1132" w:type="pct"/>
                  <w:gridSpan w:val="3"/>
                  <w:vAlign w:val="center"/>
                </w:tcPr>
                <w:p w14:paraId="252E68C5">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eastAsia="仿宋_GB2312"/>
                      <w:b/>
                      <w:color w:val="auto"/>
                      <w:szCs w:val="21"/>
                    </w:rPr>
                    <w:t>1000&lt;L≤2000</w:t>
                  </w:r>
                </w:p>
              </w:tc>
              <w:tc>
                <w:tcPr>
                  <w:tcW w:w="1232" w:type="pct"/>
                  <w:gridSpan w:val="3"/>
                  <w:vAlign w:val="center"/>
                </w:tcPr>
                <w:p w14:paraId="69B7F9B6">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eastAsia="仿宋_GB2312"/>
                      <w:b/>
                      <w:color w:val="auto"/>
                      <w:szCs w:val="21"/>
                    </w:rPr>
                    <w:t>L&gt;2000</w:t>
                  </w:r>
                </w:p>
              </w:tc>
            </w:tr>
            <w:tr w14:paraId="77CE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48" w:type="pct"/>
                  <w:vMerge w:val="continue"/>
                  <w:vAlign w:val="center"/>
                </w:tcPr>
                <w:p w14:paraId="2FBEEE1E">
                  <w:pPr>
                    <w:keepNext w:val="0"/>
                    <w:keepLines w:val="0"/>
                    <w:suppressLineNumbers w:val="0"/>
                    <w:snapToGrid w:val="0"/>
                    <w:spacing w:before="0" w:beforeAutospacing="0" w:after="0" w:afterAutospacing="0"/>
                    <w:ind w:left="0" w:right="0"/>
                    <w:jc w:val="center"/>
                    <w:rPr>
                      <w:rFonts w:hint="default" w:eastAsia="仿宋_GB2312"/>
                      <w:b/>
                      <w:color w:val="auto"/>
                      <w:szCs w:val="21"/>
                    </w:rPr>
                  </w:pPr>
                </w:p>
              </w:tc>
              <w:tc>
                <w:tcPr>
                  <w:tcW w:w="782" w:type="pct"/>
                  <w:vMerge w:val="continue"/>
                  <w:vAlign w:val="center"/>
                </w:tcPr>
                <w:p w14:paraId="63AF08FA">
                  <w:pPr>
                    <w:keepNext w:val="0"/>
                    <w:keepLines w:val="0"/>
                    <w:suppressLineNumbers w:val="0"/>
                    <w:snapToGrid w:val="0"/>
                    <w:spacing w:before="0" w:beforeAutospacing="0" w:after="0" w:afterAutospacing="0"/>
                    <w:ind w:left="0" w:right="0"/>
                    <w:jc w:val="center"/>
                    <w:rPr>
                      <w:rFonts w:hint="default" w:eastAsia="仿宋_GB2312"/>
                      <w:b/>
                      <w:color w:val="auto"/>
                      <w:szCs w:val="21"/>
                    </w:rPr>
                  </w:pPr>
                </w:p>
              </w:tc>
              <w:tc>
                <w:tcPr>
                  <w:tcW w:w="3670" w:type="pct"/>
                  <w:gridSpan w:val="9"/>
                  <w:vAlign w:val="center"/>
                </w:tcPr>
                <w:p w14:paraId="2535F0E6">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eastAsia="仿宋_GB2312"/>
                      <w:b/>
                      <w:color w:val="auto"/>
                      <w:szCs w:val="21"/>
                    </w:rPr>
                    <w:t>工业企业大气污染源构成类型</w:t>
                  </w:r>
                </w:p>
              </w:tc>
            </w:tr>
            <w:tr w14:paraId="13A3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48" w:type="pct"/>
                  <w:vMerge w:val="continue"/>
                  <w:vAlign w:val="center"/>
                </w:tcPr>
                <w:p w14:paraId="69BC541F">
                  <w:pPr>
                    <w:keepNext w:val="0"/>
                    <w:keepLines w:val="0"/>
                    <w:suppressLineNumbers w:val="0"/>
                    <w:snapToGrid w:val="0"/>
                    <w:spacing w:before="0" w:beforeAutospacing="0" w:after="0" w:afterAutospacing="0"/>
                    <w:ind w:left="0" w:right="0"/>
                    <w:jc w:val="center"/>
                    <w:rPr>
                      <w:rFonts w:hint="default" w:eastAsia="仿宋_GB2312"/>
                      <w:b/>
                      <w:color w:val="auto"/>
                      <w:szCs w:val="21"/>
                    </w:rPr>
                  </w:pPr>
                </w:p>
              </w:tc>
              <w:tc>
                <w:tcPr>
                  <w:tcW w:w="782" w:type="pct"/>
                  <w:vMerge w:val="continue"/>
                  <w:vAlign w:val="center"/>
                </w:tcPr>
                <w:p w14:paraId="03886252">
                  <w:pPr>
                    <w:keepNext w:val="0"/>
                    <w:keepLines w:val="0"/>
                    <w:suppressLineNumbers w:val="0"/>
                    <w:snapToGrid w:val="0"/>
                    <w:spacing w:before="0" w:beforeAutospacing="0" w:after="0" w:afterAutospacing="0"/>
                    <w:ind w:left="0" w:right="0"/>
                    <w:jc w:val="center"/>
                    <w:rPr>
                      <w:rFonts w:hint="default" w:eastAsia="仿宋_GB2312"/>
                      <w:b/>
                      <w:color w:val="auto"/>
                      <w:szCs w:val="21"/>
                    </w:rPr>
                  </w:pPr>
                </w:p>
              </w:tc>
              <w:tc>
                <w:tcPr>
                  <w:tcW w:w="435" w:type="pct"/>
                  <w:vAlign w:val="center"/>
                </w:tcPr>
                <w:p w14:paraId="2AE70F7D">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Ⅰ</w:t>
                  </w:r>
                </w:p>
              </w:tc>
              <w:tc>
                <w:tcPr>
                  <w:tcW w:w="436" w:type="pct"/>
                  <w:vAlign w:val="center"/>
                </w:tcPr>
                <w:p w14:paraId="51EF7BD4">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Ⅱ</w:t>
                  </w:r>
                </w:p>
              </w:tc>
              <w:tc>
                <w:tcPr>
                  <w:tcW w:w="435" w:type="pct"/>
                  <w:vAlign w:val="center"/>
                </w:tcPr>
                <w:p w14:paraId="2303F5F7">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Ⅲ</w:t>
                  </w:r>
                </w:p>
              </w:tc>
              <w:tc>
                <w:tcPr>
                  <w:tcW w:w="349" w:type="pct"/>
                  <w:vAlign w:val="center"/>
                </w:tcPr>
                <w:p w14:paraId="21D98D13">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Ⅰ</w:t>
                  </w:r>
                </w:p>
              </w:tc>
              <w:tc>
                <w:tcPr>
                  <w:tcW w:w="435" w:type="pct"/>
                  <w:vAlign w:val="center"/>
                </w:tcPr>
                <w:p w14:paraId="614AE15F">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Ⅱ</w:t>
                  </w:r>
                </w:p>
              </w:tc>
              <w:tc>
                <w:tcPr>
                  <w:tcW w:w="348" w:type="pct"/>
                  <w:vAlign w:val="center"/>
                </w:tcPr>
                <w:p w14:paraId="01554A51">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Ⅲ</w:t>
                  </w:r>
                </w:p>
              </w:tc>
              <w:tc>
                <w:tcPr>
                  <w:tcW w:w="436" w:type="pct"/>
                  <w:vAlign w:val="center"/>
                </w:tcPr>
                <w:p w14:paraId="21CA64E9">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Ⅰ</w:t>
                  </w:r>
                </w:p>
              </w:tc>
              <w:tc>
                <w:tcPr>
                  <w:tcW w:w="435" w:type="pct"/>
                  <w:vAlign w:val="center"/>
                </w:tcPr>
                <w:p w14:paraId="396CEA21">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Ⅱ</w:t>
                  </w:r>
                </w:p>
              </w:tc>
              <w:tc>
                <w:tcPr>
                  <w:tcW w:w="361" w:type="pct"/>
                  <w:vAlign w:val="center"/>
                </w:tcPr>
                <w:p w14:paraId="2996436C">
                  <w:pPr>
                    <w:keepNext w:val="0"/>
                    <w:keepLines w:val="0"/>
                    <w:suppressLineNumbers w:val="0"/>
                    <w:snapToGrid w:val="0"/>
                    <w:spacing w:before="0" w:beforeAutospacing="0" w:after="0" w:afterAutospacing="0"/>
                    <w:ind w:left="0" w:right="0"/>
                    <w:jc w:val="center"/>
                    <w:rPr>
                      <w:rFonts w:hint="default" w:eastAsia="仿宋_GB2312"/>
                      <w:b/>
                      <w:color w:val="auto"/>
                      <w:szCs w:val="21"/>
                    </w:rPr>
                  </w:pPr>
                  <w:r>
                    <w:rPr>
                      <w:rFonts w:hint="default"/>
                      <w:b/>
                      <w:color w:val="auto"/>
                      <w:szCs w:val="21"/>
                    </w:rPr>
                    <w:t>Ⅲ</w:t>
                  </w:r>
                </w:p>
              </w:tc>
            </w:tr>
            <w:tr w14:paraId="12EA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restart"/>
                  <w:vAlign w:val="center"/>
                </w:tcPr>
                <w:p w14:paraId="03D39B3C">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A</w:t>
                  </w:r>
                </w:p>
              </w:tc>
              <w:tc>
                <w:tcPr>
                  <w:tcW w:w="782" w:type="pct"/>
                  <w:vAlign w:val="center"/>
                </w:tcPr>
                <w:p w14:paraId="4339E467">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&lt;2</w:t>
                  </w:r>
                </w:p>
              </w:tc>
              <w:tc>
                <w:tcPr>
                  <w:tcW w:w="435" w:type="pct"/>
                  <w:vAlign w:val="center"/>
                </w:tcPr>
                <w:p w14:paraId="2A681C9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400</w:t>
                  </w:r>
                </w:p>
              </w:tc>
              <w:tc>
                <w:tcPr>
                  <w:tcW w:w="436" w:type="pct"/>
                  <w:vAlign w:val="center"/>
                </w:tcPr>
                <w:p w14:paraId="7F8847E4">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400</w:t>
                  </w:r>
                </w:p>
              </w:tc>
              <w:tc>
                <w:tcPr>
                  <w:tcW w:w="435" w:type="pct"/>
                  <w:vAlign w:val="center"/>
                </w:tcPr>
                <w:p w14:paraId="6209D646">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400</w:t>
                  </w:r>
                </w:p>
              </w:tc>
              <w:tc>
                <w:tcPr>
                  <w:tcW w:w="349" w:type="pct"/>
                  <w:vAlign w:val="center"/>
                </w:tcPr>
                <w:p w14:paraId="677FB6E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400</w:t>
                  </w:r>
                </w:p>
              </w:tc>
              <w:tc>
                <w:tcPr>
                  <w:tcW w:w="435" w:type="pct"/>
                  <w:vAlign w:val="center"/>
                </w:tcPr>
                <w:p w14:paraId="16F38CC1">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400</w:t>
                  </w:r>
                </w:p>
              </w:tc>
              <w:tc>
                <w:tcPr>
                  <w:tcW w:w="348" w:type="pct"/>
                  <w:vAlign w:val="center"/>
                </w:tcPr>
                <w:p w14:paraId="4F964921">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400</w:t>
                  </w:r>
                </w:p>
              </w:tc>
              <w:tc>
                <w:tcPr>
                  <w:tcW w:w="436" w:type="pct"/>
                  <w:vAlign w:val="center"/>
                </w:tcPr>
                <w:p w14:paraId="5B6A9D40">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80</w:t>
                  </w:r>
                </w:p>
              </w:tc>
              <w:tc>
                <w:tcPr>
                  <w:tcW w:w="435" w:type="pct"/>
                  <w:vAlign w:val="center"/>
                </w:tcPr>
                <w:p w14:paraId="6097C57A">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80</w:t>
                  </w:r>
                </w:p>
              </w:tc>
              <w:tc>
                <w:tcPr>
                  <w:tcW w:w="361" w:type="pct"/>
                  <w:vAlign w:val="center"/>
                </w:tcPr>
                <w:p w14:paraId="435DF2EF">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80</w:t>
                  </w:r>
                </w:p>
              </w:tc>
            </w:tr>
            <w:tr w14:paraId="6846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continue"/>
                  <w:vAlign w:val="center"/>
                </w:tcPr>
                <w:p w14:paraId="13D8593B">
                  <w:pPr>
                    <w:keepNext w:val="0"/>
                    <w:keepLines w:val="0"/>
                    <w:suppressLineNumbers w:val="0"/>
                    <w:snapToGrid w:val="0"/>
                    <w:spacing w:before="0" w:beforeAutospacing="0" w:after="0" w:afterAutospacing="0"/>
                    <w:ind w:left="0" w:right="0"/>
                    <w:jc w:val="center"/>
                    <w:rPr>
                      <w:rFonts w:hint="default" w:eastAsia="仿宋_GB2312"/>
                      <w:bCs/>
                      <w:color w:val="auto"/>
                      <w:szCs w:val="21"/>
                    </w:rPr>
                  </w:pPr>
                </w:p>
              </w:tc>
              <w:tc>
                <w:tcPr>
                  <w:tcW w:w="782" w:type="pct"/>
                  <w:vAlign w:val="center"/>
                </w:tcPr>
                <w:p w14:paraId="5CFA5EBF">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2-4</w:t>
                  </w:r>
                </w:p>
              </w:tc>
              <w:tc>
                <w:tcPr>
                  <w:tcW w:w="435" w:type="pct"/>
                  <w:vAlign w:val="center"/>
                </w:tcPr>
                <w:p w14:paraId="0F0B9950">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700</w:t>
                  </w:r>
                </w:p>
              </w:tc>
              <w:tc>
                <w:tcPr>
                  <w:tcW w:w="436" w:type="pct"/>
                  <w:shd w:val="clear" w:color="auto" w:fill="C0C0C0"/>
                  <w:vAlign w:val="center"/>
                </w:tcPr>
                <w:p w14:paraId="7CEE20AF">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470</w:t>
                  </w:r>
                </w:p>
              </w:tc>
              <w:tc>
                <w:tcPr>
                  <w:tcW w:w="435" w:type="pct"/>
                  <w:vAlign w:val="center"/>
                </w:tcPr>
                <w:p w14:paraId="440B94D8">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350</w:t>
                  </w:r>
                </w:p>
              </w:tc>
              <w:tc>
                <w:tcPr>
                  <w:tcW w:w="349" w:type="pct"/>
                  <w:vAlign w:val="center"/>
                </w:tcPr>
                <w:p w14:paraId="597ED46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700</w:t>
                  </w:r>
                </w:p>
              </w:tc>
              <w:tc>
                <w:tcPr>
                  <w:tcW w:w="435" w:type="pct"/>
                  <w:vAlign w:val="center"/>
                </w:tcPr>
                <w:p w14:paraId="7C54883F">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470</w:t>
                  </w:r>
                </w:p>
              </w:tc>
              <w:tc>
                <w:tcPr>
                  <w:tcW w:w="348" w:type="pct"/>
                  <w:vAlign w:val="center"/>
                </w:tcPr>
                <w:p w14:paraId="4F51EACD">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350</w:t>
                  </w:r>
                </w:p>
              </w:tc>
              <w:tc>
                <w:tcPr>
                  <w:tcW w:w="436" w:type="pct"/>
                  <w:vAlign w:val="center"/>
                </w:tcPr>
                <w:p w14:paraId="33FA999C">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380</w:t>
                  </w:r>
                </w:p>
              </w:tc>
              <w:tc>
                <w:tcPr>
                  <w:tcW w:w="435" w:type="pct"/>
                  <w:vAlign w:val="center"/>
                </w:tcPr>
                <w:p w14:paraId="53AF5C3C">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250</w:t>
                  </w:r>
                </w:p>
              </w:tc>
              <w:tc>
                <w:tcPr>
                  <w:tcW w:w="361" w:type="pct"/>
                  <w:vAlign w:val="center"/>
                </w:tcPr>
                <w:p w14:paraId="74982C1A">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190</w:t>
                  </w:r>
                </w:p>
              </w:tc>
            </w:tr>
            <w:tr w14:paraId="2594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continue"/>
                  <w:vAlign w:val="center"/>
                </w:tcPr>
                <w:p w14:paraId="2567325F">
                  <w:pPr>
                    <w:keepNext w:val="0"/>
                    <w:keepLines w:val="0"/>
                    <w:suppressLineNumbers w:val="0"/>
                    <w:snapToGrid w:val="0"/>
                    <w:spacing w:before="0" w:beforeAutospacing="0" w:after="0" w:afterAutospacing="0"/>
                    <w:ind w:left="0" w:right="0"/>
                    <w:jc w:val="center"/>
                    <w:rPr>
                      <w:rFonts w:hint="default" w:eastAsia="仿宋_GB2312"/>
                      <w:bCs/>
                      <w:color w:val="auto"/>
                      <w:szCs w:val="21"/>
                    </w:rPr>
                  </w:pPr>
                </w:p>
              </w:tc>
              <w:tc>
                <w:tcPr>
                  <w:tcW w:w="782" w:type="pct"/>
                  <w:vAlign w:val="center"/>
                </w:tcPr>
                <w:p w14:paraId="336CB05F">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&gt;4</w:t>
                  </w:r>
                </w:p>
              </w:tc>
              <w:tc>
                <w:tcPr>
                  <w:tcW w:w="435" w:type="pct"/>
                  <w:vAlign w:val="center"/>
                </w:tcPr>
                <w:p w14:paraId="3CA62FCE">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530</w:t>
                  </w:r>
                </w:p>
              </w:tc>
              <w:tc>
                <w:tcPr>
                  <w:tcW w:w="436" w:type="pct"/>
                  <w:vAlign w:val="center"/>
                </w:tcPr>
                <w:p w14:paraId="52D7413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350</w:t>
                  </w:r>
                </w:p>
              </w:tc>
              <w:tc>
                <w:tcPr>
                  <w:tcW w:w="435" w:type="pct"/>
                  <w:vAlign w:val="center"/>
                </w:tcPr>
                <w:p w14:paraId="240587E4">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260</w:t>
                  </w:r>
                </w:p>
              </w:tc>
              <w:tc>
                <w:tcPr>
                  <w:tcW w:w="349" w:type="pct"/>
                  <w:vAlign w:val="center"/>
                </w:tcPr>
                <w:p w14:paraId="4930322F">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530</w:t>
                  </w:r>
                </w:p>
              </w:tc>
              <w:tc>
                <w:tcPr>
                  <w:tcW w:w="435" w:type="pct"/>
                  <w:vAlign w:val="center"/>
                </w:tcPr>
                <w:p w14:paraId="1DC2C397">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350</w:t>
                  </w:r>
                </w:p>
              </w:tc>
              <w:tc>
                <w:tcPr>
                  <w:tcW w:w="348" w:type="pct"/>
                  <w:vAlign w:val="center"/>
                </w:tcPr>
                <w:p w14:paraId="1B12E47C">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260</w:t>
                  </w:r>
                </w:p>
              </w:tc>
              <w:tc>
                <w:tcPr>
                  <w:tcW w:w="436" w:type="pct"/>
                  <w:vAlign w:val="center"/>
                </w:tcPr>
                <w:p w14:paraId="09E32E5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290</w:t>
                  </w:r>
                </w:p>
              </w:tc>
              <w:tc>
                <w:tcPr>
                  <w:tcW w:w="435" w:type="pct"/>
                  <w:vAlign w:val="center"/>
                </w:tcPr>
                <w:p w14:paraId="6A994AD4">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190</w:t>
                  </w:r>
                </w:p>
              </w:tc>
              <w:tc>
                <w:tcPr>
                  <w:tcW w:w="361" w:type="pct"/>
                  <w:vAlign w:val="center"/>
                </w:tcPr>
                <w:p w14:paraId="4FACA895">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140</w:t>
                  </w:r>
                </w:p>
              </w:tc>
            </w:tr>
            <w:tr w14:paraId="2EA6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restart"/>
                  <w:vAlign w:val="center"/>
                </w:tcPr>
                <w:p w14:paraId="3A1DF3C8">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B</w:t>
                  </w:r>
                </w:p>
              </w:tc>
              <w:tc>
                <w:tcPr>
                  <w:tcW w:w="782" w:type="pct"/>
                  <w:vAlign w:val="center"/>
                </w:tcPr>
                <w:p w14:paraId="1C857229">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&lt;2</w:t>
                  </w:r>
                </w:p>
              </w:tc>
              <w:tc>
                <w:tcPr>
                  <w:tcW w:w="1306" w:type="pct"/>
                  <w:gridSpan w:val="3"/>
                  <w:vAlign w:val="center"/>
                </w:tcPr>
                <w:p w14:paraId="1F905F79">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0.01</w:t>
                  </w:r>
                </w:p>
              </w:tc>
              <w:tc>
                <w:tcPr>
                  <w:tcW w:w="1132" w:type="pct"/>
                  <w:gridSpan w:val="3"/>
                  <w:vAlign w:val="center"/>
                </w:tcPr>
                <w:p w14:paraId="01430A27">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0.015</w:t>
                  </w:r>
                </w:p>
              </w:tc>
              <w:tc>
                <w:tcPr>
                  <w:tcW w:w="1232" w:type="pct"/>
                  <w:gridSpan w:val="3"/>
                  <w:vAlign w:val="center"/>
                </w:tcPr>
                <w:p w14:paraId="57CBCB20">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0.015</w:t>
                  </w:r>
                </w:p>
              </w:tc>
            </w:tr>
            <w:tr w14:paraId="7939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continue"/>
                  <w:vAlign w:val="center"/>
                </w:tcPr>
                <w:p w14:paraId="60C50068">
                  <w:pPr>
                    <w:keepNext w:val="0"/>
                    <w:keepLines w:val="0"/>
                    <w:suppressLineNumbers w:val="0"/>
                    <w:snapToGrid w:val="0"/>
                    <w:spacing w:before="0" w:beforeAutospacing="0" w:after="0" w:afterAutospacing="0"/>
                    <w:ind w:left="0" w:right="0"/>
                    <w:jc w:val="center"/>
                    <w:rPr>
                      <w:rFonts w:hint="default" w:eastAsia="仿宋_GB2312"/>
                      <w:bCs/>
                      <w:color w:val="auto"/>
                      <w:szCs w:val="21"/>
                    </w:rPr>
                  </w:pPr>
                </w:p>
              </w:tc>
              <w:tc>
                <w:tcPr>
                  <w:tcW w:w="782" w:type="pct"/>
                  <w:vAlign w:val="center"/>
                </w:tcPr>
                <w:p w14:paraId="50D42BA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&gt;2</w:t>
                  </w:r>
                </w:p>
              </w:tc>
              <w:tc>
                <w:tcPr>
                  <w:tcW w:w="1306" w:type="pct"/>
                  <w:gridSpan w:val="3"/>
                  <w:shd w:val="clear" w:color="auto" w:fill="C0C0C0"/>
                  <w:vAlign w:val="center"/>
                </w:tcPr>
                <w:p w14:paraId="73D1ABCB">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0.021</w:t>
                  </w:r>
                </w:p>
              </w:tc>
              <w:tc>
                <w:tcPr>
                  <w:tcW w:w="1132" w:type="pct"/>
                  <w:gridSpan w:val="3"/>
                  <w:vAlign w:val="center"/>
                </w:tcPr>
                <w:p w14:paraId="481627E6">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0.036</w:t>
                  </w:r>
                </w:p>
              </w:tc>
              <w:tc>
                <w:tcPr>
                  <w:tcW w:w="1232" w:type="pct"/>
                  <w:gridSpan w:val="3"/>
                  <w:vAlign w:val="center"/>
                </w:tcPr>
                <w:p w14:paraId="4BC5032C">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0.036</w:t>
                  </w:r>
                </w:p>
              </w:tc>
            </w:tr>
            <w:tr w14:paraId="39D1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restart"/>
                  <w:vAlign w:val="center"/>
                </w:tcPr>
                <w:p w14:paraId="7822075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C</w:t>
                  </w:r>
                </w:p>
              </w:tc>
              <w:tc>
                <w:tcPr>
                  <w:tcW w:w="782" w:type="pct"/>
                  <w:vAlign w:val="center"/>
                </w:tcPr>
                <w:p w14:paraId="5A22C452">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&lt;2</w:t>
                  </w:r>
                </w:p>
              </w:tc>
              <w:tc>
                <w:tcPr>
                  <w:tcW w:w="1306" w:type="pct"/>
                  <w:gridSpan w:val="3"/>
                  <w:vAlign w:val="center"/>
                </w:tcPr>
                <w:p w14:paraId="027A58BF">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1.85</w:t>
                  </w:r>
                </w:p>
              </w:tc>
              <w:tc>
                <w:tcPr>
                  <w:tcW w:w="1132" w:type="pct"/>
                  <w:gridSpan w:val="3"/>
                  <w:vAlign w:val="center"/>
                </w:tcPr>
                <w:p w14:paraId="13E75B78">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1.79</w:t>
                  </w:r>
                </w:p>
              </w:tc>
              <w:tc>
                <w:tcPr>
                  <w:tcW w:w="1232" w:type="pct"/>
                  <w:gridSpan w:val="3"/>
                  <w:vAlign w:val="center"/>
                </w:tcPr>
                <w:p w14:paraId="72215B14">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1.79</w:t>
                  </w:r>
                </w:p>
              </w:tc>
            </w:tr>
            <w:tr w14:paraId="2B1A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continue"/>
                  <w:vAlign w:val="center"/>
                </w:tcPr>
                <w:p w14:paraId="160A2E66">
                  <w:pPr>
                    <w:keepNext w:val="0"/>
                    <w:keepLines w:val="0"/>
                    <w:suppressLineNumbers w:val="0"/>
                    <w:snapToGrid w:val="0"/>
                    <w:spacing w:before="0" w:beforeAutospacing="0" w:after="0" w:afterAutospacing="0"/>
                    <w:ind w:left="0" w:right="0"/>
                    <w:jc w:val="center"/>
                    <w:rPr>
                      <w:rFonts w:hint="default" w:eastAsia="仿宋_GB2312"/>
                      <w:bCs/>
                      <w:color w:val="auto"/>
                      <w:szCs w:val="21"/>
                    </w:rPr>
                  </w:pPr>
                </w:p>
              </w:tc>
              <w:tc>
                <w:tcPr>
                  <w:tcW w:w="782" w:type="pct"/>
                  <w:vAlign w:val="center"/>
                </w:tcPr>
                <w:p w14:paraId="79846088">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&gt;2</w:t>
                  </w:r>
                </w:p>
              </w:tc>
              <w:tc>
                <w:tcPr>
                  <w:tcW w:w="1306" w:type="pct"/>
                  <w:gridSpan w:val="3"/>
                  <w:shd w:val="clear" w:color="auto" w:fill="C0C0C0"/>
                  <w:vAlign w:val="center"/>
                </w:tcPr>
                <w:p w14:paraId="060A4DC8">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1.85</w:t>
                  </w:r>
                </w:p>
              </w:tc>
              <w:tc>
                <w:tcPr>
                  <w:tcW w:w="1132" w:type="pct"/>
                  <w:gridSpan w:val="3"/>
                  <w:vAlign w:val="center"/>
                </w:tcPr>
                <w:p w14:paraId="5067186F">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1.77</w:t>
                  </w:r>
                </w:p>
              </w:tc>
              <w:tc>
                <w:tcPr>
                  <w:tcW w:w="1232" w:type="pct"/>
                  <w:gridSpan w:val="3"/>
                  <w:vAlign w:val="center"/>
                </w:tcPr>
                <w:p w14:paraId="69698CB1">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1.77</w:t>
                  </w:r>
                </w:p>
              </w:tc>
            </w:tr>
            <w:tr w14:paraId="3A74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restart"/>
                  <w:vAlign w:val="center"/>
                </w:tcPr>
                <w:p w14:paraId="3CB19FDB">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D</w:t>
                  </w:r>
                </w:p>
              </w:tc>
              <w:tc>
                <w:tcPr>
                  <w:tcW w:w="782" w:type="pct"/>
                  <w:vAlign w:val="center"/>
                </w:tcPr>
                <w:p w14:paraId="68BA609A">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&lt;2</w:t>
                  </w:r>
                </w:p>
              </w:tc>
              <w:tc>
                <w:tcPr>
                  <w:tcW w:w="1306" w:type="pct"/>
                  <w:gridSpan w:val="3"/>
                  <w:vAlign w:val="center"/>
                </w:tcPr>
                <w:p w14:paraId="162A7702">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0.78</w:t>
                  </w:r>
                </w:p>
              </w:tc>
              <w:tc>
                <w:tcPr>
                  <w:tcW w:w="1132" w:type="pct"/>
                  <w:gridSpan w:val="3"/>
                  <w:vAlign w:val="center"/>
                </w:tcPr>
                <w:p w14:paraId="1A6728B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0.78</w:t>
                  </w:r>
                </w:p>
              </w:tc>
              <w:tc>
                <w:tcPr>
                  <w:tcW w:w="1232" w:type="pct"/>
                  <w:gridSpan w:val="3"/>
                  <w:vAlign w:val="center"/>
                </w:tcPr>
                <w:p w14:paraId="4DC15ED8">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0.57</w:t>
                  </w:r>
                </w:p>
              </w:tc>
            </w:tr>
            <w:tr w14:paraId="75BA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8" w:type="pct"/>
                  <w:vMerge w:val="continue"/>
                  <w:vAlign w:val="center"/>
                </w:tcPr>
                <w:p w14:paraId="4BC2443D">
                  <w:pPr>
                    <w:keepNext w:val="0"/>
                    <w:keepLines w:val="0"/>
                    <w:suppressLineNumbers w:val="0"/>
                    <w:snapToGrid w:val="0"/>
                    <w:spacing w:before="0" w:beforeAutospacing="0" w:after="0" w:afterAutospacing="0"/>
                    <w:ind w:left="0" w:right="0"/>
                    <w:jc w:val="center"/>
                    <w:rPr>
                      <w:rFonts w:hint="default" w:eastAsia="仿宋_GB2312"/>
                      <w:bCs/>
                      <w:color w:val="auto"/>
                      <w:szCs w:val="21"/>
                    </w:rPr>
                  </w:pPr>
                </w:p>
              </w:tc>
              <w:tc>
                <w:tcPr>
                  <w:tcW w:w="782" w:type="pct"/>
                  <w:vAlign w:val="center"/>
                </w:tcPr>
                <w:p w14:paraId="2FAC155D">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&gt;2</w:t>
                  </w:r>
                </w:p>
              </w:tc>
              <w:tc>
                <w:tcPr>
                  <w:tcW w:w="1306" w:type="pct"/>
                  <w:gridSpan w:val="3"/>
                  <w:shd w:val="clear" w:color="auto" w:fill="C0C0C0"/>
                  <w:vAlign w:val="center"/>
                </w:tcPr>
                <w:p w14:paraId="47C9D651">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0.84</w:t>
                  </w:r>
                </w:p>
              </w:tc>
              <w:tc>
                <w:tcPr>
                  <w:tcW w:w="1132" w:type="pct"/>
                  <w:gridSpan w:val="3"/>
                  <w:vAlign w:val="center"/>
                </w:tcPr>
                <w:p w14:paraId="45A02C73">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0.84</w:t>
                  </w:r>
                </w:p>
              </w:tc>
              <w:tc>
                <w:tcPr>
                  <w:tcW w:w="1232" w:type="pct"/>
                  <w:gridSpan w:val="3"/>
                  <w:vAlign w:val="center"/>
                </w:tcPr>
                <w:p w14:paraId="4B173542">
                  <w:pPr>
                    <w:keepNext w:val="0"/>
                    <w:keepLines w:val="0"/>
                    <w:suppressLineNumbers w:val="0"/>
                    <w:snapToGrid w:val="0"/>
                    <w:spacing w:before="0" w:beforeAutospacing="0" w:after="0" w:afterAutospacing="0"/>
                    <w:ind w:left="0" w:right="0"/>
                    <w:jc w:val="center"/>
                    <w:rPr>
                      <w:rFonts w:hint="default" w:eastAsia="仿宋_GB2312"/>
                      <w:bCs/>
                      <w:color w:val="auto"/>
                      <w:szCs w:val="21"/>
                    </w:rPr>
                  </w:pPr>
                  <w:r>
                    <w:rPr>
                      <w:rFonts w:hint="default" w:eastAsia="仿宋_GB2312"/>
                      <w:bCs/>
                      <w:color w:val="auto"/>
                      <w:szCs w:val="21"/>
                    </w:rPr>
                    <w:t>0.76</w:t>
                  </w:r>
                </w:p>
              </w:tc>
            </w:tr>
            <w:tr w14:paraId="5082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11"/>
                  <w:vAlign w:val="center"/>
                </w:tcPr>
                <w:p w14:paraId="09CE5E0E">
                  <w:pPr>
                    <w:keepNext w:val="0"/>
                    <w:keepLines w:val="0"/>
                    <w:suppressLineNumbers w:val="0"/>
                    <w:snapToGrid w:val="0"/>
                    <w:spacing w:before="0" w:beforeAutospacing="0" w:after="0" w:afterAutospacing="0"/>
                    <w:ind w:left="0" w:right="0"/>
                    <w:rPr>
                      <w:rFonts w:hint="default" w:eastAsia="仿宋_GB2312"/>
                      <w:bCs/>
                      <w:color w:val="auto"/>
                      <w:szCs w:val="21"/>
                    </w:rPr>
                  </w:pPr>
                  <w:r>
                    <w:rPr>
                      <w:rFonts w:hint="default" w:eastAsia="仿宋_GB2312"/>
                      <w:bCs/>
                      <w:color w:val="auto"/>
                      <w:szCs w:val="21"/>
                    </w:rPr>
                    <w:t>注：I类：与无组织排放源共存的排放同种有害气体的排气筒的排放量，大于或等于标准规定的允许排放量的1/3者。II类：与无组织排放源共存的排放同种有害气体的排气筒的排放量，小于标准规定的允许排放量的1/3，或虽无排放同种大气污染物之排气筒共存，但无组织排放的有害物质的容许浓度指标是按急性反应指标确定者。III类：无排放同种有害物质的排气筒与无组织排放源共存，但无组织排放的有害物质的容许浓度是按慢性反应指标确定者。</w:t>
                  </w:r>
                </w:p>
              </w:tc>
            </w:tr>
          </w:tbl>
          <w:p w14:paraId="40BF0634">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卫生防护距离初值小于50m时，级差为50m；卫生防护距离初值大于或等于50m，但小于100m时，级差为50m；卫生防护距离初值大于或等于100m，但小于1000m时，级差为100m；卫生防护距离初值大于或等于1000m，级差为200m。当企业某生产单元无组织排放存在多种特征大气有害物质时，如果分别推导出的卫生防护距离初值在同一级别时，则该企业的卫生防护距离终值应提高一级；卫生防护距离初值不在统一级别的，以卫生防护距离终值较大者为准。</w:t>
            </w:r>
          </w:p>
          <w:p w14:paraId="1E138838">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rPr>
            </w:pPr>
            <w:r>
              <w:rPr>
                <w:rFonts w:hint="default" w:eastAsia="仿宋_GB2312"/>
                <w:color w:val="auto"/>
                <w:kern w:val="0"/>
                <w:sz w:val="24"/>
                <w:szCs w:val="20"/>
              </w:rPr>
              <w:t>本项目卫生防护距离计算结果见下表。</w:t>
            </w:r>
          </w:p>
          <w:p w14:paraId="708BC3CC">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w:t>
            </w:r>
            <w:r>
              <w:rPr>
                <w:rFonts w:hint="eastAsia" w:eastAsia="仿宋_GB2312"/>
                <w:b/>
                <w:color w:val="auto"/>
                <w:sz w:val="22"/>
                <w:szCs w:val="22"/>
                <w:lang w:val="en-US" w:eastAsia="zh-CN"/>
              </w:rPr>
              <w:t>17</w:t>
            </w:r>
            <w:r>
              <w:rPr>
                <w:rFonts w:hint="default" w:eastAsia="仿宋_GB2312"/>
                <w:b/>
                <w:color w:val="auto"/>
                <w:sz w:val="22"/>
                <w:szCs w:val="22"/>
              </w:rPr>
              <w:t xml:space="preserve">  本项目卫生防护距离计算表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3"/>
              <w:gridCol w:w="1999"/>
              <w:gridCol w:w="1669"/>
              <w:gridCol w:w="1756"/>
              <w:gridCol w:w="1756"/>
              <w:gridCol w:w="1723"/>
            </w:tblGrid>
            <w:tr w14:paraId="4478A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pct"/>
                  <w:vAlign w:val="center"/>
                </w:tcPr>
                <w:p w14:paraId="356101D1">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产生源</w:t>
                  </w:r>
                </w:p>
              </w:tc>
              <w:tc>
                <w:tcPr>
                  <w:tcW w:w="970" w:type="pct"/>
                  <w:vAlign w:val="center"/>
                </w:tcPr>
                <w:p w14:paraId="748A9318">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污染物名称</w:t>
                  </w:r>
                </w:p>
              </w:tc>
              <w:tc>
                <w:tcPr>
                  <w:tcW w:w="810" w:type="pct"/>
                  <w:vAlign w:val="center"/>
                </w:tcPr>
                <w:p w14:paraId="4861501B">
                  <w:pPr>
                    <w:keepNext w:val="0"/>
                    <w:keepLines w:val="0"/>
                    <w:suppressLineNumbers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最大排放速率（kg/h）</w:t>
                  </w:r>
                </w:p>
              </w:tc>
              <w:tc>
                <w:tcPr>
                  <w:tcW w:w="852" w:type="pct"/>
                  <w:vAlign w:val="center"/>
                </w:tcPr>
                <w:p w14:paraId="00951FB3">
                  <w:pPr>
                    <w:keepNext w:val="0"/>
                    <w:keepLines w:val="0"/>
                    <w:suppressLineNumbers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面源面积(m</w:t>
                  </w:r>
                  <w:r>
                    <w:rPr>
                      <w:rFonts w:hint="default" w:ascii="Times New Roman" w:hAnsi="Times New Roman" w:eastAsia="仿宋_GB2312" w:cs="Times New Roman"/>
                      <w:b/>
                      <w:bCs/>
                      <w:color w:val="auto"/>
                      <w:sz w:val="21"/>
                      <w:vertAlign w:val="superscript"/>
                    </w:rPr>
                    <w:t>2</w:t>
                  </w:r>
                  <w:r>
                    <w:rPr>
                      <w:rFonts w:hint="default" w:ascii="Times New Roman" w:hAnsi="Times New Roman" w:eastAsia="仿宋_GB2312" w:cs="Times New Roman"/>
                      <w:b/>
                      <w:bCs/>
                      <w:color w:val="auto"/>
                      <w:sz w:val="21"/>
                    </w:rPr>
                    <w:t>)</w:t>
                  </w:r>
                </w:p>
              </w:tc>
              <w:tc>
                <w:tcPr>
                  <w:tcW w:w="852" w:type="pct"/>
                  <w:vAlign w:val="center"/>
                </w:tcPr>
                <w:p w14:paraId="140A9203">
                  <w:pPr>
                    <w:keepNext w:val="0"/>
                    <w:keepLines w:val="0"/>
                    <w:suppressLineNumbers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color w:val="auto"/>
                      <w:sz w:val="21"/>
                    </w:rPr>
                    <w:t>卫生环境防护距离(m)</w:t>
                  </w:r>
                </w:p>
              </w:tc>
              <w:tc>
                <w:tcPr>
                  <w:tcW w:w="836" w:type="pct"/>
                  <w:vAlign w:val="center"/>
                </w:tcPr>
                <w:p w14:paraId="441B5216">
                  <w:pPr>
                    <w:keepNext w:val="0"/>
                    <w:keepLines w:val="0"/>
                    <w:suppressLineNumbers w:val="0"/>
                    <w:snapToGrid w:val="0"/>
                    <w:spacing w:before="0" w:beforeAutospacing="0" w:after="0" w:afterAutospacing="0" w:line="26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color w:val="auto"/>
                      <w:sz w:val="21"/>
                    </w:rPr>
                    <w:t>卫生防护距离(定)m</w:t>
                  </w:r>
                </w:p>
              </w:tc>
            </w:tr>
            <w:tr w14:paraId="7E3A9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pct"/>
                  <w:vMerge w:val="restart"/>
                  <w:vAlign w:val="center"/>
                </w:tcPr>
                <w:p w14:paraId="549216EF">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厂房</w:t>
                  </w:r>
                </w:p>
              </w:tc>
              <w:tc>
                <w:tcPr>
                  <w:tcW w:w="970" w:type="pct"/>
                  <w:vAlign w:val="center"/>
                </w:tcPr>
                <w:p w14:paraId="76870B62">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color w:val="auto"/>
                      <w:kern w:val="0"/>
                      <w:sz w:val="21"/>
                    </w:rPr>
                    <w:t>颗粒物</w:t>
                  </w:r>
                </w:p>
              </w:tc>
              <w:tc>
                <w:tcPr>
                  <w:tcW w:w="810" w:type="pct"/>
                  <w:vAlign w:val="center"/>
                </w:tcPr>
                <w:p w14:paraId="219A63DA">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0.129</w:t>
                  </w:r>
                </w:p>
              </w:tc>
              <w:tc>
                <w:tcPr>
                  <w:tcW w:w="852" w:type="pct"/>
                  <w:vMerge w:val="restart"/>
                  <w:vAlign w:val="center"/>
                </w:tcPr>
                <w:p w14:paraId="3D0D4786">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2398.48</w:t>
                  </w:r>
                </w:p>
              </w:tc>
              <w:tc>
                <w:tcPr>
                  <w:tcW w:w="852" w:type="pct"/>
                  <w:vAlign w:val="center"/>
                </w:tcPr>
                <w:p w14:paraId="1F390AFD">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＜1</w:t>
                  </w:r>
                </w:p>
              </w:tc>
              <w:tc>
                <w:tcPr>
                  <w:tcW w:w="836" w:type="pct"/>
                  <w:vMerge w:val="restart"/>
                  <w:vAlign w:val="center"/>
                </w:tcPr>
                <w:p w14:paraId="2B5E855D">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100</w:t>
                  </w:r>
                </w:p>
              </w:tc>
            </w:tr>
            <w:tr w14:paraId="33DA0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pct"/>
                  <w:vMerge w:val="continue"/>
                  <w:vAlign w:val="center"/>
                </w:tcPr>
                <w:p w14:paraId="19E433BC">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p>
              </w:tc>
              <w:tc>
                <w:tcPr>
                  <w:tcW w:w="970" w:type="pct"/>
                  <w:vAlign w:val="center"/>
                </w:tcPr>
                <w:p w14:paraId="53411C0D">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氯化氢</w:t>
                  </w:r>
                </w:p>
              </w:tc>
              <w:tc>
                <w:tcPr>
                  <w:tcW w:w="810" w:type="pct"/>
                  <w:vAlign w:val="center"/>
                </w:tcPr>
                <w:p w14:paraId="75D5C439">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0.01</w:t>
                  </w:r>
                </w:p>
              </w:tc>
              <w:tc>
                <w:tcPr>
                  <w:tcW w:w="852" w:type="pct"/>
                  <w:vMerge w:val="continue"/>
                  <w:vAlign w:val="center"/>
                </w:tcPr>
                <w:p w14:paraId="537681D2">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p>
              </w:tc>
              <w:tc>
                <w:tcPr>
                  <w:tcW w:w="852" w:type="pct"/>
                  <w:vAlign w:val="center"/>
                </w:tcPr>
                <w:p w14:paraId="5DBA7204">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836" w:type="pct"/>
                  <w:vMerge w:val="continue"/>
                  <w:vAlign w:val="center"/>
                </w:tcPr>
                <w:p w14:paraId="25323A33">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p>
              </w:tc>
            </w:tr>
            <w:tr w14:paraId="62543B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pct"/>
                  <w:vMerge w:val="continue"/>
                  <w:vAlign w:val="center"/>
                </w:tcPr>
                <w:p w14:paraId="5E0C3509">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p>
              </w:tc>
              <w:tc>
                <w:tcPr>
                  <w:tcW w:w="970" w:type="pct"/>
                  <w:vAlign w:val="center"/>
                </w:tcPr>
                <w:p w14:paraId="1F657040">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非甲烷总烃</w:t>
                  </w:r>
                </w:p>
              </w:tc>
              <w:tc>
                <w:tcPr>
                  <w:tcW w:w="810" w:type="pct"/>
                  <w:vAlign w:val="center"/>
                </w:tcPr>
                <w:p w14:paraId="5AE08EA8">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0.002</w:t>
                  </w:r>
                </w:p>
              </w:tc>
              <w:tc>
                <w:tcPr>
                  <w:tcW w:w="852" w:type="pct"/>
                  <w:vMerge w:val="continue"/>
                  <w:vAlign w:val="center"/>
                </w:tcPr>
                <w:p w14:paraId="6A55DAD8">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p>
              </w:tc>
              <w:tc>
                <w:tcPr>
                  <w:tcW w:w="852" w:type="pct"/>
                  <w:vAlign w:val="center"/>
                </w:tcPr>
                <w:p w14:paraId="46E95ACC">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836" w:type="pct"/>
                  <w:vMerge w:val="continue"/>
                  <w:vAlign w:val="center"/>
                </w:tcPr>
                <w:p w14:paraId="2798A23C">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p>
              </w:tc>
            </w:tr>
            <w:tr w14:paraId="2AA7E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pct"/>
                  <w:vMerge w:val="restart"/>
                  <w:vAlign w:val="center"/>
                </w:tcPr>
                <w:p w14:paraId="56D1CFE4">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污水站</w:t>
                  </w:r>
                </w:p>
              </w:tc>
              <w:tc>
                <w:tcPr>
                  <w:tcW w:w="970" w:type="pct"/>
                  <w:vAlign w:val="center"/>
                </w:tcPr>
                <w:p w14:paraId="3E0FD3DD">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NH</w:t>
                  </w:r>
                  <w:r>
                    <w:rPr>
                      <w:rFonts w:hint="default" w:ascii="Times New Roman" w:hAnsi="Times New Roman" w:eastAsia="仿宋_GB2312" w:cs="Times New Roman"/>
                      <w:color w:val="auto"/>
                      <w:kern w:val="0"/>
                      <w:sz w:val="21"/>
                      <w:vertAlign w:val="subscript"/>
                    </w:rPr>
                    <w:t>3</w:t>
                  </w:r>
                </w:p>
              </w:tc>
              <w:tc>
                <w:tcPr>
                  <w:tcW w:w="810" w:type="pct"/>
                  <w:vAlign w:val="center"/>
                </w:tcPr>
                <w:p w14:paraId="1FE054ED">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0.001</w:t>
                  </w:r>
                </w:p>
              </w:tc>
              <w:tc>
                <w:tcPr>
                  <w:tcW w:w="852" w:type="pct"/>
                  <w:vMerge w:val="restart"/>
                  <w:vAlign w:val="center"/>
                </w:tcPr>
                <w:p w14:paraId="7BE6DF52">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100</w:t>
                  </w:r>
                </w:p>
              </w:tc>
              <w:tc>
                <w:tcPr>
                  <w:tcW w:w="852" w:type="pct"/>
                  <w:vAlign w:val="center"/>
                </w:tcPr>
                <w:p w14:paraId="0230994B">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836" w:type="pct"/>
                  <w:vMerge w:val="restart"/>
                  <w:vAlign w:val="center"/>
                </w:tcPr>
                <w:p w14:paraId="1623CA39">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100</w:t>
                  </w:r>
                </w:p>
              </w:tc>
            </w:tr>
            <w:tr w14:paraId="718C78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6" w:type="pct"/>
                  <w:vMerge w:val="continue"/>
                  <w:vAlign w:val="center"/>
                </w:tcPr>
                <w:p w14:paraId="37957D10">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p>
              </w:tc>
              <w:tc>
                <w:tcPr>
                  <w:tcW w:w="970" w:type="pct"/>
                  <w:vAlign w:val="center"/>
                </w:tcPr>
                <w:p w14:paraId="20D91E63">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t>
                  </w:r>
                  <w:r>
                    <w:rPr>
                      <w:rFonts w:hint="default" w:ascii="Times New Roman" w:hAnsi="Times New Roman" w:eastAsia="仿宋_GB2312" w:cs="Times New Roman"/>
                      <w:color w:val="auto"/>
                      <w:kern w:val="0"/>
                      <w:sz w:val="21"/>
                      <w:vertAlign w:val="subscript"/>
                    </w:rPr>
                    <w:t>2</w:t>
                  </w:r>
                  <w:r>
                    <w:rPr>
                      <w:rFonts w:hint="default" w:ascii="Times New Roman" w:hAnsi="Times New Roman" w:eastAsia="仿宋_GB2312" w:cs="Times New Roman"/>
                      <w:color w:val="auto"/>
                      <w:kern w:val="0"/>
                      <w:sz w:val="21"/>
                    </w:rPr>
                    <w:t>S</w:t>
                  </w:r>
                </w:p>
              </w:tc>
              <w:tc>
                <w:tcPr>
                  <w:tcW w:w="810" w:type="pct"/>
                  <w:vAlign w:val="center"/>
                </w:tcPr>
                <w:p w14:paraId="225859EF">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0.0001</w:t>
                  </w:r>
                </w:p>
              </w:tc>
              <w:tc>
                <w:tcPr>
                  <w:tcW w:w="852" w:type="pct"/>
                  <w:vMerge w:val="continue"/>
                  <w:vAlign w:val="center"/>
                </w:tcPr>
                <w:p w14:paraId="0417E4C1">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p>
              </w:tc>
              <w:tc>
                <w:tcPr>
                  <w:tcW w:w="852" w:type="pct"/>
                  <w:vAlign w:val="center"/>
                </w:tcPr>
                <w:p w14:paraId="04BFCC93">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4</w:t>
                  </w:r>
                </w:p>
              </w:tc>
              <w:tc>
                <w:tcPr>
                  <w:tcW w:w="836" w:type="pct"/>
                  <w:vMerge w:val="continue"/>
                  <w:vAlign w:val="center"/>
                </w:tcPr>
                <w:p w14:paraId="2CD7A9DF">
                  <w:pPr>
                    <w:keepNext w:val="0"/>
                    <w:keepLines w:val="0"/>
                    <w:suppressLineNumbers w:val="0"/>
                    <w:spacing w:before="0" w:beforeAutospacing="0" w:after="0" w:afterAutospacing="0" w:line="260" w:lineRule="exact"/>
                    <w:ind w:left="0" w:right="0"/>
                    <w:jc w:val="center"/>
                    <w:rPr>
                      <w:rFonts w:hint="default" w:ascii="Times New Roman" w:hAnsi="Times New Roman" w:eastAsia="仿宋_GB2312" w:cs="Times New Roman"/>
                      <w:color w:val="auto"/>
                      <w:kern w:val="0"/>
                      <w:sz w:val="21"/>
                    </w:rPr>
                  </w:pPr>
                </w:p>
              </w:tc>
            </w:tr>
          </w:tbl>
          <w:p w14:paraId="5F929D9F">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由上表可知，本项目实施后，确定全厂卫生防护距离为厂房、污水站分别外扩100米形成的包络线范围。根据现场踏勘，全厂卫生防护距离范围内现无居民住宅等环境敏感目标，今后也不得新建学校、医院、居民住宅等环境敏感建筑物。</w:t>
            </w:r>
          </w:p>
          <w:p w14:paraId="47FB107F">
            <w:pPr>
              <w:pStyle w:val="81"/>
              <w:keepNext w:val="0"/>
              <w:keepLines w:val="0"/>
              <w:widowControl w:val="0"/>
              <w:suppressLineNumbers w:val="0"/>
              <w:spacing w:before="0" w:beforeAutospacing="0" w:after="0" w:afterAutospacing="0" w:line="500" w:lineRule="exact"/>
              <w:ind w:left="0" w:right="0" w:firstLine="482" w:firstLineChars="200"/>
              <w:jc w:val="both"/>
              <w:rPr>
                <w:rFonts w:hint="default" w:ascii="Times New Roman" w:hAnsi="Times New Roman" w:eastAsia="仿宋_GB2312" w:cs="Times New Roman"/>
                <w:b/>
                <w:bCs/>
                <w:color w:val="auto"/>
                <w:lang w:val="en-US"/>
              </w:rPr>
            </w:pPr>
            <w:r>
              <w:rPr>
                <w:rFonts w:hint="eastAsia" w:ascii="Times New Roman" w:hAnsi="Times New Roman" w:eastAsia="仿宋_GB2312" w:cs="Times New Roman"/>
                <w:b/>
                <w:bCs/>
                <w:color w:val="auto"/>
                <w:kern w:val="0"/>
                <w:sz w:val="24"/>
                <w:szCs w:val="20"/>
                <w:lang w:val="en-US" w:eastAsia="zh-CN" w:bidi="ar"/>
              </w:rPr>
              <w:t>6</w:t>
            </w:r>
            <w:r>
              <w:rPr>
                <w:rFonts w:hint="default" w:ascii="Times New Roman" w:hAnsi="Times New Roman" w:eastAsia="仿宋_GB2312" w:cs="Times New Roman"/>
                <w:b/>
                <w:bCs/>
                <w:color w:val="auto"/>
                <w:kern w:val="0"/>
                <w:sz w:val="24"/>
                <w:szCs w:val="20"/>
                <w:lang w:val="en-US" w:eastAsia="zh-CN" w:bidi="ar"/>
              </w:rPr>
              <w:t>、排气筒设置合理性</w:t>
            </w:r>
          </w:p>
          <w:p w14:paraId="7A130D39">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仿宋_GB2312" w:cs="仿宋_GB2312"/>
                <w:color w:val="auto"/>
                <w:kern w:val="0"/>
                <w:sz w:val="24"/>
                <w:szCs w:val="20"/>
                <w:lang w:val="en-US" w:eastAsia="zh-CN" w:bidi="ar"/>
              </w:rPr>
            </w:pPr>
            <w:r>
              <w:rPr>
                <w:rFonts w:hint="eastAsia" w:ascii="Times New Roman" w:hAnsi="Times New Roman" w:eastAsia="仿宋_GB2312" w:cs="仿宋_GB2312"/>
                <w:color w:val="auto"/>
                <w:kern w:val="0"/>
                <w:sz w:val="24"/>
                <w:szCs w:val="20"/>
                <w:lang w:val="en-US" w:eastAsia="zh-CN" w:bidi="ar"/>
              </w:rPr>
              <w:t>本项目各类废气分类收集、分质处理，共设置3根15m高排气筒。</w:t>
            </w:r>
          </w:p>
          <w:p w14:paraId="4FF25067">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eastAsia" w:eastAsia="仿宋_GB2312" w:cs="仿宋_GB2312"/>
                <w:color w:val="1D35AD"/>
                <w:kern w:val="0"/>
                <w:sz w:val="24"/>
                <w:szCs w:val="20"/>
                <w:lang w:val="en-US" w:eastAsia="zh-CN" w:bidi="ar"/>
              </w:rPr>
            </w:pPr>
            <w:r>
              <w:rPr>
                <w:rFonts w:hint="eastAsia" w:eastAsia="仿宋_GB2312" w:cs="仿宋_GB2312"/>
                <w:color w:val="1D35AD"/>
                <w:kern w:val="0"/>
                <w:sz w:val="24"/>
                <w:szCs w:val="20"/>
                <w:lang w:val="en-US" w:eastAsia="zh-CN" w:bidi="ar"/>
              </w:rPr>
              <w:t>DA002排气筒中食品用原料（γ-氨基丁酸）、保健食品粉（二氢槲皮素）生产过程中种子培养废气、发酵废气、质检废气、盐酸溶液配制废气、危废库废气、污水站废气均能通过酸吸收+碱吸收+除雾器+二级活性炭吸附措施有效处理后达标排放，因此DA002排气筒废气合并排放合理。</w:t>
            </w:r>
          </w:p>
          <w:p w14:paraId="0587D74B">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eastAsia" w:ascii="Times New Roman" w:hAnsi="Times New Roman" w:eastAsia="仿宋_GB2312" w:cs="仿宋_GB2312"/>
                <w:color w:val="auto"/>
                <w:kern w:val="0"/>
                <w:sz w:val="24"/>
                <w:szCs w:val="20"/>
                <w:lang w:val="en-US" w:eastAsia="zh-CN" w:bidi="ar"/>
              </w:rPr>
            </w:pPr>
            <w:r>
              <w:rPr>
                <w:rFonts w:hint="eastAsia" w:ascii="Times New Roman" w:hAnsi="Times New Roman" w:eastAsia="仿宋_GB2312" w:cs="仿宋_GB2312"/>
                <w:color w:val="auto"/>
                <w:kern w:val="0"/>
                <w:sz w:val="24"/>
                <w:szCs w:val="20"/>
                <w:lang w:val="en-US" w:eastAsia="zh-CN" w:bidi="ar"/>
              </w:rPr>
              <w:t>排气筒污染物排放浓度或速率均能满足《大气污染物综合排放标准》(DB32/4041-2021) 、《恶臭污染物排放标准》(GB14554-93)、《锅炉大气污染物排放标准》（DB32/4385-2022）中相关标准。经预测计算，地面各污染物浓度贡献值较小。因此该项目排气筒设置是合理的。</w:t>
            </w:r>
          </w:p>
          <w:p w14:paraId="1BDEAD52">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eastAsia" w:eastAsia="仿宋_GB2312"/>
                <w:b/>
                <w:bCs/>
                <w:color w:val="auto"/>
                <w:sz w:val="24"/>
                <w:lang w:val="en-US" w:eastAsia="zh-CN"/>
              </w:rPr>
              <w:t>8</w:t>
            </w:r>
            <w:r>
              <w:rPr>
                <w:rFonts w:hint="default" w:eastAsia="仿宋_GB2312"/>
                <w:b/>
                <w:bCs/>
                <w:color w:val="auto"/>
                <w:sz w:val="24"/>
              </w:rPr>
              <w:t>、环境影响分析</w:t>
            </w:r>
          </w:p>
          <w:p w14:paraId="2C30CACD">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本项目所在地为环境空气质量不达标区，超标因子</w:t>
            </w:r>
            <w:r>
              <w:rPr>
                <w:rFonts w:hint="default" w:eastAsia="仿宋_GB2312"/>
                <w:color w:val="auto"/>
                <w:sz w:val="24"/>
              </w:rPr>
              <w:t>为PM</w:t>
            </w:r>
            <w:r>
              <w:rPr>
                <w:rFonts w:hint="default" w:eastAsia="仿宋_GB2312"/>
                <w:color w:val="auto"/>
                <w:sz w:val="24"/>
                <w:vertAlign w:val="subscript"/>
              </w:rPr>
              <w:t>2.5</w:t>
            </w:r>
            <w:r>
              <w:rPr>
                <w:rFonts w:hint="default" w:eastAsia="仿宋_GB2312"/>
                <w:color w:val="auto"/>
                <w:sz w:val="24"/>
              </w:rPr>
              <w:t>、O</w:t>
            </w:r>
            <w:r>
              <w:rPr>
                <w:rFonts w:hint="default" w:eastAsia="仿宋_GB2312"/>
                <w:color w:val="auto"/>
                <w:sz w:val="24"/>
                <w:vertAlign w:val="subscript"/>
              </w:rPr>
              <w:t>3</w:t>
            </w:r>
            <w:r>
              <w:rPr>
                <w:rFonts w:hint="default" w:eastAsia="仿宋_GB2312"/>
                <w:color w:val="auto"/>
                <w:kern w:val="0"/>
                <w:sz w:val="24"/>
                <w:szCs w:val="20"/>
              </w:rPr>
              <w:t>。企业卫生防护距离范围内不涉及居民点等大气环境敏感目标。本项目</w:t>
            </w:r>
            <w:r>
              <w:rPr>
                <w:rFonts w:hint="default" w:eastAsia="仿宋_GB2312"/>
                <w:color w:val="auto"/>
                <w:kern w:val="0"/>
                <w:sz w:val="24"/>
              </w:rPr>
              <w:t>涉及废气污染物为颗粒物</w:t>
            </w:r>
            <w:r>
              <w:rPr>
                <w:rFonts w:hint="eastAsia" w:eastAsia="仿宋_GB2312"/>
                <w:color w:val="auto"/>
                <w:kern w:val="0"/>
                <w:sz w:val="24"/>
                <w:lang w:eastAsia="zh-CN"/>
              </w:rPr>
              <w:t>、</w:t>
            </w:r>
            <w:r>
              <w:rPr>
                <w:rFonts w:hint="default" w:eastAsia="仿宋_GB2312"/>
                <w:color w:val="auto"/>
                <w:kern w:val="0"/>
                <w:sz w:val="24"/>
              </w:rPr>
              <w:t>非甲烷总烃</w:t>
            </w:r>
            <w:r>
              <w:rPr>
                <w:rFonts w:hint="eastAsia" w:eastAsia="仿宋_GB2312"/>
                <w:color w:val="auto"/>
                <w:kern w:val="0"/>
                <w:sz w:val="24"/>
                <w:lang w:eastAsia="zh-CN"/>
              </w:rPr>
              <w:t>、</w:t>
            </w:r>
            <w:r>
              <w:rPr>
                <w:rFonts w:hint="default" w:eastAsia="仿宋_GB2312"/>
                <w:color w:val="auto"/>
                <w:kern w:val="0"/>
                <w:sz w:val="24"/>
              </w:rPr>
              <w:t>NH</w:t>
            </w:r>
            <w:r>
              <w:rPr>
                <w:rFonts w:hint="default" w:eastAsia="仿宋_GB2312"/>
                <w:color w:val="auto"/>
                <w:kern w:val="0"/>
                <w:sz w:val="24"/>
                <w:vertAlign w:val="subscript"/>
              </w:rPr>
              <w:t>3</w:t>
            </w:r>
            <w:r>
              <w:rPr>
                <w:rFonts w:hint="eastAsia" w:eastAsia="仿宋_GB2312"/>
                <w:color w:val="auto"/>
                <w:kern w:val="0"/>
                <w:sz w:val="24"/>
                <w:lang w:eastAsia="zh-CN"/>
              </w:rPr>
              <w:t>、</w:t>
            </w:r>
            <w:r>
              <w:rPr>
                <w:rFonts w:hint="default" w:eastAsia="仿宋_GB2312"/>
                <w:color w:val="auto"/>
                <w:kern w:val="0"/>
                <w:sz w:val="24"/>
              </w:rPr>
              <w:t>H</w:t>
            </w:r>
            <w:r>
              <w:rPr>
                <w:rFonts w:hint="default" w:eastAsia="仿宋_GB2312"/>
                <w:color w:val="auto"/>
                <w:kern w:val="0"/>
                <w:sz w:val="24"/>
                <w:vertAlign w:val="subscript"/>
              </w:rPr>
              <w:t>2</w:t>
            </w:r>
            <w:r>
              <w:rPr>
                <w:rFonts w:hint="default" w:eastAsia="仿宋_GB2312"/>
                <w:color w:val="auto"/>
                <w:kern w:val="0"/>
                <w:sz w:val="24"/>
              </w:rPr>
              <w:t>S</w:t>
            </w:r>
            <w:r>
              <w:rPr>
                <w:rFonts w:hint="eastAsia" w:eastAsia="仿宋_GB2312"/>
                <w:color w:val="auto"/>
                <w:kern w:val="0"/>
                <w:sz w:val="24"/>
                <w:lang w:eastAsia="zh-CN"/>
              </w:rPr>
              <w:t>、</w:t>
            </w:r>
            <w:r>
              <w:rPr>
                <w:rFonts w:hint="default" w:eastAsia="仿宋_GB2312"/>
                <w:color w:val="auto"/>
                <w:kern w:val="0"/>
                <w:sz w:val="24"/>
              </w:rPr>
              <w:t>氯化氢等，经有效处理后有组织排放，最终</w:t>
            </w:r>
            <w:r>
              <w:rPr>
                <w:rFonts w:hint="default" w:eastAsia="仿宋_GB2312"/>
                <w:color w:val="auto"/>
                <w:kern w:val="0"/>
                <w:sz w:val="24"/>
                <w:szCs w:val="20"/>
              </w:rPr>
              <w:t>污染物排放量较小，对周边大气环境的影响不大，周边大气环境可基本维持现状。</w:t>
            </w:r>
          </w:p>
          <w:p w14:paraId="61AA4755">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eastAsia" w:eastAsia="仿宋_GB2312"/>
                <w:b/>
                <w:bCs/>
                <w:color w:val="auto"/>
                <w:sz w:val="24"/>
                <w:lang w:val="en-US" w:eastAsia="zh-CN"/>
              </w:rPr>
              <w:t>9</w:t>
            </w:r>
            <w:r>
              <w:rPr>
                <w:rFonts w:hint="default" w:eastAsia="仿宋_GB2312"/>
                <w:b/>
                <w:bCs/>
                <w:color w:val="auto"/>
                <w:sz w:val="24"/>
              </w:rPr>
              <w:t>、监测要求</w:t>
            </w:r>
          </w:p>
          <w:p w14:paraId="257DA23B">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rPr>
            </w:pPr>
            <w:r>
              <w:rPr>
                <w:rFonts w:hint="default" w:eastAsia="仿宋_GB2312"/>
                <w:color w:val="auto"/>
                <w:kern w:val="0"/>
                <w:sz w:val="24"/>
                <w:szCs w:val="20"/>
              </w:rPr>
              <w:t>本项目建成后，应在生产运行阶段开展污染源监测，针对有组织废气排放口、厂界、以及厂区内开展废气污染物监测，详细监测计划见下文（自行监测要求）。</w:t>
            </w:r>
          </w:p>
          <w:p w14:paraId="5F3BA6D3">
            <w:pPr>
              <w:keepNext w:val="0"/>
              <w:keepLines w:val="0"/>
              <w:widowControl/>
              <w:suppressLineNumbers w:val="0"/>
              <w:adjustRightInd w:val="0"/>
              <w:snapToGrid w:val="0"/>
              <w:spacing w:before="0" w:beforeAutospacing="0" w:after="0" w:afterAutospacing="0" w:line="500" w:lineRule="exact"/>
              <w:ind w:left="0" w:right="0"/>
              <w:jc w:val="left"/>
              <w:rPr>
                <w:rFonts w:hint="default" w:eastAsia="仿宋_GB2312"/>
                <w:b/>
                <w:bCs/>
                <w:color w:val="auto"/>
                <w:sz w:val="24"/>
              </w:rPr>
            </w:pPr>
            <w:r>
              <w:rPr>
                <w:rFonts w:hint="default" w:eastAsia="仿宋_GB2312"/>
                <w:b/>
                <w:bCs/>
                <w:color w:val="auto"/>
                <w:sz w:val="24"/>
              </w:rPr>
              <w:t>二、废水环境影响和保护措施</w:t>
            </w:r>
          </w:p>
          <w:p w14:paraId="1B54FE85">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default" w:eastAsia="仿宋_GB2312"/>
                <w:b/>
                <w:bCs/>
                <w:color w:val="auto"/>
                <w:sz w:val="24"/>
              </w:rPr>
              <w:t>1、产污环节</w:t>
            </w:r>
          </w:p>
          <w:p w14:paraId="1C4D18A9">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sz w:val="24"/>
              </w:rPr>
            </w:pPr>
            <w:r>
              <w:rPr>
                <w:rFonts w:hint="default" w:eastAsia="仿宋_GB2312"/>
                <w:bCs/>
                <w:color w:val="auto"/>
                <w:sz w:val="24"/>
              </w:rPr>
              <w:t>根据本项目工程分析内容可知，本项目废水污染物产生情况如下。</w:t>
            </w:r>
          </w:p>
          <w:p w14:paraId="725F1A33">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表4-1</w:t>
            </w:r>
            <w:r>
              <w:rPr>
                <w:rFonts w:hint="eastAsia" w:eastAsia="仿宋_GB2312"/>
                <w:b/>
                <w:color w:val="auto"/>
                <w:sz w:val="22"/>
                <w:szCs w:val="22"/>
                <w:lang w:val="en-US" w:eastAsia="zh-CN"/>
              </w:rPr>
              <w:t>8</w:t>
            </w:r>
            <w:r>
              <w:rPr>
                <w:rFonts w:hint="default" w:eastAsia="仿宋_GB2312"/>
                <w:b/>
                <w:color w:val="auto"/>
                <w:sz w:val="22"/>
                <w:szCs w:val="22"/>
              </w:rPr>
              <w:t xml:space="preserve">  本项目废水污染物产生源强表</w:t>
            </w:r>
          </w:p>
          <w:tbl>
            <w:tblPr>
              <w:tblStyle w:val="87"/>
              <w:tblW w:w="49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415"/>
              <w:gridCol w:w="1238"/>
              <w:gridCol w:w="1172"/>
              <w:gridCol w:w="1293"/>
              <w:gridCol w:w="1254"/>
              <w:gridCol w:w="2634"/>
            </w:tblGrid>
            <w:tr w14:paraId="6F128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Align w:val="center"/>
                </w:tcPr>
                <w:p w14:paraId="2CBD574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lang w:bidi="ar"/>
                    </w:rPr>
                    <w:t>编号</w:t>
                  </w:r>
                </w:p>
              </w:tc>
              <w:tc>
                <w:tcPr>
                  <w:tcW w:w="694" w:type="pct"/>
                  <w:vAlign w:val="center"/>
                </w:tcPr>
                <w:p w14:paraId="6A91BC8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lang w:bidi="ar"/>
                    </w:rPr>
                    <w:t>废水名称</w:t>
                  </w:r>
                </w:p>
              </w:tc>
              <w:tc>
                <w:tcPr>
                  <w:tcW w:w="607" w:type="pct"/>
                  <w:vAlign w:val="center"/>
                </w:tcPr>
                <w:p w14:paraId="38DB71C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lang w:bidi="ar"/>
                    </w:rPr>
                    <w:t>废水量（m</w:t>
                  </w:r>
                  <w:r>
                    <w:rPr>
                      <w:rFonts w:hint="default" w:ascii="Times New Roman" w:hAnsi="Times New Roman" w:eastAsia="仿宋_GB2312" w:cs="Times New Roman"/>
                      <w:b/>
                      <w:bCs/>
                      <w:color w:val="auto"/>
                      <w:kern w:val="0"/>
                      <w:sz w:val="21"/>
                      <w:vertAlign w:val="superscript"/>
                      <w:lang w:bidi="ar"/>
                    </w:rPr>
                    <w:t>3</w:t>
                  </w:r>
                  <w:r>
                    <w:rPr>
                      <w:rFonts w:hint="default" w:ascii="Times New Roman" w:hAnsi="Times New Roman" w:eastAsia="仿宋_GB2312" w:cs="Times New Roman"/>
                      <w:b/>
                      <w:bCs/>
                      <w:color w:val="auto"/>
                      <w:kern w:val="0"/>
                      <w:sz w:val="21"/>
                      <w:lang w:bidi="ar"/>
                    </w:rPr>
                    <w:t>/a）</w:t>
                  </w:r>
                </w:p>
              </w:tc>
              <w:tc>
                <w:tcPr>
                  <w:tcW w:w="575" w:type="pct"/>
                  <w:vAlign w:val="center"/>
                </w:tcPr>
                <w:p w14:paraId="5361F77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lang w:bidi="ar"/>
                    </w:rPr>
                    <w:t>污染物名称</w:t>
                  </w:r>
                </w:p>
              </w:tc>
              <w:tc>
                <w:tcPr>
                  <w:tcW w:w="634" w:type="pct"/>
                  <w:vAlign w:val="center"/>
                </w:tcPr>
                <w:p w14:paraId="77B0609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lang w:bidi="ar"/>
                    </w:rPr>
                    <w:t>产生浓度（mg/L）</w:t>
                  </w:r>
                </w:p>
              </w:tc>
              <w:tc>
                <w:tcPr>
                  <w:tcW w:w="615" w:type="pct"/>
                  <w:vAlign w:val="center"/>
                </w:tcPr>
                <w:p w14:paraId="6722B06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lang w:bidi="ar"/>
                    </w:rPr>
                    <w:t>产生量（t/a）</w:t>
                  </w:r>
                </w:p>
              </w:tc>
              <w:tc>
                <w:tcPr>
                  <w:tcW w:w="1292" w:type="pct"/>
                  <w:vAlign w:val="center"/>
                </w:tcPr>
                <w:p w14:paraId="1CB9367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kern w:val="0"/>
                      <w:sz w:val="21"/>
                      <w:lang w:bidi="ar"/>
                    </w:rPr>
                    <w:t>拟采取的处理方式及排放去向</w:t>
                  </w:r>
                </w:p>
              </w:tc>
            </w:tr>
            <w:tr w14:paraId="2F80E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724F02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highlight w:val="none"/>
                      <w:lang w:bidi="ar"/>
                    </w:rPr>
                    <w:t>W1-1</w:t>
                  </w:r>
                </w:p>
              </w:tc>
              <w:tc>
                <w:tcPr>
                  <w:tcW w:w="694" w:type="pct"/>
                  <w:vMerge w:val="restart"/>
                  <w:vAlign w:val="center"/>
                </w:tcPr>
                <w:p w14:paraId="37D02838">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i w:val="0"/>
                      <w:iCs w:val="0"/>
                      <w:color w:val="auto"/>
                      <w:kern w:val="2"/>
                      <w:sz w:val="21"/>
                      <w:szCs w:val="21"/>
                      <w:u w:val="none"/>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脱色树脂再生废水</w:t>
                  </w:r>
                </w:p>
              </w:tc>
              <w:tc>
                <w:tcPr>
                  <w:tcW w:w="607" w:type="pct"/>
                  <w:vMerge w:val="restart"/>
                  <w:vAlign w:val="center"/>
                </w:tcPr>
                <w:p w14:paraId="7C18BD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21.76</w:t>
                  </w:r>
                </w:p>
              </w:tc>
              <w:tc>
                <w:tcPr>
                  <w:tcW w:w="575" w:type="pct"/>
                  <w:vAlign w:val="center"/>
                </w:tcPr>
                <w:p w14:paraId="054CA6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269" w:type="dxa"/>
                  <w:vAlign w:val="center"/>
                </w:tcPr>
                <w:p w14:paraId="3B625A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val="en-US" w:bidi="ar"/>
                    </w:rPr>
                  </w:pPr>
                  <w:r>
                    <w:rPr>
                      <w:rFonts w:hint="default" w:ascii="Times New Roman" w:hAnsi="Times New Roman" w:eastAsia="宋体" w:cs="Times New Roman"/>
                      <w:i w:val="0"/>
                      <w:iCs w:val="0"/>
                      <w:color w:val="auto"/>
                      <w:kern w:val="0"/>
                      <w:sz w:val="21"/>
                      <w:szCs w:val="21"/>
                      <w:u w:val="none"/>
                      <w:lang w:val="en-US" w:eastAsia="zh-CN" w:bidi="ar"/>
                    </w:rPr>
                    <w:t>22</w:t>
                  </w:r>
                  <w:r>
                    <w:rPr>
                      <w:rFonts w:hint="eastAsia" w:cs="Times New Roman"/>
                      <w:i w:val="0"/>
                      <w:iCs w:val="0"/>
                      <w:color w:val="auto"/>
                      <w:kern w:val="0"/>
                      <w:sz w:val="21"/>
                      <w:szCs w:val="21"/>
                      <w:u w:val="none"/>
                      <w:lang w:val="en-US" w:eastAsia="zh-CN" w:bidi="ar"/>
                    </w:rPr>
                    <w:t>30</w:t>
                  </w:r>
                </w:p>
              </w:tc>
              <w:tc>
                <w:tcPr>
                  <w:tcW w:w="1231" w:type="dxa"/>
                  <w:vAlign w:val="center"/>
                </w:tcPr>
                <w:p w14:paraId="2A8BA7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292" w:type="pct"/>
                  <w:vMerge w:val="restart"/>
                  <w:vAlign w:val="center"/>
                </w:tcPr>
                <w:p w14:paraId="02DDE66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污水站处理后回用至循环冷却系统</w:t>
                  </w:r>
                </w:p>
              </w:tc>
            </w:tr>
            <w:tr w14:paraId="7D286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5EA156A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9434F0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1E011E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5BB82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269" w:type="dxa"/>
                  <w:vAlign w:val="center"/>
                </w:tcPr>
                <w:p w14:paraId="6DF204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1231" w:type="dxa"/>
                  <w:vAlign w:val="center"/>
                </w:tcPr>
                <w:p w14:paraId="2DFE46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0.00007</w:t>
                  </w:r>
                </w:p>
              </w:tc>
              <w:tc>
                <w:tcPr>
                  <w:tcW w:w="1292" w:type="pct"/>
                  <w:vMerge w:val="continue"/>
                  <w:vAlign w:val="center"/>
                </w:tcPr>
                <w:p w14:paraId="1CB8773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250A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3DA4C6F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7021DC7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1A0784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0D89E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269" w:type="dxa"/>
                  <w:vAlign w:val="center"/>
                </w:tcPr>
                <w:p w14:paraId="1AF62F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1231" w:type="dxa"/>
                  <w:vAlign w:val="center"/>
                </w:tcPr>
                <w:p w14:paraId="15B4D9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1292" w:type="pct"/>
                  <w:vMerge w:val="continue"/>
                  <w:vAlign w:val="center"/>
                </w:tcPr>
                <w:p w14:paraId="7337E2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566C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3F70163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A4A050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731F15A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4EC769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eastAsia" w:ascii="仿宋_GB2312" w:hAnsi="宋体" w:eastAsia="仿宋_GB2312" w:cs="仿宋_GB2312"/>
                      <w:i w:val="0"/>
                      <w:iCs w:val="0"/>
                      <w:color w:val="auto"/>
                      <w:kern w:val="0"/>
                      <w:sz w:val="21"/>
                      <w:szCs w:val="21"/>
                      <w:u w:val="none"/>
                      <w:lang w:val="en-US" w:eastAsia="zh-CN" w:bidi="ar"/>
                    </w:rPr>
                    <w:t>盐分</w:t>
                  </w:r>
                </w:p>
              </w:tc>
              <w:tc>
                <w:tcPr>
                  <w:tcW w:w="1269" w:type="dxa"/>
                  <w:vAlign w:val="center"/>
                </w:tcPr>
                <w:p w14:paraId="462DF5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val="en-US" w:bidi="ar"/>
                    </w:rPr>
                  </w:pPr>
                  <w:r>
                    <w:rPr>
                      <w:rFonts w:hint="default" w:ascii="Times New Roman" w:hAnsi="Times New Roman" w:eastAsia="宋体" w:cs="Times New Roman"/>
                      <w:i w:val="0"/>
                      <w:iCs w:val="0"/>
                      <w:color w:val="auto"/>
                      <w:kern w:val="0"/>
                      <w:sz w:val="21"/>
                      <w:szCs w:val="21"/>
                      <w:u w:val="none"/>
                      <w:lang w:val="en-US" w:eastAsia="zh-CN" w:bidi="ar"/>
                    </w:rPr>
                    <w:t>2205</w:t>
                  </w:r>
                  <w:r>
                    <w:rPr>
                      <w:rFonts w:hint="eastAsia" w:cs="Times New Roman"/>
                      <w:i w:val="0"/>
                      <w:iCs w:val="0"/>
                      <w:color w:val="auto"/>
                      <w:kern w:val="0"/>
                      <w:sz w:val="21"/>
                      <w:szCs w:val="21"/>
                      <w:u w:val="none"/>
                      <w:lang w:val="en-US" w:eastAsia="zh-CN" w:bidi="ar"/>
                    </w:rPr>
                    <w:t>9</w:t>
                  </w:r>
                </w:p>
              </w:tc>
              <w:tc>
                <w:tcPr>
                  <w:tcW w:w="1231" w:type="dxa"/>
                  <w:vAlign w:val="center"/>
                </w:tcPr>
                <w:p w14:paraId="11CFD5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1292" w:type="pct"/>
                  <w:vMerge w:val="continue"/>
                  <w:vAlign w:val="center"/>
                </w:tcPr>
                <w:p w14:paraId="361661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E622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052A0941">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 w:val="21"/>
                      <w:lang w:val="en-US" w:eastAsia="zh-CN"/>
                    </w:rPr>
                  </w:pPr>
                  <w:r>
                    <w:rPr>
                      <w:rFonts w:hint="default" w:ascii="Times New Roman" w:hAnsi="Times New Roman" w:eastAsia="仿宋_GB2312" w:cs="Times New Roman"/>
                      <w:color w:val="auto"/>
                      <w:kern w:val="0"/>
                      <w:sz w:val="21"/>
                      <w:highlight w:val="none"/>
                      <w:lang w:bidi="ar"/>
                    </w:rPr>
                    <w:t>W1-</w:t>
                  </w:r>
                  <w:r>
                    <w:rPr>
                      <w:rFonts w:hint="eastAsia" w:eastAsia="仿宋_GB2312" w:cs="Times New Roman"/>
                      <w:color w:val="auto"/>
                      <w:kern w:val="0"/>
                      <w:sz w:val="21"/>
                      <w:highlight w:val="none"/>
                      <w:lang w:val="en-US" w:eastAsia="zh-CN" w:bidi="ar"/>
                    </w:rPr>
                    <w:t>2</w:t>
                  </w:r>
                </w:p>
              </w:tc>
              <w:tc>
                <w:tcPr>
                  <w:tcW w:w="694" w:type="pct"/>
                  <w:vMerge w:val="restart"/>
                  <w:vAlign w:val="center"/>
                </w:tcPr>
                <w:p w14:paraId="2E889DD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r>
                    <w:rPr>
                      <w:rFonts w:hint="eastAsia" w:ascii="仿宋_GB2312" w:hAnsi="宋体" w:eastAsia="仿宋_GB2312" w:cs="仿宋_GB2312"/>
                      <w:i w:val="0"/>
                      <w:iCs w:val="0"/>
                      <w:color w:val="auto"/>
                      <w:kern w:val="0"/>
                      <w:sz w:val="21"/>
                      <w:szCs w:val="21"/>
                      <w:u w:val="none"/>
                      <w:lang w:val="en-US" w:eastAsia="zh-CN" w:bidi="ar"/>
                    </w:rPr>
                    <w:t>层析树脂再生废水</w:t>
                  </w:r>
                </w:p>
              </w:tc>
              <w:tc>
                <w:tcPr>
                  <w:tcW w:w="607" w:type="pct"/>
                  <w:vMerge w:val="restart"/>
                  <w:vAlign w:val="center"/>
                </w:tcPr>
                <w:p w14:paraId="71A6301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lang w:val="en-US" w:eastAsia="zh-CN"/>
                    </w:rPr>
                  </w:pPr>
                  <w:r>
                    <w:rPr>
                      <w:rFonts w:hint="eastAsia" w:eastAsia="仿宋_GB2312" w:cs="Times New Roman"/>
                      <w:b w:val="0"/>
                      <w:bCs w:val="0"/>
                      <w:color w:val="auto"/>
                      <w:sz w:val="21"/>
                      <w:highlight w:val="none"/>
                      <w:lang w:val="en-US" w:eastAsia="zh-CN"/>
                    </w:rPr>
                    <w:t>84.16</w:t>
                  </w:r>
                </w:p>
              </w:tc>
              <w:tc>
                <w:tcPr>
                  <w:tcW w:w="575" w:type="pct"/>
                  <w:vAlign w:val="center"/>
                </w:tcPr>
                <w:p w14:paraId="0533E46B">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269" w:type="dxa"/>
                  <w:vAlign w:val="center"/>
                </w:tcPr>
                <w:p w14:paraId="1FAEC9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1936.8 </w:t>
                  </w:r>
                </w:p>
              </w:tc>
              <w:tc>
                <w:tcPr>
                  <w:tcW w:w="1231" w:type="dxa"/>
                  <w:vAlign w:val="center"/>
                </w:tcPr>
                <w:p w14:paraId="43D518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0.163</w:t>
                  </w:r>
                </w:p>
              </w:tc>
              <w:tc>
                <w:tcPr>
                  <w:tcW w:w="1292" w:type="pct"/>
                  <w:vMerge w:val="continue"/>
                  <w:vAlign w:val="center"/>
                </w:tcPr>
                <w:p w14:paraId="3C96812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8205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15317E4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308537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670052A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0EA5F825">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269" w:type="dxa"/>
                  <w:vAlign w:val="center"/>
                </w:tcPr>
                <w:p w14:paraId="7BA033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142.6 </w:t>
                  </w:r>
                </w:p>
              </w:tc>
              <w:tc>
                <w:tcPr>
                  <w:tcW w:w="1231" w:type="dxa"/>
                  <w:vAlign w:val="center"/>
                </w:tcPr>
                <w:p w14:paraId="76DE5A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1292" w:type="pct"/>
                  <w:vMerge w:val="continue"/>
                  <w:vAlign w:val="center"/>
                </w:tcPr>
                <w:p w14:paraId="04FB60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956F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71F9C5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773BC92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71134B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5D62D3F9">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269" w:type="dxa"/>
                  <w:vAlign w:val="center"/>
                </w:tcPr>
                <w:p w14:paraId="64040E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213.9 </w:t>
                  </w:r>
                </w:p>
              </w:tc>
              <w:tc>
                <w:tcPr>
                  <w:tcW w:w="1231" w:type="dxa"/>
                  <w:vAlign w:val="center"/>
                </w:tcPr>
                <w:p w14:paraId="68AC87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1292" w:type="pct"/>
                  <w:vMerge w:val="continue"/>
                  <w:vAlign w:val="center"/>
                </w:tcPr>
                <w:p w14:paraId="580ABE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85E9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1D6958F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4BA3EF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14BFE0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7CEF368F">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269" w:type="dxa"/>
                  <w:vAlign w:val="center"/>
                </w:tcPr>
                <w:p w14:paraId="6080A6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47.5 </w:t>
                  </w:r>
                </w:p>
              </w:tc>
              <w:tc>
                <w:tcPr>
                  <w:tcW w:w="1231" w:type="dxa"/>
                  <w:vAlign w:val="center"/>
                </w:tcPr>
                <w:p w14:paraId="4CDEC4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292" w:type="pct"/>
                  <w:vMerge w:val="continue"/>
                  <w:vAlign w:val="center"/>
                </w:tcPr>
                <w:p w14:paraId="286DE0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3B85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349701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6D21138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683894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4AE5657F">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i w:val="0"/>
                      <w:iCs w:val="0"/>
                      <w:color w:val="auto"/>
                      <w:kern w:val="0"/>
                      <w:sz w:val="21"/>
                      <w:szCs w:val="21"/>
                      <w:u w:val="none"/>
                      <w:lang w:val="en-US" w:eastAsia="zh-CN" w:bidi="ar"/>
                    </w:rPr>
                  </w:pPr>
                  <w:r>
                    <w:rPr>
                      <w:rFonts w:hint="eastAsia" w:ascii="仿宋_GB2312" w:hAnsi="宋体" w:eastAsia="仿宋_GB2312" w:cs="仿宋_GB2312"/>
                      <w:i w:val="0"/>
                      <w:iCs w:val="0"/>
                      <w:color w:val="auto"/>
                      <w:kern w:val="0"/>
                      <w:sz w:val="21"/>
                      <w:szCs w:val="21"/>
                      <w:u w:val="none"/>
                      <w:lang w:val="en-US" w:eastAsia="zh-CN" w:bidi="ar"/>
                    </w:rPr>
                    <w:t>盐分</w:t>
                  </w:r>
                </w:p>
              </w:tc>
              <w:tc>
                <w:tcPr>
                  <w:tcW w:w="1269" w:type="dxa"/>
                  <w:vAlign w:val="center"/>
                </w:tcPr>
                <w:p w14:paraId="04DA9C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14852.7 </w:t>
                  </w:r>
                </w:p>
              </w:tc>
              <w:tc>
                <w:tcPr>
                  <w:tcW w:w="1231" w:type="dxa"/>
                  <w:vAlign w:val="center"/>
                </w:tcPr>
                <w:p w14:paraId="0C45DC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92" w:type="pct"/>
                  <w:vMerge w:val="continue"/>
                  <w:vAlign w:val="center"/>
                </w:tcPr>
                <w:p w14:paraId="3644A6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DDC9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0E2FF280">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highlight w:val="none"/>
                      <w:lang w:val="en-US" w:eastAsia="zh-CN" w:bidi="ar"/>
                    </w:rPr>
                  </w:pPr>
                  <w:r>
                    <w:rPr>
                      <w:rFonts w:hint="default" w:ascii="Times New Roman" w:hAnsi="Times New Roman" w:eastAsia="仿宋_GB2312" w:cs="Times New Roman"/>
                      <w:color w:val="auto"/>
                      <w:kern w:val="0"/>
                      <w:sz w:val="21"/>
                      <w:highlight w:val="none"/>
                      <w:lang w:bidi="ar"/>
                    </w:rPr>
                    <w:t>W1-</w:t>
                  </w:r>
                  <w:r>
                    <w:rPr>
                      <w:rFonts w:hint="eastAsia" w:eastAsia="仿宋_GB2312" w:cs="Times New Roman"/>
                      <w:color w:val="auto"/>
                      <w:kern w:val="0"/>
                      <w:sz w:val="21"/>
                      <w:highlight w:val="none"/>
                      <w:lang w:val="en-US" w:eastAsia="zh-CN" w:bidi="ar"/>
                    </w:rPr>
                    <w:t>3</w:t>
                  </w:r>
                </w:p>
              </w:tc>
              <w:tc>
                <w:tcPr>
                  <w:tcW w:w="694" w:type="pct"/>
                  <w:vMerge w:val="restart"/>
                  <w:vAlign w:val="center"/>
                </w:tcPr>
                <w:p w14:paraId="5C761893">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i w:val="0"/>
                      <w:iCs w:val="0"/>
                      <w:color w:val="auto"/>
                      <w:kern w:val="2"/>
                      <w:sz w:val="21"/>
                      <w:szCs w:val="21"/>
                      <w:u w:val="none"/>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结晶废水</w:t>
                  </w:r>
                </w:p>
              </w:tc>
              <w:tc>
                <w:tcPr>
                  <w:tcW w:w="607" w:type="pct"/>
                  <w:vMerge w:val="restart"/>
                  <w:vAlign w:val="center"/>
                </w:tcPr>
                <w:p w14:paraId="70299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16.06</w:t>
                  </w:r>
                </w:p>
              </w:tc>
              <w:tc>
                <w:tcPr>
                  <w:tcW w:w="575" w:type="pct"/>
                  <w:vAlign w:val="center"/>
                </w:tcPr>
                <w:p w14:paraId="58653B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269" w:type="dxa"/>
                  <w:vAlign w:val="center"/>
                </w:tcPr>
                <w:p w14:paraId="4281AF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311 </w:t>
                  </w:r>
                </w:p>
              </w:tc>
              <w:tc>
                <w:tcPr>
                  <w:tcW w:w="1231" w:type="dxa"/>
                  <w:vAlign w:val="center"/>
                </w:tcPr>
                <w:p w14:paraId="284A7E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292" w:type="pct"/>
                  <w:vMerge w:val="continue"/>
                  <w:vAlign w:val="center"/>
                </w:tcPr>
                <w:p w14:paraId="3A35B9E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08EB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5FBEEA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none"/>
                      <w:lang w:bidi="ar"/>
                    </w:rPr>
                  </w:pPr>
                </w:p>
              </w:tc>
              <w:tc>
                <w:tcPr>
                  <w:tcW w:w="694" w:type="pct"/>
                  <w:vMerge w:val="continue"/>
                  <w:vAlign w:val="center"/>
                </w:tcPr>
                <w:p w14:paraId="58BE4FC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3A68379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39CE7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269" w:type="dxa"/>
                  <w:vAlign w:val="center"/>
                </w:tcPr>
                <w:p w14:paraId="375FEC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1231" w:type="dxa"/>
                  <w:vAlign w:val="center"/>
                </w:tcPr>
                <w:p w14:paraId="256E22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0.00007</w:t>
                  </w:r>
                </w:p>
              </w:tc>
              <w:tc>
                <w:tcPr>
                  <w:tcW w:w="1292" w:type="pct"/>
                  <w:vMerge w:val="continue"/>
                  <w:vAlign w:val="center"/>
                </w:tcPr>
                <w:p w14:paraId="3FAC110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516B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690E9F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none"/>
                      <w:lang w:bidi="ar"/>
                    </w:rPr>
                  </w:pPr>
                </w:p>
              </w:tc>
              <w:tc>
                <w:tcPr>
                  <w:tcW w:w="694" w:type="pct"/>
                  <w:vMerge w:val="continue"/>
                  <w:vAlign w:val="center"/>
                </w:tcPr>
                <w:p w14:paraId="20DD5A9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1B39815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2D42C1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269" w:type="dxa"/>
                  <w:vAlign w:val="center"/>
                </w:tcPr>
                <w:p w14:paraId="5ED91C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6.2 </w:t>
                  </w:r>
                </w:p>
              </w:tc>
              <w:tc>
                <w:tcPr>
                  <w:tcW w:w="1231" w:type="dxa"/>
                  <w:vAlign w:val="center"/>
                </w:tcPr>
                <w:p w14:paraId="582259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1292" w:type="pct"/>
                  <w:vMerge w:val="continue"/>
                  <w:vAlign w:val="center"/>
                </w:tcPr>
                <w:p w14:paraId="2ED01F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78D0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1C2C60C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none"/>
                      <w:lang w:bidi="ar"/>
                    </w:rPr>
                  </w:pPr>
                </w:p>
              </w:tc>
              <w:tc>
                <w:tcPr>
                  <w:tcW w:w="694" w:type="pct"/>
                  <w:vMerge w:val="continue"/>
                  <w:vAlign w:val="center"/>
                </w:tcPr>
                <w:p w14:paraId="19A7219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6E41EE5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15E4A3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269" w:type="dxa"/>
                  <w:vAlign w:val="center"/>
                </w:tcPr>
                <w:p w14:paraId="755B23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6.2 </w:t>
                  </w:r>
                </w:p>
              </w:tc>
              <w:tc>
                <w:tcPr>
                  <w:tcW w:w="1231" w:type="dxa"/>
                  <w:vAlign w:val="center"/>
                </w:tcPr>
                <w:p w14:paraId="09943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1292" w:type="pct"/>
                  <w:vMerge w:val="continue"/>
                  <w:vAlign w:val="center"/>
                </w:tcPr>
                <w:p w14:paraId="6D5B7A9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15E7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4BEF690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none"/>
                      <w:lang w:bidi="ar"/>
                    </w:rPr>
                  </w:pPr>
                </w:p>
              </w:tc>
              <w:tc>
                <w:tcPr>
                  <w:tcW w:w="694" w:type="pct"/>
                  <w:vMerge w:val="continue"/>
                  <w:vAlign w:val="center"/>
                </w:tcPr>
                <w:p w14:paraId="49FF32E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238251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422D0B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eastAsia" w:ascii="仿宋_GB2312" w:hAnsi="宋体" w:eastAsia="仿宋_GB2312" w:cs="仿宋_GB2312"/>
                      <w:i w:val="0"/>
                      <w:iCs w:val="0"/>
                      <w:color w:val="auto"/>
                      <w:kern w:val="0"/>
                      <w:sz w:val="21"/>
                      <w:szCs w:val="21"/>
                      <w:u w:val="none"/>
                      <w:lang w:val="en-US" w:eastAsia="zh-CN" w:bidi="ar"/>
                    </w:rPr>
                    <w:t>盐分</w:t>
                  </w:r>
                </w:p>
              </w:tc>
              <w:tc>
                <w:tcPr>
                  <w:tcW w:w="1269" w:type="dxa"/>
                  <w:vAlign w:val="center"/>
                </w:tcPr>
                <w:p w14:paraId="484E3F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2988</w:t>
                  </w: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31" w:type="dxa"/>
                  <w:vAlign w:val="center"/>
                </w:tcPr>
                <w:p w14:paraId="53F985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1292" w:type="pct"/>
                  <w:vMerge w:val="continue"/>
                  <w:vAlign w:val="center"/>
                </w:tcPr>
                <w:p w14:paraId="6E5F2BB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1D30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1A04A75F">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highlight w:val="none"/>
                      <w:lang w:val="en-US" w:eastAsia="zh-CN" w:bidi="ar"/>
                    </w:rPr>
                  </w:pPr>
                  <w:r>
                    <w:rPr>
                      <w:rFonts w:hint="default" w:ascii="Times New Roman" w:hAnsi="Times New Roman" w:eastAsia="仿宋_GB2312" w:cs="Times New Roman"/>
                      <w:color w:val="auto"/>
                      <w:kern w:val="0"/>
                      <w:sz w:val="21"/>
                      <w:highlight w:val="none"/>
                      <w:lang w:bidi="ar"/>
                    </w:rPr>
                    <w:t>W1-</w:t>
                  </w:r>
                  <w:r>
                    <w:rPr>
                      <w:rFonts w:hint="eastAsia" w:eastAsia="仿宋_GB2312" w:cs="Times New Roman"/>
                      <w:color w:val="auto"/>
                      <w:kern w:val="0"/>
                      <w:sz w:val="21"/>
                      <w:highlight w:val="none"/>
                      <w:lang w:val="en-US" w:eastAsia="zh-CN" w:bidi="ar"/>
                    </w:rPr>
                    <w:t>4</w:t>
                  </w:r>
                </w:p>
              </w:tc>
              <w:tc>
                <w:tcPr>
                  <w:tcW w:w="694" w:type="pct"/>
                  <w:vMerge w:val="restart"/>
                  <w:vAlign w:val="center"/>
                </w:tcPr>
                <w:p w14:paraId="26A29A34">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i w:val="0"/>
                      <w:iCs w:val="0"/>
                      <w:color w:val="auto"/>
                      <w:kern w:val="2"/>
                      <w:sz w:val="21"/>
                      <w:szCs w:val="21"/>
                      <w:u w:val="none"/>
                      <w:lang w:val="en-US" w:eastAsia="zh-CN" w:bidi="ar-SA"/>
                    </w:rPr>
                  </w:pPr>
                  <w:r>
                    <w:rPr>
                      <w:rFonts w:hint="eastAsia" w:ascii="仿宋_GB2312" w:hAnsi="宋体" w:eastAsia="仿宋_GB2312" w:cs="仿宋_GB2312"/>
                      <w:i w:val="0"/>
                      <w:iCs w:val="0"/>
                      <w:color w:val="auto"/>
                      <w:kern w:val="0"/>
                      <w:sz w:val="21"/>
                      <w:szCs w:val="21"/>
                      <w:u w:val="none"/>
                      <w:lang w:val="en-US" w:eastAsia="zh-CN" w:bidi="ar"/>
                    </w:rPr>
                    <w:t>离心废水</w:t>
                  </w:r>
                </w:p>
              </w:tc>
              <w:tc>
                <w:tcPr>
                  <w:tcW w:w="607" w:type="pct"/>
                  <w:vMerge w:val="restart"/>
                  <w:vAlign w:val="center"/>
                </w:tcPr>
                <w:p w14:paraId="057AE27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lang w:val="en-US" w:eastAsia="zh-CN"/>
                    </w:rPr>
                  </w:pPr>
                  <w:r>
                    <w:rPr>
                      <w:rFonts w:hint="eastAsia"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.08</w:t>
                  </w:r>
                </w:p>
              </w:tc>
              <w:tc>
                <w:tcPr>
                  <w:tcW w:w="575" w:type="pct"/>
                  <w:vAlign w:val="center"/>
                </w:tcPr>
                <w:p w14:paraId="11F4CA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269" w:type="dxa"/>
                  <w:vAlign w:val="center"/>
                </w:tcPr>
                <w:p w14:paraId="04CD4E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120</w:t>
                  </w: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31" w:type="dxa"/>
                  <w:vAlign w:val="center"/>
                </w:tcPr>
                <w:p w14:paraId="42CDB9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0.0025</w:t>
                  </w:r>
                </w:p>
              </w:tc>
              <w:tc>
                <w:tcPr>
                  <w:tcW w:w="1292" w:type="pct"/>
                  <w:vMerge w:val="continue"/>
                  <w:vAlign w:val="center"/>
                </w:tcPr>
                <w:p w14:paraId="40B449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9B5C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14431C9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216139E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19123C4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1FD7D5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269" w:type="dxa"/>
                  <w:vAlign w:val="center"/>
                </w:tcPr>
                <w:p w14:paraId="597D6D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 xml:space="preserve">14.4 </w:t>
                  </w:r>
                </w:p>
              </w:tc>
              <w:tc>
                <w:tcPr>
                  <w:tcW w:w="1231" w:type="dxa"/>
                  <w:vAlign w:val="center"/>
                </w:tcPr>
                <w:p w14:paraId="7CDDEB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0.00003</w:t>
                  </w:r>
                </w:p>
              </w:tc>
              <w:tc>
                <w:tcPr>
                  <w:tcW w:w="1292" w:type="pct"/>
                  <w:vMerge w:val="continue"/>
                  <w:vAlign w:val="center"/>
                </w:tcPr>
                <w:p w14:paraId="0E30540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7F45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pct"/>
                  <w:vMerge w:val="continue"/>
                  <w:vAlign w:val="center"/>
                </w:tcPr>
                <w:p w14:paraId="713A10D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5C29C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607" w:type="pct"/>
                  <w:vMerge w:val="continue"/>
                  <w:vAlign w:val="center"/>
                </w:tcPr>
                <w:p w14:paraId="6630BA0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yellow"/>
                    </w:rPr>
                  </w:pPr>
                </w:p>
              </w:tc>
              <w:tc>
                <w:tcPr>
                  <w:tcW w:w="575" w:type="pct"/>
                  <w:vAlign w:val="center"/>
                </w:tcPr>
                <w:p w14:paraId="5F73C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269" w:type="dxa"/>
                  <w:vAlign w:val="center"/>
                </w:tcPr>
                <w:p w14:paraId="6FA17F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1231" w:type="dxa"/>
                  <w:vAlign w:val="center"/>
                </w:tcPr>
                <w:p w14:paraId="59E9C9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0"/>
                      <w:sz w:val="21"/>
                      <w:highlight w:val="yellow"/>
                      <w:lang w:bidi="ar"/>
                    </w:rPr>
                  </w:pPr>
                  <w:r>
                    <w:rPr>
                      <w:rFonts w:hint="default" w:ascii="Times New Roman" w:hAnsi="Times New Roman" w:eastAsia="宋体" w:cs="Times New Roman"/>
                      <w:i w:val="0"/>
                      <w:iCs w:val="0"/>
                      <w:color w:val="auto"/>
                      <w:kern w:val="0"/>
                      <w:sz w:val="21"/>
                      <w:szCs w:val="21"/>
                      <w:u w:val="none"/>
                      <w:lang w:val="en-US" w:eastAsia="zh-CN" w:bidi="ar"/>
                    </w:rPr>
                    <w:t>0.00005</w:t>
                  </w:r>
                </w:p>
              </w:tc>
              <w:tc>
                <w:tcPr>
                  <w:tcW w:w="1292" w:type="pct"/>
                  <w:vMerge w:val="continue"/>
                  <w:vAlign w:val="center"/>
                </w:tcPr>
                <w:p w14:paraId="516A38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9D2C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74A1601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W2-1</w:t>
                  </w:r>
                </w:p>
              </w:tc>
              <w:tc>
                <w:tcPr>
                  <w:tcW w:w="694" w:type="pct"/>
                  <w:vMerge w:val="restart"/>
                  <w:vAlign w:val="center"/>
                </w:tcPr>
                <w:p w14:paraId="093849E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超滤废水</w:t>
                  </w:r>
                </w:p>
              </w:tc>
              <w:tc>
                <w:tcPr>
                  <w:tcW w:w="607" w:type="pct"/>
                  <w:vMerge w:val="restart"/>
                  <w:vAlign w:val="center"/>
                </w:tcPr>
                <w:p w14:paraId="4591414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11.28</w:t>
                  </w:r>
                </w:p>
              </w:tc>
              <w:tc>
                <w:tcPr>
                  <w:tcW w:w="575" w:type="pct"/>
                  <w:vAlign w:val="center"/>
                </w:tcPr>
                <w:p w14:paraId="47493E1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5F2EDFB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77128</w:t>
                  </w:r>
                </w:p>
              </w:tc>
              <w:tc>
                <w:tcPr>
                  <w:tcW w:w="615" w:type="pct"/>
                  <w:vAlign w:val="center"/>
                </w:tcPr>
                <w:p w14:paraId="729F75E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0.87</w:t>
                  </w:r>
                </w:p>
              </w:tc>
              <w:tc>
                <w:tcPr>
                  <w:tcW w:w="1292" w:type="pct"/>
                  <w:vMerge w:val="continue"/>
                  <w:vAlign w:val="center"/>
                </w:tcPr>
                <w:p w14:paraId="2F89134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p>
              </w:tc>
            </w:tr>
            <w:tr w14:paraId="366E7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81" w:type="pct"/>
                  <w:vMerge w:val="continue"/>
                  <w:vAlign w:val="center"/>
                </w:tcPr>
                <w:p w14:paraId="2DC311A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957CDC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D960E2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1788D09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7EABF7A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361</w:t>
                  </w:r>
                </w:p>
              </w:tc>
              <w:tc>
                <w:tcPr>
                  <w:tcW w:w="615" w:type="pct"/>
                  <w:vAlign w:val="center"/>
                </w:tcPr>
                <w:p w14:paraId="232FF26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0.0041</w:t>
                  </w:r>
                </w:p>
              </w:tc>
              <w:tc>
                <w:tcPr>
                  <w:tcW w:w="1292" w:type="pct"/>
                  <w:vMerge w:val="continue"/>
                  <w:vAlign w:val="center"/>
                </w:tcPr>
                <w:p w14:paraId="3BE47F4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C331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33130C8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093954D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1D5A010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6680445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1D72B58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541</w:t>
                  </w:r>
                </w:p>
              </w:tc>
              <w:tc>
                <w:tcPr>
                  <w:tcW w:w="615" w:type="pct"/>
                  <w:vAlign w:val="center"/>
                </w:tcPr>
                <w:p w14:paraId="7001C7F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0.0061</w:t>
                  </w:r>
                </w:p>
              </w:tc>
              <w:tc>
                <w:tcPr>
                  <w:tcW w:w="1292" w:type="pct"/>
                  <w:vMerge w:val="continue"/>
                  <w:vAlign w:val="center"/>
                </w:tcPr>
                <w:p w14:paraId="26CF7E3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5E61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750B25A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D87E9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0F1A9E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4CD44FD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TP</w:t>
                  </w:r>
                </w:p>
              </w:tc>
              <w:tc>
                <w:tcPr>
                  <w:tcW w:w="634" w:type="pct"/>
                  <w:vAlign w:val="center"/>
                </w:tcPr>
                <w:p w14:paraId="7B14662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621</w:t>
                  </w:r>
                </w:p>
              </w:tc>
              <w:tc>
                <w:tcPr>
                  <w:tcW w:w="615" w:type="pct"/>
                  <w:vAlign w:val="center"/>
                </w:tcPr>
                <w:p w14:paraId="1B54434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0.007</w:t>
                  </w:r>
                </w:p>
              </w:tc>
              <w:tc>
                <w:tcPr>
                  <w:tcW w:w="1292" w:type="pct"/>
                  <w:vMerge w:val="continue"/>
                  <w:vAlign w:val="center"/>
                </w:tcPr>
                <w:p w14:paraId="30990D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BE55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4C3BADC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609985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1957E1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0CF409A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盐分</w:t>
                  </w:r>
                </w:p>
              </w:tc>
              <w:tc>
                <w:tcPr>
                  <w:tcW w:w="634" w:type="pct"/>
                  <w:vAlign w:val="center"/>
                </w:tcPr>
                <w:p w14:paraId="2737229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1773</w:t>
                  </w:r>
                </w:p>
              </w:tc>
              <w:tc>
                <w:tcPr>
                  <w:tcW w:w="615" w:type="pct"/>
                  <w:vAlign w:val="center"/>
                </w:tcPr>
                <w:p w14:paraId="344A3D0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0.02</w:t>
                  </w:r>
                </w:p>
              </w:tc>
              <w:tc>
                <w:tcPr>
                  <w:tcW w:w="1292" w:type="pct"/>
                  <w:vMerge w:val="continue"/>
                  <w:vAlign w:val="center"/>
                </w:tcPr>
                <w:p w14:paraId="53507DF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D34E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3214732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W2-2</w:t>
                  </w:r>
                </w:p>
              </w:tc>
              <w:tc>
                <w:tcPr>
                  <w:tcW w:w="694" w:type="pct"/>
                  <w:vMerge w:val="restart"/>
                  <w:vAlign w:val="center"/>
                </w:tcPr>
                <w:p w14:paraId="237A2D6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纳滤废液</w:t>
                  </w:r>
                </w:p>
              </w:tc>
              <w:tc>
                <w:tcPr>
                  <w:tcW w:w="607" w:type="pct"/>
                  <w:vMerge w:val="restart"/>
                  <w:vAlign w:val="center"/>
                </w:tcPr>
                <w:p w14:paraId="17A7D95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104.596</w:t>
                  </w:r>
                </w:p>
              </w:tc>
              <w:tc>
                <w:tcPr>
                  <w:tcW w:w="575" w:type="pct"/>
                  <w:vAlign w:val="center"/>
                </w:tcPr>
                <w:p w14:paraId="72683E4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796B16A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860</w:t>
                  </w:r>
                </w:p>
              </w:tc>
              <w:tc>
                <w:tcPr>
                  <w:tcW w:w="615" w:type="pct"/>
                  <w:vAlign w:val="center"/>
                </w:tcPr>
                <w:p w14:paraId="5C55569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0.09</w:t>
                  </w:r>
                </w:p>
              </w:tc>
              <w:tc>
                <w:tcPr>
                  <w:tcW w:w="1292" w:type="pct"/>
                  <w:vMerge w:val="continue"/>
                  <w:vAlign w:val="center"/>
                </w:tcPr>
                <w:p w14:paraId="79F1C36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AA1F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505E2E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D657DD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449F91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6773B2F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56AA451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6</w:t>
                  </w:r>
                </w:p>
              </w:tc>
              <w:tc>
                <w:tcPr>
                  <w:tcW w:w="615" w:type="pct"/>
                  <w:vAlign w:val="center"/>
                </w:tcPr>
                <w:p w14:paraId="222EF60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0.0007</w:t>
                  </w:r>
                </w:p>
              </w:tc>
              <w:tc>
                <w:tcPr>
                  <w:tcW w:w="1292" w:type="pct"/>
                  <w:vMerge w:val="continue"/>
                  <w:vAlign w:val="center"/>
                </w:tcPr>
                <w:p w14:paraId="76B1E1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58B30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405EFB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24CEB5B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0AC4E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318EBB9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50C03D7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10</w:t>
                  </w:r>
                </w:p>
              </w:tc>
              <w:tc>
                <w:tcPr>
                  <w:tcW w:w="615" w:type="pct"/>
                  <w:vAlign w:val="center"/>
                </w:tcPr>
                <w:p w14:paraId="24ACD55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0.001</w:t>
                  </w:r>
                </w:p>
              </w:tc>
              <w:tc>
                <w:tcPr>
                  <w:tcW w:w="1292" w:type="pct"/>
                  <w:vMerge w:val="continue"/>
                  <w:vAlign w:val="center"/>
                </w:tcPr>
                <w:p w14:paraId="66E873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AACE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6C28960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0B0B37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3C57B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4257C1A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TP</w:t>
                  </w:r>
                </w:p>
              </w:tc>
              <w:tc>
                <w:tcPr>
                  <w:tcW w:w="634" w:type="pct"/>
                  <w:vAlign w:val="center"/>
                </w:tcPr>
                <w:p w14:paraId="1D5C7C9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822</w:t>
                  </w:r>
                </w:p>
              </w:tc>
              <w:tc>
                <w:tcPr>
                  <w:tcW w:w="615" w:type="pct"/>
                  <w:vAlign w:val="center"/>
                </w:tcPr>
                <w:p w14:paraId="4303368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0.086</w:t>
                  </w:r>
                </w:p>
              </w:tc>
              <w:tc>
                <w:tcPr>
                  <w:tcW w:w="1292" w:type="pct"/>
                  <w:vMerge w:val="continue"/>
                  <w:vAlign w:val="center"/>
                </w:tcPr>
                <w:p w14:paraId="091E80E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7FC0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7DD89A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0ABD2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6BA76B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2197A13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盐分</w:t>
                  </w:r>
                </w:p>
              </w:tc>
              <w:tc>
                <w:tcPr>
                  <w:tcW w:w="634" w:type="pct"/>
                  <w:vAlign w:val="center"/>
                </w:tcPr>
                <w:p w14:paraId="62EF7C9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4780</w:t>
                  </w:r>
                </w:p>
              </w:tc>
              <w:tc>
                <w:tcPr>
                  <w:tcW w:w="615" w:type="pct"/>
                  <w:vAlign w:val="center"/>
                </w:tcPr>
                <w:p w14:paraId="138FA0C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0.5</w:t>
                  </w:r>
                </w:p>
              </w:tc>
              <w:tc>
                <w:tcPr>
                  <w:tcW w:w="1292" w:type="pct"/>
                  <w:vMerge w:val="continue"/>
                  <w:vAlign w:val="center"/>
                </w:tcPr>
                <w:p w14:paraId="261160B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0A2E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4F09FF2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W2-3</w:t>
                  </w:r>
                </w:p>
              </w:tc>
              <w:tc>
                <w:tcPr>
                  <w:tcW w:w="694" w:type="pct"/>
                  <w:vMerge w:val="restart"/>
                  <w:vAlign w:val="center"/>
                </w:tcPr>
                <w:p w14:paraId="3626435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脱色树脂再生废水</w:t>
                  </w:r>
                </w:p>
              </w:tc>
              <w:tc>
                <w:tcPr>
                  <w:tcW w:w="607" w:type="pct"/>
                  <w:vMerge w:val="restart"/>
                  <w:vAlign w:val="center"/>
                </w:tcPr>
                <w:p w14:paraId="6A7BC0F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27.52</w:t>
                  </w:r>
                </w:p>
              </w:tc>
              <w:tc>
                <w:tcPr>
                  <w:tcW w:w="575" w:type="pct"/>
                  <w:vAlign w:val="center"/>
                </w:tcPr>
                <w:p w14:paraId="7B8FAD1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0AF6DE8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73</w:t>
                  </w:r>
                </w:p>
              </w:tc>
              <w:tc>
                <w:tcPr>
                  <w:tcW w:w="615" w:type="pct"/>
                  <w:vAlign w:val="center"/>
                </w:tcPr>
                <w:p w14:paraId="3A02348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0.002</w:t>
                  </w:r>
                </w:p>
              </w:tc>
              <w:tc>
                <w:tcPr>
                  <w:tcW w:w="1292" w:type="pct"/>
                  <w:vMerge w:val="continue"/>
                  <w:vAlign w:val="center"/>
                </w:tcPr>
                <w:p w14:paraId="742960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0E7E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2EEF284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30C110B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61D10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5AA5870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7D2F5EC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2.4</w:t>
                  </w:r>
                </w:p>
              </w:tc>
              <w:tc>
                <w:tcPr>
                  <w:tcW w:w="615" w:type="pct"/>
                  <w:vAlign w:val="center"/>
                </w:tcPr>
                <w:p w14:paraId="23CF78D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0.00007</w:t>
                  </w:r>
                </w:p>
              </w:tc>
              <w:tc>
                <w:tcPr>
                  <w:tcW w:w="1292" w:type="pct"/>
                  <w:vMerge w:val="continue"/>
                  <w:vAlign w:val="center"/>
                </w:tcPr>
                <w:p w14:paraId="113746B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5ECA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5717C84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0D6E2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7943DDE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7F44E2D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58C3644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3.6</w:t>
                  </w:r>
                </w:p>
              </w:tc>
              <w:tc>
                <w:tcPr>
                  <w:tcW w:w="615" w:type="pct"/>
                  <w:vAlign w:val="center"/>
                </w:tcPr>
                <w:p w14:paraId="6921401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0.0001</w:t>
                  </w:r>
                </w:p>
              </w:tc>
              <w:tc>
                <w:tcPr>
                  <w:tcW w:w="1292" w:type="pct"/>
                  <w:vMerge w:val="continue"/>
                  <w:vAlign w:val="center"/>
                </w:tcPr>
                <w:p w14:paraId="5E1E9E6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AB88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4E6A455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66A15B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FFC00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0E786FD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盐分</w:t>
                  </w:r>
                </w:p>
              </w:tc>
              <w:tc>
                <w:tcPr>
                  <w:tcW w:w="634" w:type="pct"/>
                  <w:vAlign w:val="center"/>
                </w:tcPr>
                <w:p w14:paraId="21667F8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17442</w:t>
                  </w:r>
                </w:p>
              </w:tc>
              <w:tc>
                <w:tcPr>
                  <w:tcW w:w="615" w:type="pct"/>
                  <w:vAlign w:val="center"/>
                </w:tcPr>
                <w:p w14:paraId="579E5F2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0.48</w:t>
                  </w:r>
                </w:p>
              </w:tc>
              <w:tc>
                <w:tcPr>
                  <w:tcW w:w="1292" w:type="pct"/>
                  <w:vMerge w:val="continue"/>
                  <w:vAlign w:val="center"/>
                </w:tcPr>
                <w:p w14:paraId="2A6D16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6837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7E998EE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W2-4</w:t>
                  </w:r>
                </w:p>
              </w:tc>
              <w:tc>
                <w:tcPr>
                  <w:tcW w:w="694" w:type="pct"/>
                  <w:vMerge w:val="restart"/>
                  <w:vAlign w:val="center"/>
                </w:tcPr>
                <w:p w14:paraId="4ACA978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层析树脂再生废水</w:t>
                  </w:r>
                </w:p>
              </w:tc>
              <w:tc>
                <w:tcPr>
                  <w:tcW w:w="607" w:type="pct"/>
                  <w:vMerge w:val="restart"/>
                  <w:vAlign w:val="center"/>
                </w:tcPr>
                <w:p w14:paraId="4A3B575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72.511</w:t>
                  </w:r>
                </w:p>
              </w:tc>
              <w:tc>
                <w:tcPr>
                  <w:tcW w:w="575" w:type="pct"/>
                  <w:vAlign w:val="center"/>
                </w:tcPr>
                <w:p w14:paraId="16B78F2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602FAFA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97</w:t>
                  </w:r>
                </w:p>
              </w:tc>
              <w:tc>
                <w:tcPr>
                  <w:tcW w:w="615" w:type="pct"/>
                  <w:vAlign w:val="center"/>
                </w:tcPr>
                <w:p w14:paraId="4D840ED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0.007</w:t>
                  </w:r>
                </w:p>
              </w:tc>
              <w:tc>
                <w:tcPr>
                  <w:tcW w:w="1292" w:type="pct"/>
                  <w:vMerge w:val="continue"/>
                  <w:vAlign w:val="center"/>
                </w:tcPr>
                <w:p w14:paraId="1827B3B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DE04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6E06DB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D9FF4C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8CE42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38DFC58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0E05609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0.9</w:t>
                  </w:r>
                </w:p>
              </w:tc>
              <w:tc>
                <w:tcPr>
                  <w:tcW w:w="615" w:type="pct"/>
                  <w:vAlign w:val="center"/>
                </w:tcPr>
                <w:p w14:paraId="01F88A9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0.00007</w:t>
                  </w:r>
                </w:p>
              </w:tc>
              <w:tc>
                <w:tcPr>
                  <w:tcW w:w="1292" w:type="pct"/>
                  <w:vMerge w:val="continue"/>
                  <w:vAlign w:val="center"/>
                </w:tcPr>
                <w:p w14:paraId="6E64545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530E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5046F57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095E5F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B87FC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1A8BA8F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2593E43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1.4</w:t>
                  </w:r>
                </w:p>
              </w:tc>
              <w:tc>
                <w:tcPr>
                  <w:tcW w:w="615" w:type="pct"/>
                  <w:vAlign w:val="center"/>
                </w:tcPr>
                <w:p w14:paraId="3465D39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0.0001</w:t>
                  </w:r>
                </w:p>
              </w:tc>
              <w:tc>
                <w:tcPr>
                  <w:tcW w:w="1292" w:type="pct"/>
                  <w:vMerge w:val="continue"/>
                  <w:vAlign w:val="center"/>
                </w:tcPr>
                <w:p w14:paraId="58197F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474F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294F822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35ED12F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7B93E5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4D27114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TP</w:t>
                  </w:r>
                </w:p>
              </w:tc>
              <w:tc>
                <w:tcPr>
                  <w:tcW w:w="634" w:type="pct"/>
                  <w:vAlign w:val="center"/>
                </w:tcPr>
                <w:p w14:paraId="6A5631C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290</w:t>
                  </w:r>
                </w:p>
              </w:tc>
              <w:tc>
                <w:tcPr>
                  <w:tcW w:w="615" w:type="pct"/>
                  <w:vAlign w:val="center"/>
                </w:tcPr>
                <w:p w14:paraId="3CDDABF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0.021</w:t>
                  </w:r>
                </w:p>
              </w:tc>
              <w:tc>
                <w:tcPr>
                  <w:tcW w:w="1292" w:type="pct"/>
                  <w:vMerge w:val="continue"/>
                  <w:vAlign w:val="center"/>
                </w:tcPr>
                <w:p w14:paraId="58A68E2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5002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4CF716C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509179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37F3B9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3DC30E2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盐分</w:t>
                  </w:r>
                </w:p>
              </w:tc>
              <w:tc>
                <w:tcPr>
                  <w:tcW w:w="634" w:type="pct"/>
                  <w:vAlign w:val="center"/>
                </w:tcPr>
                <w:p w14:paraId="4C9B224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16687</w:t>
                  </w:r>
                </w:p>
              </w:tc>
              <w:tc>
                <w:tcPr>
                  <w:tcW w:w="615" w:type="pct"/>
                  <w:vAlign w:val="center"/>
                </w:tcPr>
                <w:p w14:paraId="2E25266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1.21</w:t>
                  </w:r>
                </w:p>
              </w:tc>
              <w:tc>
                <w:tcPr>
                  <w:tcW w:w="1292" w:type="pct"/>
                  <w:vMerge w:val="continue"/>
                  <w:vAlign w:val="center"/>
                </w:tcPr>
                <w:p w14:paraId="2E51A0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E65A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vAlign w:val="center"/>
                </w:tcPr>
                <w:p w14:paraId="266D402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W2-5</w:t>
                  </w:r>
                </w:p>
              </w:tc>
              <w:tc>
                <w:tcPr>
                  <w:tcW w:w="694" w:type="pct"/>
                  <w:vMerge w:val="restart"/>
                  <w:vAlign w:val="center"/>
                </w:tcPr>
                <w:p w14:paraId="279D949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旋蒸废水</w:t>
                  </w:r>
                </w:p>
              </w:tc>
              <w:tc>
                <w:tcPr>
                  <w:tcW w:w="607" w:type="pct"/>
                  <w:vMerge w:val="restart"/>
                  <w:vAlign w:val="center"/>
                </w:tcPr>
                <w:p w14:paraId="3C937BB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8.363</w:t>
                  </w:r>
                </w:p>
              </w:tc>
              <w:tc>
                <w:tcPr>
                  <w:tcW w:w="575" w:type="pct"/>
                  <w:vAlign w:val="center"/>
                </w:tcPr>
                <w:p w14:paraId="5A8E78E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2C1976C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1913</w:t>
                  </w:r>
                </w:p>
              </w:tc>
              <w:tc>
                <w:tcPr>
                  <w:tcW w:w="615" w:type="pct"/>
                  <w:vAlign w:val="center"/>
                </w:tcPr>
                <w:p w14:paraId="2BA1E14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0.016</w:t>
                  </w:r>
                </w:p>
              </w:tc>
              <w:tc>
                <w:tcPr>
                  <w:tcW w:w="1292" w:type="pct"/>
                  <w:vMerge w:val="continue"/>
                  <w:vAlign w:val="center"/>
                </w:tcPr>
                <w:p w14:paraId="3DD9B8E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69F2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79CAC39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6D1647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353F19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1B3E949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57661AE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8</w:t>
                  </w:r>
                </w:p>
              </w:tc>
              <w:tc>
                <w:tcPr>
                  <w:tcW w:w="615" w:type="pct"/>
                  <w:vAlign w:val="center"/>
                </w:tcPr>
                <w:p w14:paraId="537D08C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0.00007</w:t>
                  </w:r>
                </w:p>
              </w:tc>
              <w:tc>
                <w:tcPr>
                  <w:tcW w:w="1292" w:type="pct"/>
                  <w:vMerge w:val="continue"/>
                  <w:vAlign w:val="center"/>
                </w:tcPr>
                <w:p w14:paraId="29356AE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599C9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vAlign w:val="center"/>
                </w:tcPr>
                <w:p w14:paraId="46BB474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CABBF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5A55A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77981ED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01B12AB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12</w:t>
                  </w:r>
                </w:p>
              </w:tc>
              <w:tc>
                <w:tcPr>
                  <w:tcW w:w="615" w:type="pct"/>
                  <w:vAlign w:val="center"/>
                </w:tcPr>
                <w:p w14:paraId="7DB2F05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lang w:bidi="ar"/>
                    </w:rPr>
                  </w:pPr>
                  <w:r>
                    <w:rPr>
                      <w:rFonts w:hint="default" w:ascii="Times New Roman" w:hAnsi="Times New Roman" w:eastAsia="仿宋_GB2312" w:cs="Times New Roman"/>
                      <w:color w:val="auto"/>
                      <w:kern w:val="0"/>
                      <w:sz w:val="21"/>
                      <w:lang w:bidi="ar"/>
                    </w:rPr>
                    <w:t>0.0001</w:t>
                  </w:r>
                </w:p>
              </w:tc>
              <w:tc>
                <w:tcPr>
                  <w:tcW w:w="1292" w:type="pct"/>
                  <w:vMerge w:val="continue"/>
                  <w:vAlign w:val="center"/>
                </w:tcPr>
                <w:p w14:paraId="4573A6F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AAD5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restart"/>
                  <w:noWrap/>
                  <w:vAlign w:val="center"/>
                </w:tcPr>
                <w:p w14:paraId="1E47861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w:t>
                  </w:r>
                </w:p>
              </w:tc>
              <w:tc>
                <w:tcPr>
                  <w:tcW w:w="694" w:type="pct"/>
                  <w:vMerge w:val="restart"/>
                  <w:vAlign w:val="center"/>
                </w:tcPr>
                <w:p w14:paraId="7DEBCD3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设备清洗废水</w:t>
                  </w:r>
                </w:p>
              </w:tc>
              <w:tc>
                <w:tcPr>
                  <w:tcW w:w="607" w:type="pct"/>
                  <w:vMerge w:val="restart"/>
                  <w:vAlign w:val="center"/>
                </w:tcPr>
                <w:p w14:paraId="41190F8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202</w:t>
                  </w:r>
                </w:p>
              </w:tc>
              <w:tc>
                <w:tcPr>
                  <w:tcW w:w="575" w:type="pct"/>
                  <w:vAlign w:val="center"/>
                </w:tcPr>
                <w:p w14:paraId="6D3F9C2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6DD8DF3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2000</w:t>
                  </w:r>
                </w:p>
              </w:tc>
              <w:tc>
                <w:tcPr>
                  <w:tcW w:w="615" w:type="pct"/>
                  <w:vAlign w:val="center"/>
                </w:tcPr>
                <w:p w14:paraId="34AF89B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0.4</w:t>
                  </w:r>
                </w:p>
              </w:tc>
              <w:tc>
                <w:tcPr>
                  <w:tcW w:w="1292" w:type="pct"/>
                  <w:vMerge w:val="continue"/>
                  <w:vAlign w:val="center"/>
                </w:tcPr>
                <w:p w14:paraId="2EA3566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p>
              </w:tc>
            </w:tr>
            <w:tr w14:paraId="250E0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42F3F9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7E6258E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7CA1091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18C8073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SS</w:t>
                  </w:r>
                </w:p>
              </w:tc>
              <w:tc>
                <w:tcPr>
                  <w:tcW w:w="634" w:type="pct"/>
                  <w:vAlign w:val="center"/>
                </w:tcPr>
                <w:p w14:paraId="322A6C1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400</w:t>
                  </w:r>
                </w:p>
              </w:tc>
              <w:tc>
                <w:tcPr>
                  <w:tcW w:w="615" w:type="pct"/>
                  <w:vAlign w:val="center"/>
                </w:tcPr>
                <w:p w14:paraId="682BC4A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0.08</w:t>
                  </w:r>
                </w:p>
              </w:tc>
              <w:tc>
                <w:tcPr>
                  <w:tcW w:w="1292" w:type="pct"/>
                  <w:vMerge w:val="continue"/>
                  <w:vAlign w:val="center"/>
                </w:tcPr>
                <w:p w14:paraId="44FB249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3D8F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0EE331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22AF9C7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05FDF81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6314874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22A3D4A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25</w:t>
                  </w:r>
                </w:p>
              </w:tc>
              <w:tc>
                <w:tcPr>
                  <w:tcW w:w="615" w:type="pct"/>
                  <w:vAlign w:val="center"/>
                </w:tcPr>
                <w:p w14:paraId="59D1301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0.005</w:t>
                  </w:r>
                </w:p>
              </w:tc>
              <w:tc>
                <w:tcPr>
                  <w:tcW w:w="1292" w:type="pct"/>
                  <w:vMerge w:val="continue"/>
                  <w:vAlign w:val="center"/>
                </w:tcPr>
                <w:p w14:paraId="3311290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E7E5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530FD23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7954D4B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67BC23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263385F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403C77F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50</w:t>
                  </w:r>
                </w:p>
              </w:tc>
              <w:tc>
                <w:tcPr>
                  <w:tcW w:w="615" w:type="pct"/>
                  <w:vAlign w:val="center"/>
                </w:tcPr>
                <w:p w14:paraId="0FCFBBC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0.01</w:t>
                  </w:r>
                </w:p>
              </w:tc>
              <w:tc>
                <w:tcPr>
                  <w:tcW w:w="1292" w:type="pct"/>
                  <w:vMerge w:val="continue"/>
                  <w:vAlign w:val="center"/>
                </w:tcPr>
                <w:p w14:paraId="08175A5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A39B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682CC4A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6FCC536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19D7533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2A9B14A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TP</w:t>
                  </w:r>
                </w:p>
              </w:tc>
              <w:tc>
                <w:tcPr>
                  <w:tcW w:w="634" w:type="pct"/>
                  <w:vAlign w:val="center"/>
                </w:tcPr>
                <w:p w14:paraId="097F357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w:t>
                  </w:r>
                </w:p>
              </w:tc>
              <w:tc>
                <w:tcPr>
                  <w:tcW w:w="615" w:type="pct"/>
                  <w:vAlign w:val="center"/>
                </w:tcPr>
                <w:p w14:paraId="5D94C02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0.002</w:t>
                  </w:r>
                </w:p>
              </w:tc>
              <w:tc>
                <w:tcPr>
                  <w:tcW w:w="1292" w:type="pct"/>
                  <w:vMerge w:val="continue"/>
                  <w:vAlign w:val="center"/>
                </w:tcPr>
                <w:p w14:paraId="34992D6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A816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37A280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BAB15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149863E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5F6B211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盐分</w:t>
                  </w:r>
                </w:p>
              </w:tc>
              <w:tc>
                <w:tcPr>
                  <w:tcW w:w="634" w:type="pct"/>
                  <w:vAlign w:val="center"/>
                </w:tcPr>
                <w:p w14:paraId="7566F67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1000</w:t>
                  </w:r>
                </w:p>
              </w:tc>
              <w:tc>
                <w:tcPr>
                  <w:tcW w:w="615" w:type="pct"/>
                  <w:vAlign w:val="center"/>
                </w:tcPr>
                <w:p w14:paraId="22CF09E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0.2</w:t>
                  </w:r>
                </w:p>
              </w:tc>
              <w:tc>
                <w:tcPr>
                  <w:tcW w:w="1292" w:type="pct"/>
                  <w:vMerge w:val="continue"/>
                  <w:vAlign w:val="center"/>
                </w:tcPr>
                <w:p w14:paraId="38A4B0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13A6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280A9E3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restart"/>
                  <w:vAlign w:val="center"/>
                </w:tcPr>
                <w:p w14:paraId="0B94887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地面清洁废水</w:t>
                  </w:r>
                </w:p>
              </w:tc>
              <w:tc>
                <w:tcPr>
                  <w:tcW w:w="607" w:type="pct"/>
                  <w:vMerge w:val="restart"/>
                  <w:vAlign w:val="center"/>
                </w:tcPr>
                <w:p w14:paraId="70958CD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w:t>
                  </w:r>
                </w:p>
              </w:tc>
              <w:tc>
                <w:tcPr>
                  <w:tcW w:w="575" w:type="pct"/>
                  <w:vAlign w:val="center"/>
                </w:tcPr>
                <w:p w14:paraId="39F0FE9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794A4CE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1000</w:t>
                  </w:r>
                </w:p>
              </w:tc>
              <w:tc>
                <w:tcPr>
                  <w:tcW w:w="615" w:type="pct"/>
                  <w:vAlign w:val="center"/>
                </w:tcPr>
                <w:p w14:paraId="3A93D34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0.02</w:t>
                  </w:r>
                </w:p>
              </w:tc>
              <w:tc>
                <w:tcPr>
                  <w:tcW w:w="1292" w:type="pct"/>
                  <w:vMerge w:val="continue"/>
                  <w:vAlign w:val="center"/>
                </w:tcPr>
                <w:p w14:paraId="75C8A9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EF8D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5ED68A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619D8FC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7FF1900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484755C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SS</w:t>
                  </w:r>
                </w:p>
              </w:tc>
              <w:tc>
                <w:tcPr>
                  <w:tcW w:w="634" w:type="pct"/>
                  <w:vAlign w:val="center"/>
                </w:tcPr>
                <w:p w14:paraId="2F6D15A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200</w:t>
                  </w:r>
                </w:p>
              </w:tc>
              <w:tc>
                <w:tcPr>
                  <w:tcW w:w="615" w:type="pct"/>
                  <w:vAlign w:val="center"/>
                </w:tcPr>
                <w:p w14:paraId="4FA81D4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0.004</w:t>
                  </w:r>
                </w:p>
              </w:tc>
              <w:tc>
                <w:tcPr>
                  <w:tcW w:w="1292" w:type="pct"/>
                  <w:vMerge w:val="continue"/>
                  <w:vAlign w:val="center"/>
                </w:tcPr>
                <w:p w14:paraId="24D4F28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DE84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548F990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05105D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41563B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564FF1E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2161F2A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w:t>
                  </w:r>
                </w:p>
              </w:tc>
              <w:tc>
                <w:tcPr>
                  <w:tcW w:w="615" w:type="pct"/>
                  <w:vAlign w:val="center"/>
                </w:tcPr>
                <w:p w14:paraId="3903E01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0.0004</w:t>
                  </w:r>
                </w:p>
              </w:tc>
              <w:tc>
                <w:tcPr>
                  <w:tcW w:w="1292" w:type="pct"/>
                  <w:vMerge w:val="continue"/>
                  <w:vAlign w:val="center"/>
                </w:tcPr>
                <w:p w14:paraId="7F1B91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83EB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4B38A1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62D905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8CE60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77FA880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433865A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40</w:t>
                  </w:r>
                </w:p>
              </w:tc>
              <w:tc>
                <w:tcPr>
                  <w:tcW w:w="615" w:type="pct"/>
                  <w:vAlign w:val="center"/>
                </w:tcPr>
                <w:p w14:paraId="0112A71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0.0008</w:t>
                  </w:r>
                </w:p>
              </w:tc>
              <w:tc>
                <w:tcPr>
                  <w:tcW w:w="1292" w:type="pct"/>
                  <w:vMerge w:val="continue"/>
                  <w:vAlign w:val="center"/>
                </w:tcPr>
                <w:p w14:paraId="55F067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4B6F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1D2D04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2052FF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E40E7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3F7F6D5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TP</w:t>
                  </w:r>
                </w:p>
              </w:tc>
              <w:tc>
                <w:tcPr>
                  <w:tcW w:w="634" w:type="pct"/>
                  <w:vAlign w:val="center"/>
                </w:tcPr>
                <w:p w14:paraId="0FDE4A4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5</w:t>
                  </w:r>
                </w:p>
              </w:tc>
              <w:tc>
                <w:tcPr>
                  <w:tcW w:w="615" w:type="pct"/>
                  <w:vAlign w:val="center"/>
                </w:tcPr>
                <w:p w14:paraId="57C5C8B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0.0001</w:t>
                  </w:r>
                </w:p>
              </w:tc>
              <w:tc>
                <w:tcPr>
                  <w:tcW w:w="1292" w:type="pct"/>
                  <w:vMerge w:val="continue"/>
                  <w:vAlign w:val="center"/>
                </w:tcPr>
                <w:p w14:paraId="17A716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4C71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6CB01C3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F5848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660DCFF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13E5E41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盐分</w:t>
                  </w:r>
                </w:p>
              </w:tc>
              <w:tc>
                <w:tcPr>
                  <w:tcW w:w="634" w:type="pct"/>
                  <w:vAlign w:val="center"/>
                </w:tcPr>
                <w:p w14:paraId="7A07E34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500</w:t>
                  </w:r>
                </w:p>
              </w:tc>
              <w:tc>
                <w:tcPr>
                  <w:tcW w:w="615" w:type="pct"/>
                  <w:vAlign w:val="center"/>
                </w:tcPr>
                <w:p w14:paraId="23B8D69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0.01</w:t>
                  </w:r>
                </w:p>
              </w:tc>
              <w:tc>
                <w:tcPr>
                  <w:tcW w:w="1292" w:type="pct"/>
                  <w:vMerge w:val="continue"/>
                  <w:vAlign w:val="center"/>
                </w:tcPr>
                <w:p w14:paraId="2B4E265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70A3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0BCC741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restart"/>
                  <w:vAlign w:val="center"/>
                </w:tcPr>
                <w:p w14:paraId="0D91011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洗衣废水</w:t>
                  </w:r>
                </w:p>
              </w:tc>
              <w:tc>
                <w:tcPr>
                  <w:tcW w:w="607" w:type="pct"/>
                  <w:vMerge w:val="restart"/>
                  <w:vAlign w:val="center"/>
                </w:tcPr>
                <w:p w14:paraId="0A597AF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27</w:t>
                  </w:r>
                </w:p>
              </w:tc>
              <w:tc>
                <w:tcPr>
                  <w:tcW w:w="575" w:type="pct"/>
                  <w:vAlign w:val="center"/>
                </w:tcPr>
                <w:p w14:paraId="1C6B415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33A5BC9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200</w:t>
                  </w:r>
                </w:p>
              </w:tc>
              <w:tc>
                <w:tcPr>
                  <w:tcW w:w="615" w:type="pct"/>
                  <w:vAlign w:val="bottom"/>
                </w:tcPr>
                <w:p w14:paraId="5FC9E056">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0.0054</w:t>
                  </w:r>
                </w:p>
              </w:tc>
              <w:tc>
                <w:tcPr>
                  <w:tcW w:w="1292" w:type="pct"/>
                  <w:vMerge w:val="continue"/>
                  <w:vAlign w:val="center"/>
                </w:tcPr>
                <w:p w14:paraId="30D9467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p>
              </w:tc>
            </w:tr>
            <w:tr w14:paraId="0C2BC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257DE0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2F872C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659D68F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73CB7DB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SS</w:t>
                  </w:r>
                </w:p>
              </w:tc>
              <w:tc>
                <w:tcPr>
                  <w:tcW w:w="634" w:type="pct"/>
                  <w:vAlign w:val="center"/>
                </w:tcPr>
                <w:p w14:paraId="4517266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200</w:t>
                  </w:r>
                </w:p>
              </w:tc>
              <w:tc>
                <w:tcPr>
                  <w:tcW w:w="615" w:type="pct"/>
                  <w:vAlign w:val="bottom"/>
                </w:tcPr>
                <w:p w14:paraId="62A94147">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0.0054</w:t>
                  </w:r>
                </w:p>
              </w:tc>
              <w:tc>
                <w:tcPr>
                  <w:tcW w:w="1292" w:type="pct"/>
                  <w:vMerge w:val="continue"/>
                  <w:vAlign w:val="center"/>
                </w:tcPr>
                <w:p w14:paraId="6C94FD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0681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00F315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3C813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65E8555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4F03035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5B77891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w:t>
                  </w:r>
                </w:p>
              </w:tc>
              <w:tc>
                <w:tcPr>
                  <w:tcW w:w="615" w:type="pct"/>
                  <w:vAlign w:val="bottom"/>
                </w:tcPr>
                <w:p w14:paraId="0C0340A2">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0.00027</w:t>
                  </w:r>
                </w:p>
              </w:tc>
              <w:tc>
                <w:tcPr>
                  <w:tcW w:w="1292" w:type="pct"/>
                  <w:vMerge w:val="continue"/>
                  <w:vAlign w:val="center"/>
                </w:tcPr>
                <w:p w14:paraId="6C5184D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41E4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493902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53F3F6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618B8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5E7D1E6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4AB1728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12</w:t>
                  </w:r>
                </w:p>
              </w:tc>
              <w:tc>
                <w:tcPr>
                  <w:tcW w:w="615" w:type="pct"/>
                  <w:vAlign w:val="bottom"/>
                </w:tcPr>
                <w:p w14:paraId="3FC2ACED">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0.00041</w:t>
                  </w:r>
                </w:p>
              </w:tc>
              <w:tc>
                <w:tcPr>
                  <w:tcW w:w="1292" w:type="pct"/>
                  <w:vMerge w:val="continue"/>
                  <w:vAlign w:val="center"/>
                </w:tcPr>
                <w:p w14:paraId="3AC9F72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CBFF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0E01F62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3BD61B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4E7F63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6AEDE61C">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TP</w:t>
                  </w:r>
                </w:p>
              </w:tc>
              <w:tc>
                <w:tcPr>
                  <w:tcW w:w="634" w:type="pct"/>
                  <w:vAlign w:val="center"/>
                </w:tcPr>
                <w:p w14:paraId="743EF4C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w:t>
                  </w:r>
                </w:p>
              </w:tc>
              <w:tc>
                <w:tcPr>
                  <w:tcW w:w="615" w:type="pct"/>
                  <w:vAlign w:val="bottom"/>
                </w:tcPr>
                <w:p w14:paraId="6A55D27C">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0.000054</w:t>
                  </w:r>
                </w:p>
              </w:tc>
              <w:tc>
                <w:tcPr>
                  <w:tcW w:w="1292" w:type="pct"/>
                  <w:vMerge w:val="continue"/>
                  <w:vAlign w:val="center"/>
                </w:tcPr>
                <w:p w14:paraId="00C022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9A47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43FE5B4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D9862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0378600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614EE70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盐分</w:t>
                  </w:r>
                </w:p>
              </w:tc>
              <w:tc>
                <w:tcPr>
                  <w:tcW w:w="634" w:type="pct"/>
                  <w:vAlign w:val="center"/>
                </w:tcPr>
                <w:p w14:paraId="2BFB5EE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500</w:t>
                  </w:r>
                </w:p>
              </w:tc>
              <w:tc>
                <w:tcPr>
                  <w:tcW w:w="615" w:type="pct"/>
                  <w:vAlign w:val="bottom"/>
                </w:tcPr>
                <w:p w14:paraId="0417C716">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0.014</w:t>
                  </w:r>
                </w:p>
              </w:tc>
              <w:tc>
                <w:tcPr>
                  <w:tcW w:w="1292" w:type="pct"/>
                  <w:vMerge w:val="continue"/>
                  <w:vAlign w:val="center"/>
                </w:tcPr>
                <w:p w14:paraId="7D4DEC8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6AB2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088D500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restart"/>
                  <w:vAlign w:val="center"/>
                </w:tcPr>
                <w:p w14:paraId="287F436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循环冷却系统排水</w:t>
                  </w:r>
                </w:p>
              </w:tc>
              <w:tc>
                <w:tcPr>
                  <w:tcW w:w="607" w:type="pct"/>
                  <w:vMerge w:val="restart"/>
                  <w:vAlign w:val="center"/>
                </w:tcPr>
                <w:p w14:paraId="5793242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120</w:t>
                  </w:r>
                </w:p>
              </w:tc>
              <w:tc>
                <w:tcPr>
                  <w:tcW w:w="575" w:type="pct"/>
                  <w:vAlign w:val="center"/>
                </w:tcPr>
                <w:p w14:paraId="2A19A40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634" w:type="pct"/>
                  <w:vAlign w:val="center"/>
                </w:tcPr>
                <w:p w14:paraId="5E62EF0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100</w:t>
                  </w:r>
                </w:p>
              </w:tc>
              <w:tc>
                <w:tcPr>
                  <w:tcW w:w="615" w:type="pct"/>
                  <w:vAlign w:val="center"/>
                </w:tcPr>
                <w:p w14:paraId="4C447EB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0.012</w:t>
                  </w:r>
                </w:p>
              </w:tc>
              <w:tc>
                <w:tcPr>
                  <w:tcW w:w="1292" w:type="pct"/>
                  <w:vMerge w:val="continue"/>
                  <w:vAlign w:val="center"/>
                </w:tcPr>
                <w:p w14:paraId="7FE9F8E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p>
              </w:tc>
            </w:tr>
            <w:tr w14:paraId="18E79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7CA1B57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74D0AD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1A5A0B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6DC5E68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634" w:type="pct"/>
                  <w:vAlign w:val="center"/>
                </w:tcPr>
                <w:p w14:paraId="20FB56A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100</w:t>
                  </w:r>
                </w:p>
              </w:tc>
              <w:tc>
                <w:tcPr>
                  <w:tcW w:w="615" w:type="pct"/>
                  <w:vAlign w:val="center"/>
                </w:tcPr>
                <w:p w14:paraId="19F84173">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0.012</w:t>
                  </w:r>
                </w:p>
              </w:tc>
              <w:tc>
                <w:tcPr>
                  <w:tcW w:w="1292" w:type="pct"/>
                  <w:vMerge w:val="continue"/>
                  <w:vAlign w:val="center"/>
                </w:tcPr>
                <w:p w14:paraId="2F51B0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9C77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6AD2FF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225437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1C31E5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58EC832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634" w:type="pct"/>
                  <w:vAlign w:val="center"/>
                </w:tcPr>
                <w:p w14:paraId="64E0AB4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10</w:t>
                  </w:r>
                </w:p>
              </w:tc>
              <w:tc>
                <w:tcPr>
                  <w:tcW w:w="615" w:type="pct"/>
                  <w:vAlign w:val="center"/>
                </w:tcPr>
                <w:p w14:paraId="2FC90024">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0.0012</w:t>
                  </w:r>
                </w:p>
              </w:tc>
              <w:tc>
                <w:tcPr>
                  <w:tcW w:w="1292" w:type="pct"/>
                  <w:vMerge w:val="continue"/>
                  <w:vAlign w:val="center"/>
                </w:tcPr>
                <w:p w14:paraId="0636E6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012A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6268371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CCEB7C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6467247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0EB4042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634" w:type="pct"/>
                  <w:vAlign w:val="center"/>
                </w:tcPr>
                <w:p w14:paraId="5D077DF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15</w:t>
                  </w:r>
                </w:p>
              </w:tc>
              <w:tc>
                <w:tcPr>
                  <w:tcW w:w="615" w:type="pct"/>
                  <w:vAlign w:val="center"/>
                </w:tcPr>
                <w:p w14:paraId="0E72CFB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0.0018</w:t>
                  </w:r>
                </w:p>
              </w:tc>
              <w:tc>
                <w:tcPr>
                  <w:tcW w:w="1292" w:type="pct"/>
                  <w:vMerge w:val="continue"/>
                  <w:vAlign w:val="center"/>
                </w:tcPr>
                <w:p w14:paraId="5E3A7B2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DDC5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700C65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0CA22E4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76E19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614E5CD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634" w:type="pct"/>
                  <w:vAlign w:val="center"/>
                </w:tcPr>
                <w:p w14:paraId="6DDDB65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2</w:t>
                  </w:r>
                </w:p>
              </w:tc>
              <w:tc>
                <w:tcPr>
                  <w:tcW w:w="615" w:type="pct"/>
                  <w:vAlign w:val="center"/>
                </w:tcPr>
                <w:p w14:paraId="7A246CB8">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0.00024</w:t>
                  </w:r>
                </w:p>
              </w:tc>
              <w:tc>
                <w:tcPr>
                  <w:tcW w:w="1292" w:type="pct"/>
                  <w:vMerge w:val="continue"/>
                  <w:vAlign w:val="center"/>
                </w:tcPr>
                <w:p w14:paraId="7CF26C3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8F94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246C450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0D926A5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499A76D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0422927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634" w:type="pct"/>
                  <w:vAlign w:val="center"/>
                </w:tcPr>
                <w:p w14:paraId="0B94BB8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2000</w:t>
                  </w:r>
                </w:p>
              </w:tc>
              <w:tc>
                <w:tcPr>
                  <w:tcW w:w="615" w:type="pct"/>
                  <w:vAlign w:val="center"/>
                </w:tcPr>
                <w:p w14:paraId="796383A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bidi="ar"/>
                    </w:rPr>
                    <w:t>0.24</w:t>
                  </w:r>
                </w:p>
              </w:tc>
              <w:tc>
                <w:tcPr>
                  <w:tcW w:w="1292" w:type="pct"/>
                  <w:vMerge w:val="continue"/>
                  <w:vAlign w:val="center"/>
                </w:tcPr>
                <w:p w14:paraId="436134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4EEA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6F0BCE5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restart"/>
                  <w:vAlign w:val="center"/>
                </w:tcPr>
                <w:p w14:paraId="73D0AE0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废气喷淋废水</w:t>
                  </w:r>
                </w:p>
              </w:tc>
              <w:tc>
                <w:tcPr>
                  <w:tcW w:w="607" w:type="pct"/>
                  <w:vMerge w:val="restart"/>
                  <w:vAlign w:val="center"/>
                </w:tcPr>
                <w:p w14:paraId="1F2726C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120</w:t>
                  </w:r>
                </w:p>
              </w:tc>
              <w:tc>
                <w:tcPr>
                  <w:tcW w:w="575" w:type="pct"/>
                  <w:vAlign w:val="center"/>
                </w:tcPr>
                <w:p w14:paraId="34CAEF5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bidi="ar"/>
                    </w:rPr>
                    <w:t>COD</w:t>
                  </w:r>
                </w:p>
              </w:tc>
              <w:tc>
                <w:tcPr>
                  <w:tcW w:w="634" w:type="pct"/>
                  <w:vAlign w:val="center"/>
                </w:tcPr>
                <w:p w14:paraId="786D38E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500</w:t>
                  </w:r>
                </w:p>
              </w:tc>
              <w:tc>
                <w:tcPr>
                  <w:tcW w:w="615" w:type="pct"/>
                  <w:vAlign w:val="center"/>
                </w:tcPr>
                <w:p w14:paraId="15056B8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0.06</w:t>
                  </w:r>
                </w:p>
              </w:tc>
              <w:tc>
                <w:tcPr>
                  <w:tcW w:w="1292" w:type="pct"/>
                  <w:vMerge w:val="continue"/>
                  <w:vAlign w:val="center"/>
                </w:tcPr>
                <w:p w14:paraId="6746F4F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p>
              </w:tc>
            </w:tr>
            <w:tr w14:paraId="7B01B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6DE268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83BCF9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728054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287824A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SS</w:t>
                  </w:r>
                </w:p>
              </w:tc>
              <w:tc>
                <w:tcPr>
                  <w:tcW w:w="634" w:type="pct"/>
                  <w:vAlign w:val="center"/>
                </w:tcPr>
                <w:p w14:paraId="59C355D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200</w:t>
                  </w:r>
                </w:p>
              </w:tc>
              <w:tc>
                <w:tcPr>
                  <w:tcW w:w="615" w:type="pct"/>
                  <w:vAlign w:val="center"/>
                </w:tcPr>
                <w:p w14:paraId="4E98E41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0.024</w:t>
                  </w:r>
                </w:p>
              </w:tc>
              <w:tc>
                <w:tcPr>
                  <w:tcW w:w="1292" w:type="pct"/>
                  <w:vMerge w:val="continue"/>
                  <w:vAlign w:val="center"/>
                </w:tcPr>
                <w:p w14:paraId="44AF712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2FE9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6080EB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93F039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1135088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2DD3062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634" w:type="pct"/>
                  <w:vAlign w:val="center"/>
                </w:tcPr>
                <w:p w14:paraId="7872EF14">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z w:val="21"/>
                    </w:rPr>
                  </w:pPr>
                  <w:r>
                    <w:rPr>
                      <w:rFonts w:hint="eastAsia" w:eastAsia="仿宋_GB2312" w:cs="Times New Roman"/>
                      <w:color w:val="auto"/>
                      <w:sz w:val="21"/>
                      <w:lang w:val="en-US" w:eastAsia="zh-CN"/>
                    </w:rPr>
                    <w:t>392</w:t>
                  </w:r>
                </w:p>
              </w:tc>
              <w:tc>
                <w:tcPr>
                  <w:tcW w:w="615" w:type="pct"/>
                  <w:vAlign w:val="center"/>
                </w:tcPr>
                <w:p w14:paraId="6C85EE13">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0.04</w:t>
                  </w:r>
                  <w:r>
                    <w:rPr>
                      <w:rFonts w:hint="eastAsia" w:eastAsia="仿宋_GB2312" w:cs="Times New Roman"/>
                      <w:color w:val="auto"/>
                      <w:sz w:val="21"/>
                      <w:lang w:val="en-US" w:eastAsia="zh-CN"/>
                    </w:rPr>
                    <w:t>7</w:t>
                  </w:r>
                </w:p>
              </w:tc>
              <w:tc>
                <w:tcPr>
                  <w:tcW w:w="1292" w:type="pct"/>
                  <w:vMerge w:val="continue"/>
                  <w:vAlign w:val="center"/>
                </w:tcPr>
                <w:p w14:paraId="6ABB103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51702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265C47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576D48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02FF093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1214C5B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634" w:type="pct"/>
                  <w:vAlign w:val="center"/>
                </w:tcPr>
                <w:p w14:paraId="3C64215F">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z w:val="21"/>
                    </w:rPr>
                  </w:pPr>
                  <w:r>
                    <w:rPr>
                      <w:rFonts w:hint="eastAsia" w:eastAsia="仿宋_GB2312" w:cs="Times New Roman"/>
                      <w:color w:val="auto"/>
                      <w:sz w:val="21"/>
                      <w:lang w:val="en-US" w:eastAsia="zh-CN"/>
                    </w:rPr>
                    <w:t>392</w:t>
                  </w:r>
                </w:p>
              </w:tc>
              <w:tc>
                <w:tcPr>
                  <w:tcW w:w="615" w:type="pct"/>
                  <w:vAlign w:val="center"/>
                </w:tcPr>
                <w:p w14:paraId="0F572AE2">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0.04</w:t>
                  </w:r>
                  <w:r>
                    <w:rPr>
                      <w:rFonts w:hint="eastAsia" w:eastAsia="仿宋_GB2312" w:cs="Times New Roman"/>
                      <w:color w:val="auto"/>
                      <w:sz w:val="21"/>
                      <w:lang w:val="en-US" w:eastAsia="zh-CN"/>
                    </w:rPr>
                    <w:t>7</w:t>
                  </w:r>
                </w:p>
              </w:tc>
              <w:tc>
                <w:tcPr>
                  <w:tcW w:w="1292" w:type="pct"/>
                  <w:vMerge w:val="continue"/>
                  <w:vAlign w:val="center"/>
                </w:tcPr>
                <w:p w14:paraId="41300B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00D87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253E63F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56857D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3790007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7EDF439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lang w:bidi="ar"/>
                    </w:rPr>
                    <w:t>盐分</w:t>
                  </w:r>
                </w:p>
              </w:tc>
              <w:tc>
                <w:tcPr>
                  <w:tcW w:w="634" w:type="pct"/>
                  <w:vAlign w:val="center"/>
                </w:tcPr>
                <w:p w14:paraId="64BC685D">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z w:val="21"/>
                    </w:rPr>
                  </w:pPr>
                  <w:r>
                    <w:rPr>
                      <w:rFonts w:hint="eastAsia" w:eastAsia="仿宋_GB2312" w:cs="Times New Roman"/>
                      <w:color w:val="auto"/>
                      <w:sz w:val="21"/>
                      <w:lang w:val="en-US" w:eastAsia="zh-CN"/>
                    </w:rPr>
                    <w:t>700</w:t>
                  </w:r>
                </w:p>
              </w:tc>
              <w:tc>
                <w:tcPr>
                  <w:tcW w:w="615" w:type="pct"/>
                  <w:vAlign w:val="center"/>
                </w:tcPr>
                <w:p w14:paraId="185DA254">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w:t>
                  </w:r>
                  <w:r>
                    <w:rPr>
                      <w:rFonts w:hint="eastAsia" w:eastAsia="仿宋_GB2312" w:cs="Times New Roman"/>
                      <w:color w:val="auto"/>
                      <w:sz w:val="21"/>
                      <w:lang w:val="en-US" w:eastAsia="zh-CN"/>
                    </w:rPr>
                    <w:t>084</w:t>
                  </w:r>
                </w:p>
              </w:tc>
              <w:tc>
                <w:tcPr>
                  <w:tcW w:w="1292" w:type="pct"/>
                  <w:vMerge w:val="continue"/>
                  <w:vAlign w:val="center"/>
                </w:tcPr>
                <w:p w14:paraId="628BF26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F1E7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7D4ABC4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restart"/>
                  <w:vAlign w:val="center"/>
                </w:tcPr>
                <w:p w14:paraId="2B13DE4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质检区废水</w:t>
                  </w:r>
                </w:p>
              </w:tc>
              <w:tc>
                <w:tcPr>
                  <w:tcW w:w="607" w:type="pct"/>
                  <w:vMerge w:val="restart"/>
                  <w:vAlign w:val="center"/>
                </w:tcPr>
                <w:p w14:paraId="64AEFA9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30</w:t>
                  </w:r>
                </w:p>
              </w:tc>
              <w:tc>
                <w:tcPr>
                  <w:tcW w:w="575" w:type="pct"/>
                  <w:vAlign w:val="center"/>
                </w:tcPr>
                <w:p w14:paraId="29D8C26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vAlign w:val="center"/>
                </w:tcPr>
                <w:p w14:paraId="656B93C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1000</w:t>
                  </w:r>
                </w:p>
              </w:tc>
              <w:tc>
                <w:tcPr>
                  <w:tcW w:w="615" w:type="pct"/>
                  <w:vAlign w:val="bottom"/>
                </w:tcPr>
                <w:p w14:paraId="6ABE2381">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0.03</w:t>
                  </w:r>
                </w:p>
              </w:tc>
              <w:tc>
                <w:tcPr>
                  <w:tcW w:w="1292" w:type="pct"/>
                  <w:vMerge w:val="continue"/>
                  <w:vAlign w:val="center"/>
                </w:tcPr>
                <w:p w14:paraId="104F495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p>
              </w:tc>
            </w:tr>
            <w:tr w14:paraId="746C3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5FCBAB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394F63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76ED74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1642526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SS</w:t>
                  </w:r>
                </w:p>
              </w:tc>
              <w:tc>
                <w:tcPr>
                  <w:tcW w:w="634" w:type="pct"/>
                  <w:vAlign w:val="center"/>
                </w:tcPr>
                <w:p w14:paraId="0E240DB7">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200</w:t>
                  </w:r>
                </w:p>
              </w:tc>
              <w:tc>
                <w:tcPr>
                  <w:tcW w:w="615" w:type="pct"/>
                  <w:vAlign w:val="bottom"/>
                </w:tcPr>
                <w:p w14:paraId="72D121D8">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0.006</w:t>
                  </w:r>
                </w:p>
              </w:tc>
              <w:tc>
                <w:tcPr>
                  <w:tcW w:w="1292" w:type="pct"/>
                  <w:vMerge w:val="continue"/>
                  <w:vAlign w:val="center"/>
                </w:tcPr>
                <w:p w14:paraId="332C66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525C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03A8804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42E3AC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357D1A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67FD82AF">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vAlign w:val="center"/>
                </w:tcPr>
                <w:p w14:paraId="2D05FF4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15</w:t>
                  </w:r>
                </w:p>
              </w:tc>
              <w:tc>
                <w:tcPr>
                  <w:tcW w:w="615" w:type="pct"/>
                  <w:vAlign w:val="bottom"/>
                </w:tcPr>
                <w:p w14:paraId="238D2ECB">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0.00045</w:t>
                  </w:r>
                </w:p>
              </w:tc>
              <w:tc>
                <w:tcPr>
                  <w:tcW w:w="1292" w:type="pct"/>
                  <w:vMerge w:val="continue"/>
                  <w:vAlign w:val="center"/>
                </w:tcPr>
                <w:p w14:paraId="44C6B1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621C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11DA6C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04433A8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7DFF5C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50D2F640">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vAlign w:val="center"/>
                </w:tcPr>
                <w:p w14:paraId="0452071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30</w:t>
                  </w:r>
                </w:p>
              </w:tc>
              <w:tc>
                <w:tcPr>
                  <w:tcW w:w="615" w:type="pct"/>
                  <w:vAlign w:val="bottom"/>
                </w:tcPr>
                <w:p w14:paraId="4843F9DB">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0.0009</w:t>
                  </w:r>
                </w:p>
              </w:tc>
              <w:tc>
                <w:tcPr>
                  <w:tcW w:w="1292" w:type="pct"/>
                  <w:vMerge w:val="continue"/>
                  <w:vAlign w:val="center"/>
                </w:tcPr>
                <w:p w14:paraId="45BD2EA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62C3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7BD50BC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390DC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5734D61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vAlign w:val="center"/>
                </w:tcPr>
                <w:p w14:paraId="4D531C0D">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TP</w:t>
                  </w:r>
                </w:p>
              </w:tc>
              <w:tc>
                <w:tcPr>
                  <w:tcW w:w="634" w:type="pct"/>
                  <w:vAlign w:val="center"/>
                </w:tcPr>
                <w:p w14:paraId="37020A62">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5</w:t>
                  </w:r>
                </w:p>
              </w:tc>
              <w:tc>
                <w:tcPr>
                  <w:tcW w:w="615" w:type="pct"/>
                  <w:vAlign w:val="bottom"/>
                </w:tcPr>
                <w:p w14:paraId="2AB8857A">
                  <w:pPr>
                    <w:keepNext w:val="0"/>
                    <w:keepLines w:val="0"/>
                    <w:suppressLineNumbers w:val="0"/>
                    <w:spacing w:before="0" w:beforeAutospacing="0" w:after="0" w:afterAutospacing="0" w:line="320" w:lineRule="exact"/>
                    <w:ind w:left="0" w:right="0"/>
                    <w:jc w:val="center"/>
                    <w:textAlignment w:val="bottom"/>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0.00015</w:t>
                  </w:r>
                </w:p>
              </w:tc>
              <w:tc>
                <w:tcPr>
                  <w:tcW w:w="1292" w:type="pct"/>
                  <w:vMerge w:val="continue"/>
                  <w:vAlign w:val="center"/>
                </w:tcPr>
                <w:p w14:paraId="66E0EA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6D86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46CE78B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restart"/>
                  <w:vAlign w:val="center"/>
                </w:tcPr>
                <w:p w14:paraId="15F5E1F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生活污水</w:t>
                  </w:r>
                </w:p>
              </w:tc>
              <w:tc>
                <w:tcPr>
                  <w:tcW w:w="607" w:type="pct"/>
                  <w:vMerge w:val="restart"/>
                  <w:vAlign w:val="center"/>
                </w:tcPr>
                <w:p w14:paraId="7B61AF2A">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1012</w:t>
                  </w:r>
                </w:p>
              </w:tc>
              <w:tc>
                <w:tcPr>
                  <w:tcW w:w="575" w:type="pct"/>
                  <w:noWrap/>
                  <w:vAlign w:val="center"/>
                </w:tcPr>
                <w:p w14:paraId="2825704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COD</w:t>
                  </w:r>
                </w:p>
              </w:tc>
              <w:tc>
                <w:tcPr>
                  <w:tcW w:w="634" w:type="pct"/>
                  <w:noWrap/>
                  <w:vAlign w:val="center"/>
                </w:tcPr>
                <w:p w14:paraId="37F36A0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400</w:t>
                  </w:r>
                </w:p>
              </w:tc>
              <w:tc>
                <w:tcPr>
                  <w:tcW w:w="615" w:type="pct"/>
                  <w:noWrap/>
                  <w:vAlign w:val="center"/>
                </w:tcPr>
                <w:p w14:paraId="13AE34E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 xml:space="preserve">0.4 </w:t>
                  </w:r>
                </w:p>
              </w:tc>
              <w:tc>
                <w:tcPr>
                  <w:tcW w:w="1292" w:type="pct"/>
                  <w:vMerge w:val="restart"/>
                  <w:vAlign w:val="center"/>
                </w:tcPr>
                <w:p w14:paraId="4F555561">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接管至金坛第二污水厂</w:t>
                  </w:r>
                </w:p>
              </w:tc>
            </w:tr>
            <w:tr w14:paraId="2FA78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6C63F9E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584B5A1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47F75E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noWrap/>
                  <w:vAlign w:val="center"/>
                </w:tcPr>
                <w:p w14:paraId="267AC0E6">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SS</w:t>
                  </w:r>
                </w:p>
              </w:tc>
              <w:tc>
                <w:tcPr>
                  <w:tcW w:w="634" w:type="pct"/>
                  <w:noWrap/>
                  <w:vAlign w:val="center"/>
                </w:tcPr>
                <w:p w14:paraId="06D7215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200</w:t>
                  </w:r>
                </w:p>
              </w:tc>
              <w:tc>
                <w:tcPr>
                  <w:tcW w:w="615" w:type="pct"/>
                  <w:noWrap/>
                  <w:vAlign w:val="center"/>
                </w:tcPr>
                <w:p w14:paraId="5BFAE08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0.2</w:t>
                  </w:r>
                </w:p>
              </w:tc>
              <w:tc>
                <w:tcPr>
                  <w:tcW w:w="1292" w:type="pct"/>
                  <w:vMerge w:val="continue"/>
                  <w:vAlign w:val="center"/>
                </w:tcPr>
                <w:p w14:paraId="7636CFC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197A8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1B47F34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05880C7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863D0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noWrap/>
                  <w:vAlign w:val="center"/>
                </w:tcPr>
                <w:p w14:paraId="63F986D5">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NH</w:t>
                  </w:r>
                  <w:r>
                    <w:rPr>
                      <w:rFonts w:hint="default" w:ascii="Times New Roman" w:hAnsi="Times New Roman" w:eastAsia="仿宋_GB2312" w:cs="Times New Roman"/>
                      <w:color w:val="auto"/>
                      <w:kern w:val="0"/>
                      <w:sz w:val="21"/>
                      <w:vertAlign w:val="subscript"/>
                      <w:lang w:bidi="ar"/>
                    </w:rPr>
                    <w:t>3</w:t>
                  </w:r>
                  <w:r>
                    <w:rPr>
                      <w:rFonts w:hint="default" w:ascii="Times New Roman" w:hAnsi="Times New Roman" w:eastAsia="仿宋_GB2312" w:cs="Times New Roman"/>
                      <w:color w:val="auto"/>
                      <w:kern w:val="0"/>
                      <w:sz w:val="21"/>
                      <w:lang w:bidi="ar"/>
                    </w:rPr>
                    <w:t>-N</w:t>
                  </w:r>
                </w:p>
              </w:tc>
              <w:tc>
                <w:tcPr>
                  <w:tcW w:w="634" w:type="pct"/>
                  <w:noWrap/>
                  <w:vAlign w:val="center"/>
                </w:tcPr>
                <w:p w14:paraId="3D9BE44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30</w:t>
                  </w:r>
                </w:p>
              </w:tc>
              <w:tc>
                <w:tcPr>
                  <w:tcW w:w="615" w:type="pct"/>
                  <w:noWrap/>
                  <w:vAlign w:val="center"/>
                </w:tcPr>
                <w:p w14:paraId="4F12421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US"/>
                    </w:rPr>
                    <w:t xml:space="preserve">0.03 </w:t>
                  </w:r>
                </w:p>
              </w:tc>
              <w:tc>
                <w:tcPr>
                  <w:tcW w:w="1292" w:type="pct"/>
                  <w:vMerge w:val="continue"/>
                  <w:vAlign w:val="center"/>
                </w:tcPr>
                <w:p w14:paraId="09B7FBF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6E7EE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2956CAE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20E78E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4A09296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noWrap/>
                  <w:vAlign w:val="center"/>
                </w:tcPr>
                <w:p w14:paraId="5865FE49">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TN</w:t>
                  </w:r>
                </w:p>
              </w:tc>
              <w:tc>
                <w:tcPr>
                  <w:tcW w:w="634" w:type="pct"/>
                  <w:noWrap/>
                  <w:vAlign w:val="center"/>
                </w:tcPr>
                <w:p w14:paraId="453ED8E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lang w:val="en-US"/>
                    </w:rPr>
                  </w:pPr>
                  <w:r>
                    <w:rPr>
                      <w:rFonts w:hint="default" w:ascii="Times New Roman" w:hAnsi="Times New Roman" w:eastAsia="仿宋_GB2312" w:cs="Times New Roman"/>
                      <w:color w:val="auto"/>
                      <w:szCs w:val="21"/>
                      <w:lang w:val="en-US"/>
                    </w:rPr>
                    <w:t>45</w:t>
                  </w:r>
                </w:p>
              </w:tc>
              <w:tc>
                <w:tcPr>
                  <w:tcW w:w="615" w:type="pct"/>
                  <w:noWrap/>
                  <w:vAlign w:val="center"/>
                </w:tcPr>
                <w:p w14:paraId="5ABD0A4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US"/>
                    </w:rPr>
                    <w:t xml:space="preserve">0.05 </w:t>
                  </w:r>
                </w:p>
              </w:tc>
              <w:tc>
                <w:tcPr>
                  <w:tcW w:w="1292" w:type="pct"/>
                  <w:vMerge w:val="continue"/>
                  <w:vAlign w:val="center"/>
                </w:tcPr>
                <w:p w14:paraId="54D486C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D9FB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71CD81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61323B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0468D1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noWrap/>
                  <w:vAlign w:val="center"/>
                </w:tcPr>
                <w:p w14:paraId="5FBAA15B">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TP</w:t>
                  </w:r>
                </w:p>
              </w:tc>
              <w:tc>
                <w:tcPr>
                  <w:tcW w:w="634" w:type="pct"/>
                  <w:noWrap/>
                  <w:vAlign w:val="center"/>
                </w:tcPr>
                <w:p w14:paraId="4386784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US"/>
                    </w:rPr>
                    <w:t>2</w:t>
                  </w:r>
                </w:p>
              </w:tc>
              <w:tc>
                <w:tcPr>
                  <w:tcW w:w="615" w:type="pct"/>
                  <w:noWrap/>
                  <w:vAlign w:val="center"/>
                </w:tcPr>
                <w:p w14:paraId="4287376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val="0"/>
                      <w:bCs w:val="0"/>
                      <w:color w:val="auto"/>
                      <w:szCs w:val="21"/>
                    </w:rPr>
                  </w:pPr>
                  <w:r>
                    <w:rPr>
                      <w:rFonts w:hint="default" w:ascii="Times New Roman" w:hAnsi="Times New Roman" w:eastAsia="仿宋_GB2312" w:cs="Times New Roman"/>
                      <w:b w:val="0"/>
                      <w:bCs w:val="0"/>
                      <w:color w:val="auto"/>
                      <w:szCs w:val="21"/>
                      <w:lang w:val="en-US"/>
                    </w:rPr>
                    <w:t>0.002</w:t>
                  </w:r>
                </w:p>
              </w:tc>
              <w:tc>
                <w:tcPr>
                  <w:tcW w:w="1292" w:type="pct"/>
                  <w:vMerge w:val="continue"/>
                  <w:vAlign w:val="center"/>
                </w:tcPr>
                <w:p w14:paraId="5EDD5C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4CF18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77B6851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6A46B57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0E572E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noWrap/>
                  <w:vAlign w:val="center"/>
                </w:tcPr>
                <w:p w14:paraId="54AB46DE">
                  <w:pPr>
                    <w:keepNext w:val="0"/>
                    <w:keepLines w:val="0"/>
                    <w:suppressLineNumbers w:val="0"/>
                    <w:spacing w:before="0" w:beforeAutospacing="0" w:after="0" w:afterAutospacing="0" w:line="320" w:lineRule="exact"/>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kern w:val="0"/>
                      <w:sz w:val="21"/>
                      <w:lang w:bidi="ar"/>
                    </w:rPr>
                    <w:t>盐分</w:t>
                  </w:r>
                </w:p>
              </w:tc>
              <w:tc>
                <w:tcPr>
                  <w:tcW w:w="634" w:type="pct"/>
                  <w:noWrap/>
                  <w:vAlign w:val="center"/>
                </w:tcPr>
                <w:p w14:paraId="2A41CBC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500</w:t>
                  </w:r>
                </w:p>
              </w:tc>
              <w:tc>
                <w:tcPr>
                  <w:tcW w:w="615" w:type="pct"/>
                  <w:noWrap/>
                  <w:vAlign w:val="center"/>
                </w:tcPr>
                <w:p w14:paraId="49B08D7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eastAsia="仿宋_GB2312" w:cs="Times New Roman"/>
                      <w:b w:val="0"/>
                      <w:bCs w:val="0"/>
                      <w:color w:val="auto"/>
                      <w:szCs w:val="21"/>
                    </w:rPr>
                  </w:pPr>
                  <w:r>
                    <w:rPr>
                      <w:rFonts w:hint="default" w:ascii="Times New Roman" w:hAnsi="Times New Roman" w:eastAsia="仿宋_GB2312" w:cs="Times New Roman"/>
                      <w:b w:val="0"/>
                      <w:bCs w:val="0"/>
                      <w:color w:val="auto"/>
                      <w:szCs w:val="21"/>
                      <w:lang w:val="en-US"/>
                    </w:rPr>
                    <w:t xml:space="preserve">0.51 </w:t>
                  </w:r>
                </w:p>
              </w:tc>
              <w:tc>
                <w:tcPr>
                  <w:tcW w:w="1292" w:type="pct"/>
                  <w:vMerge w:val="continue"/>
                  <w:vAlign w:val="center"/>
                </w:tcPr>
                <w:p w14:paraId="7317EF2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7EA54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0D98C2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restart"/>
                  <w:vAlign w:val="center"/>
                </w:tcPr>
                <w:p w14:paraId="6BA578F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none"/>
                    </w:rPr>
                  </w:pPr>
                  <w:r>
                    <w:rPr>
                      <w:rFonts w:hint="default" w:ascii="Times New Roman" w:hAnsi="Times New Roman" w:eastAsia="仿宋_GB2312" w:cs="Times New Roman"/>
                      <w:color w:val="auto"/>
                      <w:sz w:val="21"/>
                      <w:highlight w:val="none"/>
                    </w:rPr>
                    <w:t>纯水制备过程中产生浓水</w:t>
                  </w:r>
                </w:p>
              </w:tc>
              <w:tc>
                <w:tcPr>
                  <w:tcW w:w="607" w:type="pct"/>
                  <w:vMerge w:val="restart"/>
                  <w:vAlign w:val="center"/>
                </w:tcPr>
                <w:p w14:paraId="36B0FE4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none"/>
                      <w:lang w:val="en-US" w:eastAsia="zh-CN"/>
                    </w:rPr>
                  </w:pPr>
                  <w:r>
                    <w:rPr>
                      <w:rFonts w:hint="eastAsia" w:eastAsia="仿宋_GB2312" w:cs="Times New Roman"/>
                      <w:color w:val="auto"/>
                      <w:sz w:val="21"/>
                      <w:highlight w:val="none"/>
                      <w:lang w:val="en-US" w:eastAsia="zh-CN"/>
                    </w:rPr>
                    <w:t>425</w:t>
                  </w:r>
                </w:p>
              </w:tc>
              <w:tc>
                <w:tcPr>
                  <w:tcW w:w="575" w:type="pct"/>
                  <w:noWrap/>
                  <w:vAlign w:val="center"/>
                </w:tcPr>
                <w:p w14:paraId="3233721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none"/>
                    </w:rPr>
                  </w:pPr>
                  <w:r>
                    <w:rPr>
                      <w:rFonts w:hint="default" w:ascii="Times New Roman" w:hAnsi="Times New Roman" w:eastAsia="仿宋_GB2312" w:cs="Times New Roman"/>
                      <w:color w:val="auto"/>
                      <w:sz w:val="21"/>
                      <w:highlight w:val="none"/>
                    </w:rPr>
                    <w:t>COD</w:t>
                  </w:r>
                </w:p>
              </w:tc>
              <w:tc>
                <w:tcPr>
                  <w:tcW w:w="634" w:type="pct"/>
                  <w:noWrap/>
                  <w:vAlign w:val="center"/>
                </w:tcPr>
                <w:p w14:paraId="0733B45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highlight w:val="none"/>
                    </w:rPr>
                  </w:pPr>
                  <w:r>
                    <w:rPr>
                      <w:rFonts w:hint="default" w:ascii="Times New Roman" w:hAnsi="Times New Roman" w:eastAsia="仿宋_GB2312" w:cs="Times New Roman"/>
                      <w:color w:val="auto"/>
                      <w:sz w:val="21"/>
                      <w:highlight w:val="none"/>
                    </w:rPr>
                    <w:t>50</w:t>
                  </w:r>
                </w:p>
              </w:tc>
              <w:tc>
                <w:tcPr>
                  <w:tcW w:w="1254" w:type="dxa"/>
                  <w:noWrap/>
                  <w:vAlign w:val="bottom"/>
                </w:tcPr>
                <w:p w14:paraId="158F919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b w:val="0"/>
                      <w:bCs w:val="0"/>
                      <w:color w:val="auto"/>
                      <w:sz w:val="21"/>
                      <w:highlight w:val="none"/>
                    </w:rPr>
                  </w:pPr>
                  <w:r>
                    <w:rPr>
                      <w:rFonts w:hint="default" w:ascii="Times New Roman" w:hAnsi="Times New Roman" w:eastAsia="宋体" w:cs="Times New Roman"/>
                      <w:b w:val="0"/>
                      <w:bCs w:val="0"/>
                      <w:i w:val="0"/>
                      <w:iCs w:val="0"/>
                      <w:color w:val="auto"/>
                      <w:kern w:val="0"/>
                      <w:sz w:val="21"/>
                      <w:szCs w:val="21"/>
                      <w:u w:val="none"/>
                      <w:lang w:val="en-US" w:eastAsia="zh-CN" w:bidi="ar"/>
                    </w:rPr>
                    <w:t>0.021</w:t>
                  </w:r>
                </w:p>
              </w:tc>
              <w:tc>
                <w:tcPr>
                  <w:tcW w:w="1292" w:type="pct"/>
                  <w:vMerge w:val="continue"/>
                  <w:vAlign w:val="center"/>
                </w:tcPr>
                <w:p w14:paraId="50AA4F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25883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00CD159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323606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281C896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noWrap/>
                  <w:vAlign w:val="center"/>
                </w:tcPr>
                <w:p w14:paraId="57E57C5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634" w:type="pct"/>
                  <w:noWrap/>
                  <w:vAlign w:val="center"/>
                </w:tcPr>
                <w:p w14:paraId="47DD2E1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w:t>
                  </w:r>
                </w:p>
              </w:tc>
              <w:tc>
                <w:tcPr>
                  <w:tcW w:w="1254" w:type="dxa"/>
                  <w:noWrap/>
                  <w:vAlign w:val="bottom"/>
                </w:tcPr>
                <w:p w14:paraId="79B7F7F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b w:val="0"/>
                      <w:bCs w:val="0"/>
                      <w:color w:val="auto"/>
                      <w:sz w:val="21"/>
                    </w:rPr>
                  </w:pPr>
                  <w:r>
                    <w:rPr>
                      <w:rFonts w:hint="default" w:ascii="Times New Roman" w:hAnsi="Times New Roman" w:eastAsia="宋体" w:cs="Times New Roman"/>
                      <w:b w:val="0"/>
                      <w:bCs w:val="0"/>
                      <w:i w:val="0"/>
                      <w:iCs w:val="0"/>
                      <w:color w:val="auto"/>
                      <w:kern w:val="0"/>
                      <w:sz w:val="21"/>
                      <w:szCs w:val="21"/>
                      <w:u w:val="none"/>
                      <w:lang w:val="en-US" w:eastAsia="zh-CN" w:bidi="ar"/>
                    </w:rPr>
                    <w:t>0.021</w:t>
                  </w:r>
                </w:p>
              </w:tc>
              <w:tc>
                <w:tcPr>
                  <w:tcW w:w="1292" w:type="pct"/>
                  <w:vMerge w:val="continue"/>
                  <w:vAlign w:val="center"/>
                </w:tcPr>
                <w:p w14:paraId="7373D2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r w14:paraId="3263E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1" w:type="pct"/>
                  <w:vMerge w:val="continue"/>
                  <w:noWrap/>
                  <w:vAlign w:val="center"/>
                </w:tcPr>
                <w:p w14:paraId="4D4C774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94" w:type="pct"/>
                  <w:vMerge w:val="continue"/>
                  <w:vAlign w:val="center"/>
                </w:tcPr>
                <w:p w14:paraId="155FDA4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607" w:type="pct"/>
                  <w:vMerge w:val="continue"/>
                  <w:vAlign w:val="center"/>
                </w:tcPr>
                <w:p w14:paraId="6832AB7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575" w:type="pct"/>
                  <w:noWrap/>
                  <w:vAlign w:val="center"/>
                </w:tcPr>
                <w:p w14:paraId="7FE0CE0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634" w:type="pct"/>
                  <w:noWrap/>
                  <w:vAlign w:val="center"/>
                </w:tcPr>
                <w:p w14:paraId="3979F17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1000</w:t>
                  </w:r>
                </w:p>
              </w:tc>
              <w:tc>
                <w:tcPr>
                  <w:tcW w:w="1254" w:type="dxa"/>
                  <w:noWrap/>
                  <w:vAlign w:val="bottom"/>
                </w:tcPr>
                <w:p w14:paraId="40FCD29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b w:val="0"/>
                      <w:bCs w:val="0"/>
                      <w:color w:val="auto"/>
                      <w:sz w:val="21"/>
                    </w:rPr>
                  </w:pPr>
                  <w:r>
                    <w:rPr>
                      <w:rFonts w:hint="default" w:ascii="Times New Roman" w:hAnsi="Times New Roman" w:eastAsia="宋体" w:cs="Times New Roman"/>
                      <w:b w:val="0"/>
                      <w:bCs w:val="0"/>
                      <w:i w:val="0"/>
                      <w:iCs w:val="0"/>
                      <w:color w:val="auto"/>
                      <w:kern w:val="0"/>
                      <w:sz w:val="21"/>
                      <w:szCs w:val="21"/>
                      <w:u w:val="none"/>
                      <w:lang w:val="en-US" w:eastAsia="zh-CN" w:bidi="ar"/>
                    </w:rPr>
                    <w:t>0.425</w:t>
                  </w:r>
                </w:p>
              </w:tc>
              <w:tc>
                <w:tcPr>
                  <w:tcW w:w="1292" w:type="pct"/>
                  <w:vMerge w:val="continue"/>
                  <w:vAlign w:val="center"/>
                </w:tcPr>
                <w:p w14:paraId="1D24B4E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r>
          </w:tbl>
          <w:p w14:paraId="5F34CBD9">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default" w:eastAsia="仿宋_GB2312"/>
                <w:b/>
                <w:color w:val="auto"/>
                <w:sz w:val="22"/>
                <w:szCs w:val="22"/>
              </w:rPr>
              <w:t>表4-1</w:t>
            </w:r>
            <w:r>
              <w:rPr>
                <w:rFonts w:hint="eastAsia" w:eastAsia="仿宋_GB2312"/>
                <w:b/>
                <w:color w:val="auto"/>
                <w:sz w:val="22"/>
                <w:szCs w:val="22"/>
                <w:lang w:val="en-US" w:eastAsia="zh-CN"/>
              </w:rPr>
              <w:t>9</w:t>
            </w:r>
            <w:r>
              <w:rPr>
                <w:rFonts w:hint="default" w:eastAsia="仿宋_GB2312"/>
                <w:b/>
                <w:color w:val="auto"/>
                <w:sz w:val="22"/>
                <w:szCs w:val="22"/>
              </w:rPr>
              <w:t xml:space="preserve">  本项目废水污染物产生源强</w:t>
            </w:r>
            <w:r>
              <w:rPr>
                <w:rFonts w:hint="eastAsia" w:eastAsia="仿宋_GB2312"/>
                <w:b/>
                <w:color w:val="auto"/>
                <w:sz w:val="22"/>
                <w:szCs w:val="22"/>
                <w:lang w:eastAsia="zh-CN"/>
              </w:rPr>
              <w:t>汇总</w:t>
            </w:r>
            <w:r>
              <w:rPr>
                <w:rFonts w:hint="default" w:eastAsia="仿宋_GB2312"/>
                <w:b/>
                <w:color w:val="auto"/>
                <w:sz w:val="22"/>
                <w:szCs w:val="22"/>
              </w:rPr>
              <w:t>表</w:t>
            </w:r>
          </w:p>
          <w:tbl>
            <w:tblPr>
              <w:tblStyle w:val="87"/>
              <w:tblW w:w="43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760"/>
              <w:gridCol w:w="1817"/>
              <w:gridCol w:w="1828"/>
              <w:gridCol w:w="2173"/>
              <w:gridCol w:w="1457"/>
            </w:tblGrid>
            <w:tr w14:paraId="5386B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74" w:type="pct"/>
                  <w:vMerge w:val="restart"/>
                  <w:vAlign w:val="center"/>
                </w:tcPr>
                <w:p w14:paraId="1C1B998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废水量(m</w:t>
                  </w:r>
                  <w:r>
                    <w:rPr>
                      <w:rFonts w:hint="default" w:ascii="Times New Roman" w:hAnsi="Times New Roman" w:eastAsia="仿宋_GB2312" w:cs="Times New Roman"/>
                      <w:b/>
                      <w:bCs/>
                      <w:color w:val="auto"/>
                      <w:kern w:val="0"/>
                      <w:sz w:val="21"/>
                      <w:vertAlign w:val="superscript"/>
                    </w:rPr>
                    <w:t>3</w:t>
                  </w:r>
                  <w:r>
                    <w:rPr>
                      <w:rFonts w:hint="default" w:ascii="Times New Roman" w:hAnsi="Times New Roman" w:eastAsia="仿宋_GB2312" w:cs="Times New Roman"/>
                      <w:b/>
                      <w:bCs/>
                      <w:color w:val="auto"/>
                      <w:kern w:val="0"/>
                      <w:sz w:val="21"/>
                    </w:rPr>
                    <w:t>/a)</w:t>
                  </w:r>
                </w:p>
              </w:tc>
              <w:tc>
                <w:tcPr>
                  <w:tcW w:w="1005" w:type="pct"/>
                  <w:vMerge w:val="restart"/>
                  <w:vAlign w:val="center"/>
                </w:tcPr>
                <w:p w14:paraId="11DA939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污染物名称</w:t>
                  </w:r>
                </w:p>
              </w:tc>
              <w:tc>
                <w:tcPr>
                  <w:tcW w:w="2213" w:type="pct"/>
                  <w:gridSpan w:val="2"/>
                  <w:vAlign w:val="center"/>
                </w:tcPr>
                <w:p w14:paraId="739AB29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污染物产生情况</w:t>
                  </w:r>
                </w:p>
              </w:tc>
              <w:tc>
                <w:tcPr>
                  <w:tcW w:w="806" w:type="pct"/>
                  <w:vMerge w:val="restart"/>
                  <w:vAlign w:val="center"/>
                </w:tcPr>
                <w:p w14:paraId="55672E8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治理方式</w:t>
                  </w:r>
                </w:p>
              </w:tc>
            </w:tr>
            <w:tr w14:paraId="03BF1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74" w:type="pct"/>
                  <w:vMerge w:val="continue"/>
                  <w:vAlign w:val="center"/>
                </w:tcPr>
                <w:p w14:paraId="24B547B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1005" w:type="pct"/>
                  <w:vMerge w:val="continue"/>
                  <w:vAlign w:val="center"/>
                </w:tcPr>
                <w:p w14:paraId="77D052F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1011" w:type="pct"/>
                  <w:vAlign w:val="center"/>
                </w:tcPr>
                <w:p w14:paraId="5DDCEE1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浓度</w:t>
                  </w:r>
                  <w:r>
                    <w:rPr>
                      <w:rFonts w:hint="default" w:ascii="Times New Roman" w:hAnsi="Times New Roman" w:eastAsia="仿宋_GB2312" w:cs="Times New Roman"/>
                      <w:b/>
                      <w:bCs/>
                      <w:color w:val="auto"/>
                      <w:kern w:val="0"/>
                      <w:sz w:val="21"/>
                      <w:lang w:val="zh-CN"/>
                    </w:rPr>
                    <w:t>(mg/L)</w:t>
                  </w:r>
                </w:p>
              </w:tc>
              <w:tc>
                <w:tcPr>
                  <w:tcW w:w="1201" w:type="pct"/>
                  <w:vAlign w:val="center"/>
                </w:tcPr>
                <w:p w14:paraId="68A5E8B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产生量</w:t>
                  </w:r>
                  <w:r>
                    <w:rPr>
                      <w:rFonts w:hint="default" w:ascii="Times New Roman" w:hAnsi="Times New Roman" w:eastAsia="仿宋_GB2312" w:cs="Times New Roman"/>
                      <w:b/>
                      <w:bCs/>
                      <w:color w:val="auto"/>
                      <w:kern w:val="0"/>
                      <w:sz w:val="21"/>
                      <w:lang w:val="zh-CN"/>
                    </w:rPr>
                    <w:t>(t/a)</w:t>
                  </w:r>
                </w:p>
              </w:tc>
              <w:tc>
                <w:tcPr>
                  <w:tcW w:w="806" w:type="pct"/>
                  <w:vMerge w:val="continue"/>
                  <w:vAlign w:val="center"/>
                </w:tcPr>
                <w:p w14:paraId="26F2EDE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r>
            <w:tr w14:paraId="76490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74" w:type="pct"/>
                  <w:vMerge w:val="restart"/>
                  <w:vAlign w:val="center"/>
                </w:tcPr>
                <w:p w14:paraId="04898F1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sz w:val="21"/>
                      <w:lang w:val="en-US" w:eastAsia="zh-CN"/>
                    </w:rPr>
                    <w:t>867.33</w:t>
                  </w:r>
                </w:p>
              </w:tc>
              <w:tc>
                <w:tcPr>
                  <w:tcW w:w="1005" w:type="pct"/>
                  <w:noWrap/>
                  <w:vAlign w:val="center"/>
                </w:tcPr>
                <w:p w14:paraId="630B30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1828" w:type="dxa"/>
                  <w:noWrap/>
                  <w:vAlign w:val="center"/>
                </w:tcPr>
                <w:p w14:paraId="4DD89970">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1946.09</w:t>
                  </w:r>
                </w:p>
              </w:tc>
              <w:tc>
                <w:tcPr>
                  <w:tcW w:w="1201" w:type="pct"/>
                  <w:noWrap/>
                  <w:vAlign w:val="center"/>
                </w:tcPr>
                <w:p w14:paraId="55A11386">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sz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1.6879</w:t>
                  </w:r>
                </w:p>
              </w:tc>
              <w:tc>
                <w:tcPr>
                  <w:tcW w:w="806" w:type="pct"/>
                  <w:vMerge w:val="restart"/>
                  <w:vAlign w:val="center"/>
                </w:tcPr>
                <w:p w14:paraId="3290637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r>
                    <w:rPr>
                      <w:rFonts w:hint="default" w:ascii="Times New Roman" w:hAnsi="Times New Roman" w:eastAsia="仿宋_GB2312" w:cs="Times New Roman"/>
                      <w:color w:val="auto"/>
                      <w:sz w:val="21"/>
                    </w:rPr>
                    <w:t>预处理+生化处理+双效蒸发</w:t>
                  </w:r>
                </w:p>
              </w:tc>
            </w:tr>
            <w:tr w14:paraId="7DBFE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4" w:hRule="atLeast"/>
                <w:jc w:val="center"/>
              </w:trPr>
              <w:tc>
                <w:tcPr>
                  <w:tcW w:w="974" w:type="pct"/>
                  <w:vMerge w:val="continue"/>
                  <w:vAlign w:val="center"/>
                </w:tcPr>
                <w:p w14:paraId="1A5B60D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05" w:type="pct"/>
                  <w:noWrap/>
                  <w:vAlign w:val="center"/>
                </w:tcPr>
                <w:p w14:paraId="27A612A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1828" w:type="dxa"/>
                  <w:noWrap/>
                  <w:vAlign w:val="center"/>
                </w:tcPr>
                <w:p w14:paraId="53E2926A">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151.50</w:t>
                  </w:r>
                </w:p>
              </w:tc>
              <w:tc>
                <w:tcPr>
                  <w:tcW w:w="1201" w:type="pct"/>
                  <w:noWrap/>
                  <w:vAlign w:val="center"/>
                </w:tcPr>
                <w:p w14:paraId="5A162DF7">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sz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0.1314</w:t>
                  </w:r>
                </w:p>
              </w:tc>
              <w:tc>
                <w:tcPr>
                  <w:tcW w:w="806" w:type="pct"/>
                  <w:vMerge w:val="continue"/>
                  <w:vAlign w:val="center"/>
                </w:tcPr>
                <w:p w14:paraId="77C4933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3E431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74" w:type="pct"/>
                  <w:vMerge w:val="continue"/>
                  <w:vAlign w:val="center"/>
                </w:tcPr>
                <w:p w14:paraId="078152A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05" w:type="pct"/>
                  <w:noWrap/>
                  <w:vAlign w:val="center"/>
                </w:tcPr>
                <w:p w14:paraId="0C77589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1828" w:type="dxa"/>
                  <w:noWrap/>
                  <w:vAlign w:val="center"/>
                </w:tcPr>
                <w:p w14:paraId="333094AD">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82.44</w:t>
                  </w:r>
                </w:p>
              </w:tc>
              <w:tc>
                <w:tcPr>
                  <w:tcW w:w="1201" w:type="pct"/>
                  <w:noWrap/>
                  <w:vAlign w:val="center"/>
                </w:tcPr>
                <w:p w14:paraId="5D6B8EB8">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sz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0.0715</w:t>
                  </w:r>
                </w:p>
              </w:tc>
              <w:tc>
                <w:tcPr>
                  <w:tcW w:w="806" w:type="pct"/>
                  <w:vMerge w:val="continue"/>
                  <w:vAlign w:val="center"/>
                </w:tcPr>
                <w:p w14:paraId="0BA9A52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0DEFD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74" w:type="pct"/>
                  <w:vMerge w:val="continue"/>
                  <w:vAlign w:val="center"/>
                </w:tcPr>
                <w:p w14:paraId="71A979C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05" w:type="pct"/>
                  <w:noWrap/>
                  <w:vAlign w:val="center"/>
                </w:tcPr>
                <w:p w14:paraId="36E7965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sz w:val="21"/>
                    </w:rPr>
                    <w:t>TN</w:t>
                  </w:r>
                </w:p>
              </w:tc>
              <w:tc>
                <w:tcPr>
                  <w:tcW w:w="1828" w:type="dxa"/>
                  <w:noWrap/>
                  <w:vAlign w:val="center"/>
                </w:tcPr>
                <w:p w14:paraId="7097D3CA">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99.80</w:t>
                  </w:r>
                </w:p>
              </w:tc>
              <w:tc>
                <w:tcPr>
                  <w:tcW w:w="1201" w:type="pct"/>
                  <w:noWrap/>
                  <w:vAlign w:val="center"/>
                </w:tcPr>
                <w:p w14:paraId="55755EEE">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sz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0.08656</w:t>
                  </w:r>
                </w:p>
              </w:tc>
              <w:tc>
                <w:tcPr>
                  <w:tcW w:w="806" w:type="pct"/>
                  <w:vMerge w:val="continue"/>
                  <w:vAlign w:val="center"/>
                </w:tcPr>
                <w:p w14:paraId="13B171D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6F20C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74" w:type="pct"/>
                  <w:vMerge w:val="continue"/>
                  <w:vAlign w:val="center"/>
                </w:tcPr>
                <w:p w14:paraId="60C830D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1005" w:type="pct"/>
                  <w:noWrap/>
                  <w:vAlign w:val="center"/>
                </w:tcPr>
                <w:p w14:paraId="4A337E2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sz w:val="21"/>
                    </w:rPr>
                    <w:t>TP</w:t>
                  </w:r>
                </w:p>
              </w:tc>
              <w:tc>
                <w:tcPr>
                  <w:tcW w:w="1828" w:type="dxa"/>
                  <w:noWrap/>
                  <w:vAlign w:val="center"/>
                </w:tcPr>
                <w:p w14:paraId="0309EBB4">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139.10</w:t>
                  </w:r>
                </w:p>
              </w:tc>
              <w:tc>
                <w:tcPr>
                  <w:tcW w:w="1201" w:type="pct"/>
                  <w:noWrap/>
                  <w:vAlign w:val="center"/>
                </w:tcPr>
                <w:p w14:paraId="36235FB0">
                  <w:pPr>
                    <w:keepNext w:val="0"/>
                    <w:keepLines w:val="0"/>
                    <w:widowControl/>
                    <w:suppressLineNumbers w:val="0"/>
                    <w:spacing w:before="0" w:beforeAutospacing="0" w:after="0" w:afterAutospacing="0"/>
                    <w:ind w:left="0" w:right="0"/>
                    <w:jc w:val="center"/>
                    <w:textAlignment w:val="center"/>
                    <w:rPr>
                      <w:rFonts w:hint="default" w:eastAsia="仿宋_GB2312" w:cs="Times New Roman"/>
                      <w:color w:val="auto"/>
                      <w:sz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0.120644</w:t>
                  </w:r>
                </w:p>
              </w:tc>
              <w:tc>
                <w:tcPr>
                  <w:tcW w:w="806" w:type="pct"/>
                  <w:vMerge w:val="continue"/>
                  <w:vAlign w:val="center"/>
                </w:tcPr>
                <w:p w14:paraId="74B143F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17351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74" w:type="pct"/>
                  <w:vMerge w:val="continue"/>
                  <w:vAlign w:val="center"/>
                </w:tcPr>
                <w:p w14:paraId="2E3BA45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c>
                <w:tcPr>
                  <w:tcW w:w="1005" w:type="pct"/>
                  <w:noWrap/>
                  <w:vAlign w:val="center"/>
                </w:tcPr>
                <w:p w14:paraId="2C5E52B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lang w:val="zh-CN"/>
                    </w:rPr>
                  </w:pPr>
                  <w:r>
                    <w:rPr>
                      <w:rFonts w:hint="default" w:ascii="Times New Roman" w:hAnsi="Times New Roman" w:eastAsia="仿宋_GB2312" w:cs="Times New Roman"/>
                      <w:color w:val="auto"/>
                      <w:sz w:val="21"/>
                      <w:highlight w:val="none"/>
                    </w:rPr>
                    <w:t>盐分</w:t>
                  </w:r>
                </w:p>
              </w:tc>
              <w:tc>
                <w:tcPr>
                  <w:tcW w:w="1828" w:type="dxa"/>
                  <w:noWrap/>
                  <w:vAlign w:val="center"/>
                </w:tcPr>
                <w:p w14:paraId="3B37F7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5727.92</w:t>
                  </w:r>
                </w:p>
              </w:tc>
              <w:tc>
                <w:tcPr>
                  <w:tcW w:w="1201" w:type="pct"/>
                  <w:noWrap/>
                  <w:vAlign w:val="center"/>
                </w:tcPr>
                <w:p w14:paraId="3AAF86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4.968</w:t>
                  </w:r>
                </w:p>
              </w:tc>
              <w:tc>
                <w:tcPr>
                  <w:tcW w:w="806" w:type="pct"/>
                  <w:vMerge w:val="continue"/>
                  <w:vAlign w:val="center"/>
                </w:tcPr>
                <w:p w14:paraId="57DAA9E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bl>
          <w:p w14:paraId="459784DD">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2、废水治理措施</w:t>
            </w:r>
          </w:p>
          <w:p w14:paraId="113C529C">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厂区排水系统按照“清污分流、雨污分流”的原则设计。一为雨水系统，本项目不涉及初期雨水，雨水排水排入</w:t>
            </w:r>
            <w:r>
              <w:rPr>
                <w:rFonts w:hint="eastAsia" w:eastAsia="仿宋_GB2312"/>
                <w:color w:val="auto"/>
                <w:sz w:val="24"/>
                <w:lang w:eastAsia="zh-CN"/>
              </w:rPr>
              <w:t>出租方</w:t>
            </w:r>
            <w:r>
              <w:rPr>
                <w:rFonts w:hint="default" w:eastAsia="仿宋_GB2312"/>
                <w:color w:val="auto"/>
                <w:sz w:val="24"/>
              </w:rPr>
              <w:t>雨水管网。二为污水系统，本项目生活污水经化粪池处理后和纯水制备过程中产生浓水达标接管至常州金坛第二污水处理有限公司处理。</w:t>
            </w:r>
          </w:p>
          <w:p w14:paraId="0C4A2A71">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本项目工艺废水、设备清洗废水、地面清洁废水、洗衣废水、循环冷却系统排水、废气喷淋废水、质检区废水经污水站处理后回用至循环冷却水系统。</w:t>
            </w:r>
          </w:p>
          <w:p w14:paraId="65E5F43B">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3、接管可行性分析</w:t>
            </w:r>
          </w:p>
          <w:p w14:paraId="0B4B1D51">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bCs/>
                <w:color w:val="auto"/>
                <w:sz w:val="24"/>
              </w:rPr>
            </w:pPr>
            <w:r>
              <w:rPr>
                <w:rFonts w:hint="default" w:eastAsia="仿宋_GB2312"/>
                <w:b/>
                <w:bCs/>
                <w:color w:val="auto"/>
                <w:sz w:val="24"/>
              </w:rPr>
              <w:t>①常州金坛区第二污水处理有限公司</w:t>
            </w:r>
          </w:p>
          <w:p w14:paraId="48EBFB46">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（1）污水厂概况</w:t>
            </w:r>
          </w:p>
          <w:p w14:paraId="3FCF8F23">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常州金坛区第二污水处理有限公司位于常州市金坛区良常东路9号，主要收集服务区域内的工业废水和生活污水，尾水达到《城镇污水处理厂污染物排放标准》（GB18918-2002）中一级A标准及《太湖地区城镇污水处理厂及重点工业行业主要水污染物排放限值》（DB32/1072-2018）表2标准后排入尧塘河。出水水质达到再生水标准，考虑污水再生利用，确定回用水量占污水厂总处理水量的30%以上。回用的中水作为金坛经济开发区工业企业冲洗系统补充水、间接冷却水，开发区内企业及市政道路的绿化灌溉用水、道路浇洒用水等。随着工业园内的企业的引入和发展，若园内企业的用水需求增多，可增加再生水的利用量。</w:t>
            </w:r>
          </w:p>
          <w:p w14:paraId="7E22C0EF">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常州金坛区第二污水处理有限公司主要收集服务区域内的工业废水和生活污水、尧塘镇工业园区企业、开发区河头部分企业工业废水及尧塘、汤庄、水北集镇镇区居民生活污水。本项目所在地属于该污水处理厂的服务范围内。</w:t>
            </w:r>
          </w:p>
          <w:p w14:paraId="52A24993">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（2）接管水质、水量可行性分析</w:t>
            </w:r>
          </w:p>
          <w:p w14:paraId="20330165">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①水量方面</w:t>
            </w:r>
          </w:p>
          <w:p w14:paraId="63DD31CF">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目前，常州金坛区第二污水处理有限公司废水处理能力为6万t/d，现有企业污水实际处理量达到5.4万t/d，尚有0.6万t/d余量，目前运行良好。目前污水管网已经铺设至项目南侧的环园路。远期规划规模16万立方米/日。本项目建成后，接管废水总量约为5m</w:t>
            </w:r>
            <w:r>
              <w:rPr>
                <w:rFonts w:hint="default" w:eastAsia="仿宋_GB2312"/>
                <w:color w:val="auto"/>
                <w:sz w:val="24"/>
                <w:vertAlign w:val="superscript"/>
              </w:rPr>
              <w:t>3</w:t>
            </w:r>
            <w:r>
              <w:rPr>
                <w:rFonts w:hint="default" w:eastAsia="仿宋_GB2312"/>
                <w:color w:val="auto"/>
                <w:sz w:val="24"/>
              </w:rPr>
              <w:t>/d，本项目实施后，常州金坛区第二污水处理有限公司完全有能力接纳本项目废水。因此，从处理规模上，本项目废水接入常州金坛区第二污水处理有限公司是可行的。</w:t>
            </w:r>
          </w:p>
          <w:p w14:paraId="37DB405E">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②水质方面</w:t>
            </w:r>
          </w:p>
          <w:p w14:paraId="47E8B43C">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本项目仅生活污水经化粪池处理后和纯水制备过程中产生浓水接管至金坛区第二污水处理有限公司，水质简单，能够满足金坛区第二污水处理有限公司水质接管要求。</w:t>
            </w:r>
          </w:p>
          <w:p w14:paraId="0693F85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综上，本项目生活污水</w:t>
            </w:r>
            <w:r>
              <w:rPr>
                <w:rFonts w:hint="eastAsia" w:eastAsia="仿宋_GB2312"/>
                <w:color w:val="auto"/>
                <w:kern w:val="0"/>
                <w:sz w:val="24"/>
                <w:lang w:eastAsia="zh-CN"/>
              </w:rPr>
              <w:t>经化粪池处理后</w:t>
            </w:r>
            <w:r>
              <w:rPr>
                <w:rFonts w:hint="default" w:eastAsia="仿宋_GB2312"/>
                <w:color w:val="auto"/>
                <w:sz w:val="24"/>
              </w:rPr>
              <w:t>和纯水制备过程中产生浓水接管至金坛区第二污水处理有限公司集中处理是可行的。</w:t>
            </w:r>
          </w:p>
          <w:p w14:paraId="7129FDB9">
            <w:pPr>
              <w:keepNext w:val="0"/>
              <w:keepLines w:val="0"/>
              <w:suppressLineNumbers w:val="0"/>
              <w:adjustRightInd w:val="0"/>
              <w:snapToGrid w:val="0"/>
              <w:spacing w:before="0" w:beforeAutospacing="0" w:after="0" w:afterAutospacing="0" w:line="500" w:lineRule="exact"/>
              <w:ind w:left="0" w:right="0" w:firstLine="482" w:firstLineChars="200"/>
              <w:rPr>
                <w:rFonts w:hint="eastAsia" w:eastAsia="仿宋_GB2312"/>
                <w:b/>
                <w:bCs/>
                <w:color w:val="auto"/>
                <w:sz w:val="24"/>
                <w:lang w:val="en-US" w:eastAsia="zh-CN"/>
              </w:rPr>
            </w:pPr>
            <w:r>
              <w:rPr>
                <w:rFonts w:hint="eastAsia" w:eastAsia="仿宋_GB2312"/>
                <w:b/>
                <w:bCs/>
                <w:color w:val="auto"/>
                <w:sz w:val="24"/>
                <w:lang w:val="en-US" w:eastAsia="zh-CN"/>
              </w:rPr>
              <w:t>4、废水回用可行性分析</w:t>
            </w:r>
          </w:p>
          <w:p w14:paraId="0860D734">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b/>
                <w:bCs/>
                <w:color w:val="auto"/>
                <w:sz w:val="24"/>
              </w:rPr>
            </w:pPr>
            <w:r>
              <w:rPr>
                <w:rFonts w:hint="eastAsia" w:eastAsia="仿宋_GB2312"/>
                <w:color w:val="auto"/>
                <w:sz w:val="24"/>
              </w:rPr>
              <w:t>根据《工业循环冷却水零排污技术规范》（GB/T 44325-2024）文件要要求，本项目生产</w:t>
            </w:r>
            <w:r>
              <w:rPr>
                <w:rFonts w:hint="eastAsia" w:ascii="仿宋_GB2312" w:hAnsi="仿宋_GB2312" w:eastAsia="仿宋_GB2312"/>
                <w:color w:val="auto"/>
                <w:sz w:val="24"/>
                <w:szCs w:val="24"/>
                <w:lang w:val="en-US"/>
              </w:rPr>
              <w:t>食品用原料</w:t>
            </w:r>
            <w:r>
              <w:rPr>
                <w:rFonts w:hint="default" w:ascii="Times New Roman" w:hAnsi="Times New Roman" w:eastAsia="Times New Roman"/>
                <w:color w:val="auto"/>
                <w:sz w:val="24"/>
                <w:szCs w:val="24"/>
                <w:lang w:val="en-US"/>
              </w:rPr>
              <w:t>γ</w:t>
            </w:r>
            <w:r>
              <w:rPr>
                <w:rFonts w:hint="eastAsia" w:ascii="Times New Roman" w:hAnsi="Times New Roman" w:eastAsia="宋体"/>
                <w:color w:val="auto"/>
                <w:sz w:val="24"/>
                <w:szCs w:val="24"/>
                <w:lang w:val="en-US" w:eastAsia="zh-CN"/>
              </w:rPr>
              <w:t>-</w:t>
            </w:r>
            <w:r>
              <w:rPr>
                <w:rFonts w:hint="eastAsia" w:ascii="仿宋_GB2312" w:hAnsi="仿宋_GB2312" w:eastAsia="仿宋_GB2312"/>
                <w:color w:val="auto"/>
                <w:sz w:val="24"/>
                <w:szCs w:val="24"/>
                <w:lang w:val="en-US"/>
              </w:rPr>
              <w:t>氨基丁酸</w:t>
            </w:r>
            <w:r>
              <w:rPr>
                <w:rFonts w:hint="eastAsia" w:eastAsia="仿宋_GB2312"/>
                <w:color w:val="auto"/>
                <w:sz w:val="24"/>
              </w:rPr>
              <w:t>、保健食品粉二氢槲皮素产生的</w:t>
            </w:r>
            <w:r>
              <w:rPr>
                <w:rFonts w:hint="eastAsia" w:eastAsia="仿宋_GB2312"/>
                <w:color w:val="auto"/>
                <w:sz w:val="24"/>
                <w:lang w:eastAsia="zh-CN"/>
              </w:rPr>
              <w:t>离心废水、结晶废水、</w:t>
            </w:r>
            <w:r>
              <w:rPr>
                <w:rFonts w:hint="eastAsia" w:eastAsia="仿宋_GB2312"/>
                <w:color w:val="auto"/>
                <w:sz w:val="24"/>
                <w:highlight w:val="none"/>
              </w:rPr>
              <w:t>超滤废水、纳滤废液、脱色树脂再生废水、层析树脂再生废水、旋蒸废水、</w:t>
            </w:r>
            <w:r>
              <w:rPr>
                <w:rFonts w:hint="eastAsia" w:eastAsia="仿宋_GB2312"/>
                <w:color w:val="auto"/>
                <w:sz w:val="24"/>
              </w:rPr>
              <w:t>设备清洗废水、地面清洁废水、洗衣废水、循环冷却系统排水、废气喷淋废水和质检区废水进污水站处理后回用作循环冷却系统补水，不外排。</w:t>
            </w:r>
          </w:p>
          <w:p w14:paraId="34B020ED">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b/>
                <w:bCs/>
                <w:color w:val="auto"/>
                <w:sz w:val="24"/>
                <w:lang w:eastAsia="zh-CN"/>
              </w:rPr>
            </w:pPr>
            <w:r>
              <w:rPr>
                <w:rFonts w:hint="eastAsia" w:ascii="微软雅黑" w:hAnsi="微软雅黑" w:eastAsia="微软雅黑" w:cs="微软雅黑"/>
                <w:b/>
                <w:bCs/>
                <w:color w:val="auto"/>
                <w:sz w:val="24"/>
                <w:lang w:eastAsia="zh-CN"/>
              </w:rPr>
              <w:t>①</w:t>
            </w:r>
            <w:r>
              <w:rPr>
                <w:rFonts w:hint="eastAsia" w:eastAsia="仿宋_GB2312"/>
                <w:b/>
                <w:bCs/>
                <w:color w:val="auto"/>
                <w:sz w:val="24"/>
                <w:lang w:eastAsia="zh-CN"/>
              </w:rPr>
              <w:t>污水站工艺流程</w:t>
            </w:r>
          </w:p>
          <w:p w14:paraId="446AAC64">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本项目生产过程产生的废水中不存在生物活性成分，无需灭活。</w:t>
            </w:r>
          </w:p>
          <w:p w14:paraId="5ED7AEB1">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本项目配置</w:t>
            </w:r>
            <w:r>
              <w:rPr>
                <w:rFonts w:hint="default" w:eastAsia="仿宋_GB2312"/>
                <w:color w:val="auto"/>
                <w:sz w:val="24"/>
              </w:rPr>
              <w:t>1座污水处理站，</w:t>
            </w:r>
            <w:r>
              <w:rPr>
                <w:rFonts w:hint="eastAsia" w:eastAsia="仿宋_GB2312"/>
                <w:color w:val="auto"/>
                <w:sz w:val="24"/>
              </w:rPr>
              <w:t>污水处理站</w:t>
            </w:r>
            <w:r>
              <w:rPr>
                <w:rFonts w:hint="default" w:eastAsia="仿宋_GB2312"/>
                <w:color w:val="auto"/>
                <w:sz w:val="24"/>
              </w:rPr>
              <w:t>污水处理工艺流程如下图所示</w:t>
            </w:r>
            <w:r>
              <w:rPr>
                <w:rFonts w:hint="eastAsia" w:eastAsia="仿宋_GB2312"/>
                <w:color w:val="auto"/>
                <w:sz w:val="24"/>
              </w:rPr>
              <w:t>。</w:t>
            </w:r>
          </w:p>
          <w:p w14:paraId="51362E91">
            <w:pPr>
              <w:pStyle w:val="2"/>
              <w:keepNext w:val="0"/>
              <w:keepLines w:val="0"/>
              <w:suppressLineNumbers w:val="0"/>
              <w:spacing w:beforeAutospacing="0" w:afterAutospacing="0"/>
              <w:ind w:left="0"/>
              <w:rPr>
                <w:rFonts w:hint="eastAsia" w:eastAsia="仿宋_GB2312"/>
                <w:color w:val="auto"/>
                <w:sz w:val="24"/>
              </w:rPr>
            </w:pPr>
          </w:p>
          <w:p w14:paraId="7A6129A2">
            <w:pPr>
              <w:keepNext w:val="0"/>
              <w:keepLines w:val="0"/>
              <w:widowControl w:val="0"/>
              <w:suppressLineNumbers w:val="0"/>
              <w:spacing w:before="0" w:beforeAutospacing="0" w:after="0" w:afterAutospacing="0" w:line="240" w:lineRule="auto"/>
              <w:ind w:left="0" w:right="0"/>
              <w:jc w:val="center"/>
              <w:rPr>
                <w:rFonts w:hint="default"/>
                <w:color w:val="auto"/>
              </w:rPr>
            </w:pPr>
            <w:r>
              <w:rPr>
                <w:rFonts w:hint="default"/>
                <w:color w:val="auto"/>
              </w:rPr>
              <w:object>
                <v:shape id="_x0000_i1037" o:spt="75" type="#_x0000_t75" style="height:473.55pt;width:426.3pt;" o:ole="t" filled="f" o:preferrelative="t" stroked="f" coordsize="21600,21600">
                  <v:path/>
                  <v:fill on="f" focussize="0,0"/>
                  <v:stroke on="f"/>
                  <v:imagedata r:id="rId44" o:title=""/>
                  <o:lock v:ext="edit" aspectratio="t"/>
                  <w10:wrap type="none"/>
                  <w10:anchorlock/>
                </v:shape>
                <o:OLEObject Type="Embed" ProgID="Visio.Drawing.15" ShapeID="_x0000_i1037" DrawAspect="Content" ObjectID="_1468075737" r:id="rId43">
                  <o:LockedField>false</o:LockedField>
                </o:OLEObject>
              </w:object>
            </w:r>
          </w:p>
          <w:p w14:paraId="1C9BB5CC">
            <w:pPr>
              <w:keepNext w:val="0"/>
              <w:keepLines w:val="0"/>
              <w:suppressLineNumbers w:val="0"/>
              <w:adjustRightInd w:val="0"/>
              <w:snapToGrid w:val="0"/>
              <w:spacing w:before="0" w:beforeAutospacing="0" w:after="0" w:afterAutospacing="0" w:line="500" w:lineRule="exact"/>
              <w:ind w:left="0" w:right="0"/>
              <w:jc w:val="center"/>
              <w:rPr>
                <w:rFonts w:hint="default" w:eastAsia="仿宋_GB2312"/>
                <w:b/>
                <w:color w:val="auto"/>
                <w:sz w:val="22"/>
                <w:szCs w:val="22"/>
              </w:rPr>
            </w:pPr>
            <w:r>
              <w:rPr>
                <w:rFonts w:hint="eastAsia" w:eastAsia="仿宋_GB2312"/>
                <w:b/>
                <w:color w:val="auto"/>
                <w:sz w:val="22"/>
                <w:szCs w:val="22"/>
              </w:rPr>
              <w:t>图</w:t>
            </w:r>
            <w:r>
              <w:rPr>
                <w:rFonts w:hint="eastAsia" w:eastAsia="仿宋_GB2312"/>
                <w:b/>
                <w:color w:val="auto"/>
                <w:sz w:val="22"/>
                <w:szCs w:val="22"/>
                <w:lang w:val="en-US" w:eastAsia="zh-CN"/>
              </w:rPr>
              <w:t>4-2</w:t>
            </w:r>
            <w:r>
              <w:rPr>
                <w:rFonts w:hint="default" w:eastAsia="仿宋_GB2312"/>
                <w:b/>
                <w:color w:val="auto"/>
                <w:sz w:val="22"/>
                <w:szCs w:val="22"/>
              </w:rPr>
              <w:t xml:space="preserve">  </w:t>
            </w:r>
            <w:r>
              <w:rPr>
                <w:rFonts w:hint="eastAsia" w:eastAsia="仿宋_GB2312"/>
                <w:b/>
                <w:color w:val="auto"/>
                <w:sz w:val="22"/>
                <w:szCs w:val="22"/>
              </w:rPr>
              <w:t>污水站处理</w:t>
            </w:r>
            <w:r>
              <w:rPr>
                <w:rFonts w:hint="default" w:eastAsia="仿宋_GB2312"/>
                <w:b/>
                <w:color w:val="auto"/>
                <w:sz w:val="22"/>
                <w:szCs w:val="22"/>
              </w:rPr>
              <w:t>工艺流程图</w:t>
            </w:r>
          </w:p>
          <w:p w14:paraId="4E8E9E2B">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工艺流程</w:t>
            </w:r>
            <w:r>
              <w:rPr>
                <w:rFonts w:hint="eastAsia" w:eastAsia="仿宋_GB2312"/>
                <w:color w:val="auto"/>
                <w:sz w:val="24"/>
              </w:rPr>
              <w:t>描</w:t>
            </w:r>
            <w:r>
              <w:rPr>
                <w:rFonts w:hint="default" w:eastAsia="仿宋_GB2312"/>
                <w:color w:val="auto"/>
                <w:sz w:val="24"/>
              </w:rPr>
              <w:t>述：</w:t>
            </w:r>
          </w:p>
          <w:p w14:paraId="3FD867D7">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项目处理采用“预处理+生化处理+深度处理”工艺。</w:t>
            </w:r>
          </w:p>
          <w:p w14:paraId="3973EF4C">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（1）预处理</w:t>
            </w:r>
          </w:p>
          <w:p w14:paraId="72F4341F">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fldChar w:fldCharType="begin"/>
            </w:r>
            <w:r>
              <w:rPr>
                <w:rFonts w:hint="default" w:eastAsia="仿宋_GB2312"/>
                <w:color w:val="auto"/>
                <w:sz w:val="24"/>
              </w:rPr>
              <w:instrText xml:space="preserve"> </w:instrText>
            </w:r>
            <w:r>
              <w:rPr>
                <w:rFonts w:hint="eastAsia" w:eastAsia="仿宋_GB2312"/>
                <w:color w:val="auto"/>
                <w:sz w:val="24"/>
              </w:rPr>
              <w:instrText xml:space="preserve">= 1 \* GB3</w:instrText>
            </w:r>
            <w:r>
              <w:rPr>
                <w:rFonts w:hint="default" w:eastAsia="仿宋_GB2312"/>
                <w:color w:val="auto"/>
                <w:sz w:val="24"/>
              </w:rPr>
              <w:instrText xml:space="preserve"> </w:instrText>
            </w:r>
            <w:r>
              <w:rPr>
                <w:rFonts w:hint="default" w:eastAsia="仿宋_GB2312"/>
                <w:color w:val="auto"/>
                <w:sz w:val="24"/>
              </w:rPr>
              <w:fldChar w:fldCharType="separate"/>
            </w:r>
            <w:r>
              <w:rPr>
                <w:rFonts w:hint="eastAsia" w:eastAsia="仿宋_GB2312"/>
                <w:color w:val="auto"/>
                <w:sz w:val="24"/>
              </w:rPr>
              <w:t>①</w:t>
            </w:r>
            <w:r>
              <w:rPr>
                <w:rFonts w:hint="default" w:eastAsia="仿宋_GB2312"/>
                <w:color w:val="auto"/>
                <w:sz w:val="24"/>
              </w:rPr>
              <w:fldChar w:fldCharType="end"/>
            </w:r>
            <w:r>
              <w:rPr>
                <w:rFonts w:hint="default" w:eastAsia="仿宋_GB2312"/>
                <w:color w:val="auto"/>
                <w:sz w:val="24"/>
                <w:lang w:val="en-US"/>
              </w:rPr>
              <w:t>食品用原料（γ-氨基丁酸），保健食品粉（二氢槲皮素）</w:t>
            </w:r>
            <w:r>
              <w:rPr>
                <w:rFonts w:hint="eastAsia" w:eastAsia="仿宋_GB2312"/>
                <w:color w:val="auto"/>
                <w:sz w:val="24"/>
              </w:rPr>
              <w:t>产生的</w:t>
            </w:r>
            <w:r>
              <w:rPr>
                <w:rFonts w:hint="eastAsia" w:eastAsia="仿宋_GB2312"/>
                <w:color w:val="auto"/>
                <w:sz w:val="24"/>
                <w:lang w:eastAsia="zh-CN"/>
              </w:rPr>
              <w:t>离心废水、结晶废水、</w:t>
            </w:r>
            <w:r>
              <w:rPr>
                <w:rFonts w:hint="eastAsia" w:eastAsia="仿宋_GB2312"/>
                <w:color w:val="auto"/>
                <w:sz w:val="24"/>
              </w:rPr>
              <w:t>超滤废水、纳滤废液、脱色树脂再生废水、层析树脂再生废水、旋蒸废水，设备清洗废水，地面清洁废水，洗衣废水，循环冷却系统排水，废气喷淋废水，质检区废水通过管道输送到收集废水收集</w:t>
            </w:r>
            <w:r>
              <w:rPr>
                <w:rFonts w:hint="default" w:eastAsia="仿宋_GB2312"/>
                <w:color w:val="auto"/>
                <w:sz w:val="24"/>
              </w:rPr>
              <w:t>池内，</w:t>
            </w:r>
            <w:r>
              <w:rPr>
                <w:rFonts w:hint="eastAsia" w:eastAsia="仿宋_GB2312"/>
                <w:color w:val="auto"/>
                <w:sz w:val="24"/>
              </w:rPr>
              <w:t>桶内设有曝气搅拌装置，所有生产废水一并均衡水量水质。</w:t>
            </w:r>
          </w:p>
          <w:p w14:paraId="6847F241">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fldChar w:fldCharType="begin"/>
            </w:r>
            <w:r>
              <w:rPr>
                <w:rFonts w:hint="default" w:eastAsia="仿宋_GB2312"/>
                <w:color w:val="auto"/>
                <w:sz w:val="24"/>
              </w:rPr>
              <w:instrText xml:space="preserve"> </w:instrText>
            </w:r>
            <w:r>
              <w:rPr>
                <w:rFonts w:hint="eastAsia" w:eastAsia="仿宋_GB2312"/>
                <w:color w:val="auto"/>
                <w:sz w:val="24"/>
              </w:rPr>
              <w:instrText xml:space="preserve">= 2 \* GB3</w:instrText>
            </w:r>
            <w:r>
              <w:rPr>
                <w:rFonts w:hint="default" w:eastAsia="仿宋_GB2312"/>
                <w:color w:val="auto"/>
                <w:sz w:val="24"/>
              </w:rPr>
              <w:instrText xml:space="preserve"> </w:instrText>
            </w:r>
            <w:r>
              <w:rPr>
                <w:rFonts w:hint="default" w:eastAsia="仿宋_GB2312"/>
                <w:color w:val="auto"/>
                <w:sz w:val="24"/>
              </w:rPr>
              <w:fldChar w:fldCharType="separate"/>
            </w:r>
            <w:r>
              <w:rPr>
                <w:rFonts w:hint="eastAsia" w:eastAsia="仿宋_GB2312"/>
                <w:color w:val="auto"/>
                <w:sz w:val="24"/>
              </w:rPr>
              <w:t>②</w:t>
            </w:r>
            <w:r>
              <w:rPr>
                <w:rFonts w:hint="default" w:eastAsia="仿宋_GB2312"/>
                <w:color w:val="auto"/>
                <w:sz w:val="24"/>
              </w:rPr>
              <w:fldChar w:fldCharType="end"/>
            </w:r>
            <w:r>
              <w:rPr>
                <w:rFonts w:hint="eastAsia" w:eastAsia="仿宋_GB2312"/>
                <w:color w:val="auto"/>
                <w:sz w:val="24"/>
              </w:rPr>
              <w:t>气浮</w:t>
            </w:r>
          </w:p>
          <w:p w14:paraId="09EF47C0">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混匀</w:t>
            </w:r>
            <w:r>
              <w:rPr>
                <w:rFonts w:hint="default" w:eastAsia="仿宋_GB2312"/>
                <w:color w:val="auto"/>
                <w:sz w:val="24"/>
              </w:rPr>
              <w:t>后的</w:t>
            </w:r>
            <w:r>
              <w:rPr>
                <w:rFonts w:hint="eastAsia" w:eastAsia="仿宋_GB2312"/>
                <w:color w:val="auto"/>
                <w:sz w:val="24"/>
              </w:rPr>
              <w:t>废</w:t>
            </w:r>
            <w:r>
              <w:rPr>
                <w:rFonts w:hint="default" w:eastAsia="仿宋_GB2312"/>
                <w:color w:val="auto"/>
                <w:sz w:val="24"/>
              </w:rPr>
              <w:t>水</w:t>
            </w:r>
            <w:r>
              <w:rPr>
                <w:rFonts w:hint="eastAsia" w:eastAsia="仿宋_GB2312"/>
                <w:color w:val="auto"/>
                <w:sz w:val="24"/>
              </w:rPr>
              <w:t>通过计量泵</w:t>
            </w:r>
            <w:r>
              <w:rPr>
                <w:rFonts w:hint="default" w:eastAsia="仿宋_GB2312"/>
                <w:color w:val="auto"/>
                <w:sz w:val="24"/>
              </w:rPr>
              <w:t>进入</w:t>
            </w:r>
            <w:r>
              <w:rPr>
                <w:rFonts w:hint="eastAsia" w:eastAsia="仿宋_GB2312"/>
                <w:color w:val="auto"/>
                <w:sz w:val="24"/>
              </w:rPr>
              <w:t>气浮池</w:t>
            </w:r>
            <w:r>
              <w:rPr>
                <w:rFonts w:hint="default" w:eastAsia="仿宋_GB2312"/>
                <w:color w:val="auto"/>
                <w:sz w:val="24"/>
              </w:rPr>
              <w:t>，</w:t>
            </w:r>
            <w:r>
              <w:rPr>
                <w:rFonts w:hint="eastAsia" w:eastAsia="仿宋_GB2312"/>
                <w:color w:val="auto"/>
                <w:sz w:val="24"/>
              </w:rPr>
              <w:t>气浮池配置pH自控仪，机械搅拌下自动加碱调节废水pH值，并通过加混凝剂与絮凝剂将废水中的悬浮物絮凝沉淀进行固液分离，上清液进入中间池，底部污泥排入污泥浓缩池。</w:t>
            </w:r>
          </w:p>
          <w:p w14:paraId="10A93D4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（2）生化处理系统</w:t>
            </w:r>
          </w:p>
          <w:p w14:paraId="5C3900DA">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fldChar w:fldCharType="begin"/>
            </w:r>
            <w:r>
              <w:rPr>
                <w:rFonts w:hint="default" w:eastAsia="仿宋_GB2312"/>
                <w:color w:val="auto"/>
                <w:sz w:val="24"/>
              </w:rPr>
              <w:instrText xml:space="preserve"> </w:instrText>
            </w:r>
            <w:r>
              <w:rPr>
                <w:rFonts w:hint="eastAsia" w:eastAsia="仿宋_GB2312"/>
                <w:color w:val="auto"/>
                <w:sz w:val="24"/>
              </w:rPr>
              <w:instrText xml:space="preserve">= 1 \* GB3</w:instrText>
            </w:r>
            <w:r>
              <w:rPr>
                <w:rFonts w:hint="default" w:eastAsia="仿宋_GB2312"/>
                <w:color w:val="auto"/>
                <w:sz w:val="24"/>
              </w:rPr>
              <w:instrText xml:space="preserve"> </w:instrText>
            </w:r>
            <w:r>
              <w:rPr>
                <w:rFonts w:hint="default" w:eastAsia="仿宋_GB2312"/>
                <w:color w:val="auto"/>
                <w:sz w:val="24"/>
              </w:rPr>
              <w:fldChar w:fldCharType="separate"/>
            </w:r>
            <w:r>
              <w:rPr>
                <w:rFonts w:hint="eastAsia" w:eastAsia="仿宋_GB2312"/>
                <w:color w:val="auto"/>
                <w:sz w:val="24"/>
              </w:rPr>
              <w:t>①</w:t>
            </w:r>
            <w:r>
              <w:rPr>
                <w:rFonts w:hint="default" w:eastAsia="仿宋_GB2312"/>
                <w:color w:val="auto"/>
                <w:sz w:val="24"/>
              </w:rPr>
              <w:fldChar w:fldCharType="end"/>
            </w:r>
            <w:r>
              <w:rPr>
                <w:rFonts w:hint="eastAsia" w:eastAsia="仿宋_GB2312"/>
                <w:color w:val="auto"/>
                <w:sz w:val="24"/>
              </w:rPr>
              <w:t>中间池+厌氧池</w:t>
            </w:r>
          </w:p>
          <w:p w14:paraId="5984496C">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中间池用于暂存气浮池出水，以满足后级生化处理进水的要求。出水去向厌氧池，在厌氧池内利用异养型兼性细菌和厌氧菌将废水中难降解的大分子有机物转化为易降解的小分子有机物，将复杂的有机物转变成简单的有机物，将不溶性的有机物转化为溶解性的有机物，形成有机酸、醇类、醛类等，提高废水的可生化性，为后续的处理工艺创造有利条件。</w:t>
            </w:r>
          </w:p>
          <w:p w14:paraId="3A3B9169">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fldChar w:fldCharType="begin"/>
            </w:r>
            <w:r>
              <w:rPr>
                <w:rFonts w:hint="default" w:eastAsia="仿宋_GB2312"/>
                <w:color w:val="auto"/>
                <w:sz w:val="24"/>
              </w:rPr>
              <w:instrText xml:space="preserve"> </w:instrText>
            </w:r>
            <w:r>
              <w:rPr>
                <w:rFonts w:hint="eastAsia" w:eastAsia="仿宋_GB2312"/>
                <w:color w:val="auto"/>
                <w:sz w:val="24"/>
              </w:rPr>
              <w:instrText xml:space="preserve">= 2 \* GB3</w:instrText>
            </w:r>
            <w:r>
              <w:rPr>
                <w:rFonts w:hint="default" w:eastAsia="仿宋_GB2312"/>
                <w:color w:val="auto"/>
                <w:sz w:val="24"/>
              </w:rPr>
              <w:instrText xml:space="preserve"> </w:instrText>
            </w:r>
            <w:r>
              <w:rPr>
                <w:rFonts w:hint="default" w:eastAsia="仿宋_GB2312"/>
                <w:color w:val="auto"/>
                <w:sz w:val="24"/>
              </w:rPr>
              <w:fldChar w:fldCharType="separate"/>
            </w:r>
            <w:r>
              <w:rPr>
                <w:rFonts w:hint="eastAsia" w:eastAsia="仿宋_GB2312"/>
                <w:color w:val="auto"/>
                <w:sz w:val="24"/>
              </w:rPr>
              <w:t>②</w:t>
            </w:r>
            <w:r>
              <w:rPr>
                <w:rFonts w:hint="default" w:eastAsia="仿宋_GB2312"/>
                <w:color w:val="auto"/>
                <w:sz w:val="24"/>
              </w:rPr>
              <w:fldChar w:fldCharType="end"/>
            </w:r>
            <w:r>
              <w:rPr>
                <w:rFonts w:hint="eastAsia" w:eastAsia="仿宋_GB2312"/>
                <w:color w:val="auto"/>
                <w:sz w:val="24"/>
              </w:rPr>
              <w:t>一级两段A/O</w:t>
            </w:r>
          </w:p>
          <w:p w14:paraId="798C359D">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出厌氧池废水流入缺氧池，在缺氧池中利用原水中的碳源进行反硝化除氮，将硝态氮及亚硝态氮转化为氮气排放；出缺氧池废水自流入好氧池中，在充分曝气的环境下，通过活性污泥的作用，充分降解有机物，同时将氨氮向硝态氮转化。</w:t>
            </w:r>
          </w:p>
          <w:p w14:paraId="740C3E1F">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fldChar w:fldCharType="begin"/>
            </w:r>
            <w:r>
              <w:rPr>
                <w:rFonts w:hint="default" w:eastAsia="仿宋_GB2312"/>
                <w:color w:val="auto"/>
                <w:sz w:val="24"/>
              </w:rPr>
              <w:instrText xml:space="preserve"> </w:instrText>
            </w:r>
            <w:r>
              <w:rPr>
                <w:rFonts w:hint="eastAsia" w:eastAsia="仿宋_GB2312"/>
                <w:color w:val="auto"/>
                <w:sz w:val="24"/>
              </w:rPr>
              <w:instrText xml:space="preserve">= 3 \* GB3</w:instrText>
            </w:r>
            <w:r>
              <w:rPr>
                <w:rFonts w:hint="default" w:eastAsia="仿宋_GB2312"/>
                <w:color w:val="auto"/>
                <w:sz w:val="24"/>
              </w:rPr>
              <w:instrText xml:space="preserve"> </w:instrText>
            </w:r>
            <w:r>
              <w:rPr>
                <w:rFonts w:hint="default" w:eastAsia="仿宋_GB2312"/>
                <w:color w:val="auto"/>
                <w:sz w:val="24"/>
              </w:rPr>
              <w:fldChar w:fldCharType="separate"/>
            </w:r>
            <w:r>
              <w:rPr>
                <w:rFonts w:hint="eastAsia" w:eastAsia="仿宋_GB2312"/>
                <w:color w:val="auto"/>
                <w:sz w:val="24"/>
              </w:rPr>
              <w:t>③</w:t>
            </w:r>
            <w:r>
              <w:rPr>
                <w:rFonts w:hint="default" w:eastAsia="仿宋_GB2312"/>
                <w:color w:val="auto"/>
                <w:sz w:val="24"/>
              </w:rPr>
              <w:fldChar w:fldCharType="end"/>
            </w:r>
            <w:r>
              <w:rPr>
                <w:rFonts w:hint="eastAsia" w:eastAsia="仿宋_GB2312"/>
                <w:color w:val="auto"/>
                <w:sz w:val="24"/>
              </w:rPr>
              <w:t>二沉池+清水池</w:t>
            </w:r>
          </w:p>
          <w:p w14:paraId="04D0CA02">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生化处理后废水进入二沉池进行泥水分离，分离后上清液进入清水池收集。</w:t>
            </w:r>
          </w:p>
          <w:p w14:paraId="1268702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（3）双效蒸发</w:t>
            </w:r>
          </w:p>
          <w:p w14:paraId="097E2493">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lang w:val="en-US"/>
              </w:rPr>
              <w:t>清水池废水通过泵间歇输送至双效蒸发器。生化出水中基本都是含氮磷的大分子难降解有机物和无机盐。蒸发时蒸发器内pH值控制在6.5左右，大部分氨氮会以铵盐的形式存在，磷会以磷酸盐的形式存在。</w:t>
            </w:r>
            <w:r>
              <w:rPr>
                <w:rFonts w:hint="default" w:eastAsia="仿宋_GB2312"/>
                <w:color w:val="auto"/>
                <w:sz w:val="24"/>
              </w:rPr>
              <w:t>通过蒸发，</w:t>
            </w:r>
            <w:r>
              <w:rPr>
                <w:rFonts w:hint="eastAsia" w:eastAsia="仿宋_GB2312"/>
                <w:color w:val="auto"/>
                <w:sz w:val="24"/>
              </w:rPr>
              <w:t>将</w:t>
            </w:r>
            <w:r>
              <w:rPr>
                <w:rFonts w:hint="default" w:eastAsia="仿宋_GB2312"/>
                <w:color w:val="auto"/>
                <w:sz w:val="24"/>
              </w:rPr>
              <w:t>绝大部分</w:t>
            </w:r>
            <w:r>
              <w:rPr>
                <w:rFonts w:hint="eastAsia" w:eastAsia="仿宋_GB2312"/>
                <w:color w:val="auto"/>
                <w:sz w:val="24"/>
                <w:lang w:val="en-US"/>
              </w:rPr>
              <w:t>大分子难降解有机物和</w:t>
            </w:r>
            <w:r>
              <w:rPr>
                <w:rFonts w:hint="default" w:eastAsia="仿宋_GB2312"/>
                <w:color w:val="auto"/>
                <w:sz w:val="24"/>
              </w:rPr>
              <w:t>无机盐浓缩，最终以蒸发残渣形式分离出来，作为危险废物处置。蒸发系统设计能力为</w:t>
            </w:r>
            <w:r>
              <w:rPr>
                <w:rFonts w:hint="eastAsia" w:eastAsia="仿宋_GB2312"/>
                <w:color w:val="auto"/>
                <w:sz w:val="24"/>
              </w:rPr>
              <w:t>0.</w:t>
            </w:r>
            <w:r>
              <w:rPr>
                <w:rFonts w:hint="eastAsia" w:eastAsia="仿宋_GB2312"/>
                <w:color w:val="auto"/>
                <w:sz w:val="24"/>
                <w:lang w:val="en-US"/>
              </w:rPr>
              <w:t>15</w:t>
            </w:r>
            <w:r>
              <w:rPr>
                <w:rFonts w:hint="default" w:eastAsia="仿宋_GB2312"/>
                <w:color w:val="auto"/>
                <w:sz w:val="24"/>
              </w:rPr>
              <w:t>m3/h，蒸汽消耗量</w:t>
            </w:r>
            <w:r>
              <w:rPr>
                <w:rFonts w:hint="eastAsia" w:eastAsia="仿宋_GB2312"/>
                <w:color w:val="auto"/>
                <w:sz w:val="24"/>
              </w:rPr>
              <w:t>约</w:t>
            </w:r>
            <w:r>
              <w:rPr>
                <w:rFonts w:hint="default" w:eastAsia="仿宋_GB2312"/>
                <w:color w:val="auto"/>
                <w:sz w:val="24"/>
              </w:rPr>
              <w:t>为</w:t>
            </w:r>
            <w:r>
              <w:rPr>
                <w:rFonts w:hint="eastAsia" w:eastAsia="仿宋_GB2312"/>
                <w:color w:val="auto"/>
                <w:sz w:val="24"/>
                <w:lang w:val="en-US"/>
              </w:rPr>
              <w:t>534</w:t>
            </w:r>
            <w:r>
              <w:rPr>
                <w:rFonts w:hint="default" w:eastAsia="仿宋_GB2312"/>
                <w:color w:val="auto"/>
                <w:sz w:val="24"/>
              </w:rPr>
              <w:t>吨</w:t>
            </w:r>
            <w:r>
              <w:rPr>
                <w:rFonts w:hint="eastAsia" w:eastAsia="仿宋_GB2312"/>
                <w:color w:val="auto"/>
                <w:sz w:val="24"/>
              </w:rPr>
              <w:t>/年</w:t>
            </w:r>
            <w:r>
              <w:rPr>
                <w:rFonts w:hint="default" w:eastAsia="仿宋_GB2312"/>
                <w:color w:val="auto"/>
                <w:sz w:val="24"/>
              </w:rPr>
              <w:t>。</w:t>
            </w:r>
            <w:r>
              <w:rPr>
                <w:rFonts w:hint="eastAsia" w:eastAsia="仿宋_GB2312"/>
                <w:color w:val="auto"/>
                <w:sz w:val="24"/>
              </w:rPr>
              <w:t>经过双效蒸发器产生的</w:t>
            </w:r>
            <w:r>
              <w:rPr>
                <w:rFonts w:hint="eastAsia" w:eastAsia="仿宋_GB2312"/>
                <w:color w:val="auto"/>
                <w:sz w:val="24"/>
                <w:lang w:val="en-US"/>
              </w:rPr>
              <w:t>蒸汽冷凝水</w:t>
            </w:r>
            <w:r>
              <w:rPr>
                <w:rFonts w:hint="eastAsia" w:eastAsia="仿宋_GB2312"/>
                <w:color w:val="auto"/>
                <w:sz w:val="24"/>
              </w:rPr>
              <w:t>送回用水池回用至循环冷却水系统。</w:t>
            </w:r>
          </w:p>
          <w:p w14:paraId="7C1C0B1C">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w:t>
            </w:r>
            <w:r>
              <w:rPr>
                <w:rFonts w:hint="eastAsia" w:eastAsia="仿宋_GB2312"/>
                <w:color w:val="auto"/>
                <w:sz w:val="24"/>
              </w:rPr>
              <w:t>4</w:t>
            </w:r>
            <w:r>
              <w:rPr>
                <w:rFonts w:hint="default" w:eastAsia="仿宋_GB2312"/>
                <w:color w:val="auto"/>
                <w:sz w:val="24"/>
              </w:rPr>
              <w:t>）污泥处理系统</w:t>
            </w:r>
          </w:p>
          <w:p w14:paraId="5C60952A">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气浮池产生的污泥、</w:t>
            </w:r>
            <w:r>
              <w:rPr>
                <w:rFonts w:hint="default" w:eastAsia="仿宋_GB2312"/>
                <w:color w:val="auto"/>
                <w:sz w:val="24"/>
              </w:rPr>
              <w:t>生化系统产生的剩余污泥进入污泥</w:t>
            </w:r>
            <w:r>
              <w:rPr>
                <w:rFonts w:hint="eastAsia" w:eastAsia="仿宋_GB2312"/>
                <w:color w:val="auto"/>
                <w:sz w:val="24"/>
              </w:rPr>
              <w:t>浓缩</w:t>
            </w:r>
            <w:r>
              <w:rPr>
                <w:rFonts w:hint="default" w:eastAsia="仿宋_GB2312"/>
                <w:color w:val="auto"/>
                <w:sz w:val="24"/>
              </w:rPr>
              <w:t>池，然后通过泵进入板框压滤机，压滤脱水得到污泥，污泥委托有资质的第三方专业单位处置。板框出水回流至废水调节池。</w:t>
            </w:r>
          </w:p>
          <w:p w14:paraId="77F0CBE8">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lang w:val="en-US"/>
              </w:rPr>
              <w:t>本项目污水站为地上一体化污水处理设施。</w:t>
            </w:r>
            <w:r>
              <w:rPr>
                <w:rFonts w:hint="default" w:eastAsia="仿宋_GB2312"/>
                <w:color w:val="auto"/>
                <w:sz w:val="24"/>
              </w:rPr>
              <w:t>污水站建构筑物参数见</w:t>
            </w:r>
            <w:r>
              <w:rPr>
                <w:rFonts w:hint="eastAsia" w:eastAsia="仿宋_GB2312"/>
                <w:color w:val="auto"/>
                <w:sz w:val="24"/>
                <w:lang w:eastAsia="zh-CN"/>
              </w:rPr>
              <w:t>下</w:t>
            </w:r>
            <w:r>
              <w:rPr>
                <w:rFonts w:hint="default" w:eastAsia="仿宋_GB2312"/>
                <w:color w:val="auto"/>
                <w:sz w:val="24"/>
              </w:rPr>
              <w:t>表。</w:t>
            </w:r>
          </w:p>
          <w:p w14:paraId="0E35F196">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rPr>
            </w:pPr>
          </w:p>
          <w:p w14:paraId="6FCE322C">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rPr>
            </w:pPr>
            <w:r>
              <w:rPr>
                <w:rFonts w:hint="default" w:eastAsia="仿宋_GB2312"/>
                <w:b/>
                <w:bCs/>
                <w:color w:val="auto"/>
                <w:kern w:val="0"/>
                <w:sz w:val="22"/>
                <w:szCs w:val="22"/>
              </w:rPr>
              <w:t>表</w:t>
            </w:r>
            <w:r>
              <w:rPr>
                <w:rFonts w:hint="eastAsia" w:eastAsia="仿宋_GB2312"/>
                <w:b/>
                <w:bCs/>
                <w:color w:val="auto"/>
                <w:kern w:val="0"/>
                <w:sz w:val="22"/>
                <w:szCs w:val="22"/>
                <w:lang w:val="en-US" w:eastAsia="zh-CN"/>
              </w:rPr>
              <w:t>4-20</w:t>
            </w:r>
            <w:r>
              <w:rPr>
                <w:rFonts w:hint="default" w:eastAsia="仿宋_GB2312"/>
                <w:b/>
                <w:bCs/>
                <w:color w:val="auto"/>
                <w:kern w:val="0"/>
                <w:sz w:val="22"/>
                <w:szCs w:val="22"/>
              </w:rPr>
              <w:t xml:space="preserve">  污水站建构筑物参数表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2575"/>
              <w:gridCol w:w="2575"/>
              <w:gridCol w:w="2575"/>
              <w:gridCol w:w="2575"/>
            </w:tblGrid>
            <w:tr w14:paraId="36864D3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2139A8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工段</w:t>
                  </w:r>
                </w:p>
              </w:tc>
              <w:tc>
                <w:tcPr>
                  <w:tcW w:w="1250" w:type="pct"/>
                  <w:vAlign w:val="center"/>
                </w:tcPr>
                <w:p w14:paraId="778584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名称</w:t>
                  </w:r>
                </w:p>
              </w:tc>
              <w:tc>
                <w:tcPr>
                  <w:tcW w:w="1250" w:type="pct"/>
                  <w:vAlign w:val="center"/>
                </w:tcPr>
                <w:p w14:paraId="08109E1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尺寸</w:t>
                  </w:r>
                </w:p>
              </w:tc>
              <w:tc>
                <w:tcPr>
                  <w:tcW w:w="1250" w:type="pct"/>
                  <w:vAlign w:val="center"/>
                </w:tcPr>
                <w:p w14:paraId="51AF105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sz w:val="21"/>
                    </w:rPr>
                  </w:pPr>
                  <w:r>
                    <w:rPr>
                      <w:rFonts w:hint="default" w:ascii="Times New Roman" w:hAnsi="Times New Roman" w:eastAsia="仿宋_GB2312" w:cs="Times New Roman"/>
                      <w:b/>
                      <w:bCs/>
                      <w:color w:val="auto"/>
                      <w:sz w:val="21"/>
                    </w:rPr>
                    <w:t>数量（个）</w:t>
                  </w:r>
                </w:p>
              </w:tc>
            </w:tr>
            <w:tr w14:paraId="194AED4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739E198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废水收集</w:t>
                  </w:r>
                </w:p>
              </w:tc>
              <w:tc>
                <w:tcPr>
                  <w:tcW w:w="1250" w:type="pct"/>
                  <w:vAlign w:val="center"/>
                </w:tcPr>
                <w:p w14:paraId="5410384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废水收集罐</w:t>
                  </w:r>
                </w:p>
              </w:tc>
              <w:tc>
                <w:tcPr>
                  <w:tcW w:w="1250" w:type="pct"/>
                  <w:vAlign w:val="center"/>
                </w:tcPr>
                <w:p w14:paraId="7220812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￠1.8×2.2m</w:t>
                  </w:r>
                </w:p>
              </w:tc>
              <w:tc>
                <w:tcPr>
                  <w:tcW w:w="1250" w:type="pct"/>
                  <w:vAlign w:val="center"/>
                </w:tcPr>
                <w:p w14:paraId="1415FF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203DC79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restart"/>
                  <w:vAlign w:val="center"/>
                </w:tcPr>
                <w:p w14:paraId="1ACF778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气浮</w:t>
                  </w:r>
                </w:p>
              </w:tc>
              <w:tc>
                <w:tcPr>
                  <w:tcW w:w="1250" w:type="pct"/>
                  <w:vAlign w:val="center"/>
                </w:tcPr>
                <w:p w14:paraId="4B68BA0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组合气浮</w:t>
                  </w:r>
                </w:p>
              </w:tc>
              <w:tc>
                <w:tcPr>
                  <w:tcW w:w="1250" w:type="pct"/>
                  <w:vAlign w:val="center"/>
                </w:tcPr>
                <w:p w14:paraId="6A818EE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2×4×1.7m</w:t>
                  </w:r>
                </w:p>
              </w:tc>
              <w:tc>
                <w:tcPr>
                  <w:tcW w:w="1250" w:type="pct"/>
                  <w:vAlign w:val="center"/>
                </w:tcPr>
                <w:p w14:paraId="6270BD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0F243AF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vAlign w:val="center"/>
                </w:tcPr>
                <w:p w14:paraId="340606B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p>
              </w:tc>
              <w:tc>
                <w:tcPr>
                  <w:tcW w:w="1250" w:type="pct"/>
                  <w:vAlign w:val="center"/>
                </w:tcPr>
                <w:p w14:paraId="042EA2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加药桶</w:t>
                  </w:r>
                </w:p>
              </w:tc>
              <w:tc>
                <w:tcPr>
                  <w:tcW w:w="1250" w:type="pct"/>
                  <w:vAlign w:val="center"/>
                </w:tcPr>
                <w:p w14:paraId="39015AF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w:t>
                  </w:r>
                </w:p>
              </w:tc>
              <w:tc>
                <w:tcPr>
                  <w:tcW w:w="1250" w:type="pct"/>
                  <w:vAlign w:val="center"/>
                </w:tcPr>
                <w:p w14:paraId="611DA0C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3</w:t>
                  </w:r>
                </w:p>
              </w:tc>
            </w:tr>
            <w:tr w14:paraId="26993B1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5C19FD4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中间池</w:t>
                  </w:r>
                </w:p>
              </w:tc>
              <w:tc>
                <w:tcPr>
                  <w:tcW w:w="1250" w:type="pct"/>
                  <w:vAlign w:val="center"/>
                </w:tcPr>
                <w:p w14:paraId="3CA4CC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气浮出水收集罐</w:t>
                  </w:r>
                </w:p>
              </w:tc>
              <w:tc>
                <w:tcPr>
                  <w:tcW w:w="1250" w:type="pct"/>
                  <w:vAlign w:val="center"/>
                </w:tcPr>
                <w:p w14:paraId="3F0BA3E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￠1.6×2.0m</w:t>
                  </w:r>
                </w:p>
              </w:tc>
              <w:tc>
                <w:tcPr>
                  <w:tcW w:w="1250" w:type="pct"/>
                  <w:vAlign w:val="center"/>
                </w:tcPr>
                <w:p w14:paraId="4FB80AE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6DA7E7F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2EA3472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厌氧</w:t>
                  </w:r>
                </w:p>
              </w:tc>
              <w:tc>
                <w:tcPr>
                  <w:tcW w:w="1250" w:type="pct"/>
                  <w:vAlign w:val="center"/>
                </w:tcPr>
                <w:p w14:paraId="7E69735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组合厌氧池体</w:t>
                  </w:r>
                </w:p>
              </w:tc>
              <w:tc>
                <w:tcPr>
                  <w:tcW w:w="1250" w:type="pct"/>
                  <w:vAlign w:val="center"/>
                </w:tcPr>
                <w:p w14:paraId="7D3A531C">
                  <w:pPr>
                    <w:keepNext w:val="0"/>
                    <w:keepLines w:val="0"/>
                    <w:suppressLineNumbers w:val="0"/>
                    <w:spacing w:before="60" w:beforeLines="25" w:beforeAutospacing="0" w:after="60" w:afterLines="25"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Φ1.9×7.5m</w:t>
                  </w:r>
                </w:p>
              </w:tc>
              <w:tc>
                <w:tcPr>
                  <w:tcW w:w="1250" w:type="pct"/>
                  <w:vAlign w:val="center"/>
                </w:tcPr>
                <w:p w14:paraId="51F9B7A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6DF0CCA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2B7C07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一段A/O</w:t>
                  </w:r>
                </w:p>
              </w:tc>
              <w:tc>
                <w:tcPr>
                  <w:tcW w:w="1250" w:type="pct"/>
                  <w:vAlign w:val="center"/>
                </w:tcPr>
                <w:p w14:paraId="030EE33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一段A/O钢制组合池体</w:t>
                  </w:r>
                </w:p>
              </w:tc>
              <w:tc>
                <w:tcPr>
                  <w:tcW w:w="1250" w:type="pct"/>
                  <w:vAlign w:val="center"/>
                </w:tcPr>
                <w:p w14:paraId="77653469">
                  <w:pPr>
                    <w:pStyle w:val="2"/>
                    <w:keepNext w:val="0"/>
                    <w:keepLines w:val="0"/>
                    <w:suppressLineNumbers w:val="0"/>
                    <w:spacing w:beforeAutospacing="0" w:afterAutospacing="0" w:line="320" w:lineRule="exact"/>
                    <w:ind w:left="0"/>
                    <w:jc w:val="center"/>
                    <w:rPr>
                      <w:rFonts w:hint="default" w:ascii="Times New Roman" w:hAnsi="Times New Roman" w:eastAsia="仿宋_GB2312" w:cs="Times New Roman"/>
                      <w:bCs/>
                      <w:color w:val="auto"/>
                      <w:kern w:val="2"/>
                      <w:sz w:val="21"/>
                      <w:szCs w:val="21"/>
                      <w:lang w:val="en-US"/>
                    </w:rPr>
                  </w:pPr>
                  <w:r>
                    <w:rPr>
                      <w:rFonts w:hint="default" w:ascii="Times New Roman" w:hAnsi="Times New Roman" w:eastAsia="仿宋_GB2312" w:cs="Times New Roman"/>
                      <w:bCs/>
                      <w:color w:val="auto"/>
                      <w:sz w:val="21"/>
                      <w:lang w:val="en-US"/>
                    </w:rPr>
                    <w:t>2.3</w:t>
                  </w:r>
                  <w:r>
                    <w:rPr>
                      <w:rFonts w:hint="default" w:ascii="Times New Roman" w:hAnsi="Times New Roman" w:eastAsia="仿宋_GB2312" w:cs="Times New Roman"/>
                      <w:bCs/>
                      <w:color w:val="auto"/>
                      <w:sz w:val="21"/>
                    </w:rPr>
                    <w:t>×</w:t>
                  </w:r>
                  <w:r>
                    <w:rPr>
                      <w:rFonts w:hint="default" w:ascii="Times New Roman" w:hAnsi="Times New Roman" w:eastAsia="仿宋_GB2312" w:cs="Times New Roman"/>
                      <w:bCs/>
                      <w:color w:val="auto"/>
                      <w:sz w:val="21"/>
                      <w:lang w:val="en-US"/>
                    </w:rPr>
                    <w:t>6</w:t>
                  </w:r>
                  <w:r>
                    <w:rPr>
                      <w:rFonts w:hint="default" w:ascii="Times New Roman" w:hAnsi="Times New Roman" w:eastAsia="仿宋_GB2312" w:cs="Times New Roman"/>
                      <w:bCs/>
                      <w:color w:val="auto"/>
                      <w:sz w:val="21"/>
                    </w:rPr>
                    <w:t>×</w:t>
                  </w:r>
                  <w:r>
                    <w:rPr>
                      <w:rFonts w:hint="default" w:ascii="Times New Roman" w:hAnsi="Times New Roman" w:eastAsia="仿宋_GB2312" w:cs="Times New Roman"/>
                      <w:bCs/>
                      <w:color w:val="auto"/>
                      <w:sz w:val="21"/>
                      <w:lang w:val="en-US"/>
                    </w:rPr>
                    <w:t>5.5</w:t>
                  </w:r>
                  <w:r>
                    <w:rPr>
                      <w:rFonts w:hint="default" w:ascii="Times New Roman" w:hAnsi="Times New Roman" w:eastAsia="仿宋_GB2312" w:cs="Times New Roman"/>
                      <w:bCs/>
                      <w:color w:val="auto"/>
                      <w:sz w:val="21"/>
                    </w:rPr>
                    <w:t>m</w:t>
                  </w:r>
                </w:p>
              </w:tc>
              <w:tc>
                <w:tcPr>
                  <w:tcW w:w="1250" w:type="pct"/>
                  <w:vAlign w:val="center"/>
                </w:tcPr>
                <w:p w14:paraId="72B299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4DC2A4C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4AF633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二段A/O</w:t>
                  </w:r>
                </w:p>
              </w:tc>
              <w:tc>
                <w:tcPr>
                  <w:tcW w:w="1250" w:type="pct"/>
                  <w:vAlign w:val="center"/>
                </w:tcPr>
                <w:p w14:paraId="05F1D4B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二段A/O钢制组合池体</w:t>
                  </w:r>
                </w:p>
              </w:tc>
              <w:tc>
                <w:tcPr>
                  <w:tcW w:w="1250" w:type="pct"/>
                  <w:vAlign w:val="center"/>
                </w:tcPr>
                <w:p w14:paraId="7D7C3E5B">
                  <w:pPr>
                    <w:keepNext w:val="0"/>
                    <w:keepLines w:val="0"/>
                    <w:suppressLineNumbers w:val="0"/>
                    <w:spacing w:before="60" w:beforeLines="25" w:beforeAutospacing="0" w:after="60" w:afterLines="25"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1.9×6×5.5m</w:t>
                  </w:r>
                </w:p>
              </w:tc>
              <w:tc>
                <w:tcPr>
                  <w:tcW w:w="1250" w:type="pct"/>
                  <w:vAlign w:val="center"/>
                </w:tcPr>
                <w:p w14:paraId="39D8CD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4B71C51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437291D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清水池</w:t>
                  </w:r>
                </w:p>
              </w:tc>
              <w:tc>
                <w:tcPr>
                  <w:tcW w:w="1250" w:type="pct"/>
                  <w:vAlign w:val="center"/>
                </w:tcPr>
                <w:p w14:paraId="45E6E4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清水收集罐</w:t>
                  </w:r>
                </w:p>
              </w:tc>
              <w:tc>
                <w:tcPr>
                  <w:tcW w:w="1250" w:type="pct"/>
                  <w:vAlign w:val="center"/>
                </w:tcPr>
                <w:p w14:paraId="7D61031F">
                  <w:pPr>
                    <w:keepNext w:val="0"/>
                    <w:keepLines w:val="0"/>
                    <w:suppressLineNumbers w:val="0"/>
                    <w:spacing w:before="60" w:beforeLines="25" w:beforeAutospacing="0" w:after="60" w:afterLines="25"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￠1.6×2.0m</w:t>
                  </w:r>
                </w:p>
              </w:tc>
              <w:tc>
                <w:tcPr>
                  <w:tcW w:w="1250" w:type="pct"/>
                  <w:vAlign w:val="center"/>
                </w:tcPr>
                <w:p w14:paraId="2E7E781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356596B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5525BA2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双效蒸发</w:t>
                  </w:r>
                </w:p>
              </w:tc>
              <w:tc>
                <w:tcPr>
                  <w:tcW w:w="1250" w:type="pct"/>
                  <w:vAlign w:val="center"/>
                </w:tcPr>
                <w:p w14:paraId="62B913B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双效蒸发器</w:t>
                  </w:r>
                </w:p>
              </w:tc>
              <w:tc>
                <w:tcPr>
                  <w:tcW w:w="1250" w:type="pct"/>
                  <w:vAlign w:val="center"/>
                </w:tcPr>
                <w:p w14:paraId="57781BBC">
                  <w:pPr>
                    <w:keepNext w:val="0"/>
                    <w:keepLines w:val="0"/>
                    <w:suppressLineNumbers w:val="0"/>
                    <w:spacing w:before="60" w:beforeLines="25" w:beforeAutospacing="0" w:after="60" w:afterLines="25"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200公斤/时双效</w:t>
                  </w:r>
                </w:p>
              </w:tc>
              <w:tc>
                <w:tcPr>
                  <w:tcW w:w="1250" w:type="pct"/>
                  <w:vAlign w:val="center"/>
                </w:tcPr>
                <w:p w14:paraId="690F0CD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322C91F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202784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回用水池</w:t>
                  </w:r>
                </w:p>
              </w:tc>
              <w:tc>
                <w:tcPr>
                  <w:tcW w:w="1250" w:type="pct"/>
                  <w:vAlign w:val="center"/>
                </w:tcPr>
                <w:p w14:paraId="03E9931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冷凝水收集罐</w:t>
                  </w:r>
                </w:p>
              </w:tc>
              <w:tc>
                <w:tcPr>
                  <w:tcW w:w="1250" w:type="pct"/>
                  <w:vAlign w:val="center"/>
                </w:tcPr>
                <w:p w14:paraId="5B8BAA80">
                  <w:pPr>
                    <w:keepNext w:val="0"/>
                    <w:keepLines w:val="0"/>
                    <w:suppressLineNumbers w:val="0"/>
                    <w:spacing w:before="60" w:beforeLines="25" w:beforeAutospacing="0" w:after="60" w:afterLines="25"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1.8×2.2m</w:t>
                  </w:r>
                </w:p>
              </w:tc>
              <w:tc>
                <w:tcPr>
                  <w:tcW w:w="1250" w:type="pct"/>
                  <w:vAlign w:val="center"/>
                </w:tcPr>
                <w:p w14:paraId="6424CCA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00D7134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16D4FF7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污泥池</w:t>
                  </w:r>
                </w:p>
              </w:tc>
              <w:tc>
                <w:tcPr>
                  <w:tcW w:w="1250" w:type="pct"/>
                  <w:vAlign w:val="center"/>
                </w:tcPr>
                <w:p w14:paraId="5B2C655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污泥收集罐</w:t>
                  </w:r>
                </w:p>
              </w:tc>
              <w:tc>
                <w:tcPr>
                  <w:tcW w:w="1250" w:type="pct"/>
                  <w:vAlign w:val="center"/>
                </w:tcPr>
                <w:p w14:paraId="15B148CC">
                  <w:pPr>
                    <w:keepNext w:val="0"/>
                    <w:keepLines w:val="0"/>
                    <w:suppressLineNumbers w:val="0"/>
                    <w:spacing w:before="60" w:beforeLines="25" w:beforeAutospacing="0" w:after="60" w:afterLines="25"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￠1.6×2.0m</w:t>
                  </w:r>
                </w:p>
              </w:tc>
              <w:tc>
                <w:tcPr>
                  <w:tcW w:w="1250" w:type="pct"/>
                  <w:vAlign w:val="center"/>
                </w:tcPr>
                <w:p w14:paraId="52A54B8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r w14:paraId="027E814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Align w:val="center"/>
                </w:tcPr>
                <w:p w14:paraId="19834CC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板框压泥</w:t>
                  </w:r>
                </w:p>
              </w:tc>
              <w:tc>
                <w:tcPr>
                  <w:tcW w:w="1250" w:type="pct"/>
                  <w:vAlign w:val="center"/>
                </w:tcPr>
                <w:p w14:paraId="5BE76BC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板框压泥机</w:t>
                  </w:r>
                </w:p>
              </w:tc>
              <w:tc>
                <w:tcPr>
                  <w:tcW w:w="1250" w:type="pct"/>
                  <w:vAlign w:val="center"/>
                </w:tcPr>
                <w:p w14:paraId="649A1BCC">
                  <w:pPr>
                    <w:keepNext w:val="0"/>
                    <w:keepLines w:val="0"/>
                    <w:suppressLineNumbers w:val="0"/>
                    <w:spacing w:before="60" w:beforeLines="25" w:beforeAutospacing="0" w:after="60" w:afterLines="25"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w:t>
                  </w:r>
                </w:p>
              </w:tc>
              <w:tc>
                <w:tcPr>
                  <w:tcW w:w="1250" w:type="pct"/>
                  <w:vAlign w:val="center"/>
                </w:tcPr>
                <w:p w14:paraId="620D4BB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Cs/>
                      <w:color w:val="auto"/>
                      <w:sz w:val="21"/>
                    </w:rPr>
                  </w:pPr>
                  <w:r>
                    <w:rPr>
                      <w:rFonts w:hint="default" w:ascii="Times New Roman" w:hAnsi="Times New Roman" w:eastAsia="仿宋_GB2312" w:cs="Times New Roman"/>
                      <w:bCs/>
                      <w:color w:val="auto"/>
                      <w:sz w:val="21"/>
                    </w:rPr>
                    <w:t>1</w:t>
                  </w:r>
                </w:p>
              </w:tc>
            </w:tr>
          </w:tbl>
          <w:p w14:paraId="690E0855">
            <w:pPr>
              <w:keepNext w:val="0"/>
              <w:keepLines w:val="0"/>
              <w:suppressLineNumbers w:val="0"/>
              <w:adjustRightInd w:val="0"/>
              <w:snapToGrid w:val="0"/>
              <w:spacing w:before="0" w:beforeAutospacing="0" w:after="0" w:afterAutospacing="0" w:line="500" w:lineRule="exact"/>
              <w:ind w:left="0" w:right="0" w:firstLine="482" w:firstLineChars="200"/>
              <w:rPr>
                <w:rFonts w:hint="default" w:ascii="Times New Roman" w:hAnsi="Times New Roman" w:eastAsia="仿宋_GB2312" w:cs="Times New Roman"/>
                <w:b/>
                <w:bCs/>
                <w:color w:val="auto"/>
                <w:sz w:val="24"/>
                <w:lang w:eastAsia="zh-CN"/>
              </w:rPr>
            </w:pPr>
            <w:r>
              <w:rPr>
                <w:rFonts w:hint="default" w:ascii="Times New Roman" w:hAnsi="Times New Roman" w:eastAsia="仿宋_GB2312" w:cs="Times New Roman"/>
                <w:b/>
                <w:bCs/>
                <w:color w:val="auto"/>
                <w:sz w:val="24"/>
                <w:lang w:eastAsia="zh-CN"/>
              </w:rPr>
              <w:t>②污水处理技术可行性分析</w:t>
            </w:r>
          </w:p>
          <w:p w14:paraId="53978214">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（1）处理能力可行性分析</w:t>
            </w:r>
          </w:p>
          <w:p w14:paraId="3E3F2FD1">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污水站处理能力为3.6m</w:t>
            </w:r>
            <w:r>
              <w:rPr>
                <w:rFonts w:hint="eastAsia" w:eastAsia="仿宋_GB2312"/>
                <w:color w:val="auto"/>
                <w:sz w:val="24"/>
                <w:vertAlign w:val="superscript"/>
              </w:rPr>
              <w:t>3</w:t>
            </w:r>
            <w:r>
              <w:rPr>
                <w:rFonts w:hint="eastAsia" w:eastAsia="仿宋_GB2312"/>
                <w:color w:val="auto"/>
                <w:sz w:val="24"/>
              </w:rPr>
              <w:t>/d，项目建成后全厂废水量</w:t>
            </w:r>
            <w:r>
              <w:rPr>
                <w:rFonts w:hint="eastAsia" w:eastAsia="仿宋_GB2312"/>
                <w:color w:val="auto"/>
                <w:sz w:val="24"/>
                <w:highlight w:val="none"/>
              </w:rPr>
              <w:t>为</w:t>
            </w:r>
            <w:r>
              <w:rPr>
                <w:rFonts w:hint="eastAsia" w:eastAsia="仿宋_GB2312"/>
                <w:color w:val="auto"/>
                <w:sz w:val="24"/>
                <w:highlight w:val="none"/>
                <w:lang w:val="en-US" w:eastAsia="zh-CN"/>
              </w:rPr>
              <w:t>824.06</w:t>
            </w:r>
            <w:r>
              <w:rPr>
                <w:rFonts w:hint="eastAsia" w:eastAsia="仿宋_GB2312"/>
                <w:color w:val="auto"/>
                <w:sz w:val="24"/>
                <w:highlight w:val="none"/>
              </w:rPr>
              <w:t>m</w:t>
            </w:r>
            <w:r>
              <w:rPr>
                <w:rFonts w:hint="eastAsia" w:eastAsia="仿宋_GB2312"/>
                <w:color w:val="auto"/>
                <w:sz w:val="24"/>
                <w:highlight w:val="none"/>
                <w:vertAlign w:val="superscript"/>
              </w:rPr>
              <w:t>3</w:t>
            </w:r>
            <w:r>
              <w:rPr>
                <w:rFonts w:hint="eastAsia" w:eastAsia="仿宋_GB2312"/>
                <w:color w:val="auto"/>
                <w:sz w:val="24"/>
                <w:highlight w:val="none"/>
              </w:rPr>
              <w:t>/a</w:t>
            </w:r>
            <w:r>
              <w:rPr>
                <w:rFonts w:hint="eastAsia" w:eastAsia="仿宋_GB2312"/>
                <w:color w:val="auto"/>
                <w:sz w:val="24"/>
              </w:rPr>
              <w:t>，满足项目所需。其中蒸发系统处理能力为0.15m</w:t>
            </w:r>
            <w:r>
              <w:rPr>
                <w:rFonts w:hint="eastAsia" w:eastAsia="仿宋_GB2312"/>
                <w:color w:val="auto"/>
                <w:sz w:val="24"/>
                <w:vertAlign w:val="superscript"/>
              </w:rPr>
              <w:t>3</w:t>
            </w:r>
            <w:r>
              <w:rPr>
                <w:rFonts w:hint="eastAsia" w:eastAsia="仿宋_GB2312"/>
                <w:color w:val="auto"/>
                <w:sz w:val="24"/>
              </w:rPr>
              <w:t>/h，满足项目所需。</w:t>
            </w:r>
          </w:p>
          <w:p w14:paraId="7EE97D36">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（2）处理效果可行性分析</w:t>
            </w:r>
          </w:p>
          <w:p w14:paraId="1B4E963E">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eastAsia" w:eastAsia="仿宋_GB2312"/>
                <w:color w:val="auto"/>
                <w:sz w:val="24"/>
              </w:rPr>
              <w:t>本项目采用的污水处理方案为同类企业生产废水处理后回用不外排而普遍采用的工艺，运行已经成熟，根据常州市瀚华环保科技有限公司的设计方案并类比同行业实际运行情况，污水站处理效果见</w:t>
            </w:r>
            <w:r>
              <w:rPr>
                <w:rFonts w:hint="eastAsia" w:eastAsia="仿宋_GB2312"/>
                <w:color w:val="auto"/>
                <w:sz w:val="24"/>
                <w:lang w:eastAsia="zh-CN"/>
              </w:rPr>
              <w:t>下</w:t>
            </w:r>
            <w:r>
              <w:rPr>
                <w:rFonts w:hint="eastAsia" w:eastAsia="仿宋_GB2312"/>
                <w:color w:val="auto"/>
                <w:sz w:val="24"/>
              </w:rPr>
              <w:t>表。</w:t>
            </w:r>
          </w:p>
          <w:p w14:paraId="4F76BB22">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highlight w:val="none"/>
              </w:rPr>
            </w:pPr>
            <w:r>
              <w:rPr>
                <w:rFonts w:hint="default" w:eastAsia="仿宋_GB2312"/>
                <w:b/>
                <w:bCs/>
                <w:color w:val="auto"/>
                <w:kern w:val="0"/>
                <w:sz w:val="22"/>
                <w:szCs w:val="22"/>
                <w:highlight w:val="none"/>
              </w:rPr>
              <w:t>表</w:t>
            </w:r>
            <w:r>
              <w:rPr>
                <w:rFonts w:hint="eastAsia" w:eastAsia="仿宋_GB2312"/>
                <w:b/>
                <w:bCs/>
                <w:color w:val="auto"/>
                <w:kern w:val="0"/>
                <w:sz w:val="22"/>
                <w:szCs w:val="22"/>
                <w:highlight w:val="none"/>
                <w:lang w:val="en-US" w:eastAsia="zh-CN"/>
              </w:rPr>
              <w:t>4-21</w:t>
            </w:r>
            <w:r>
              <w:rPr>
                <w:rFonts w:hint="default" w:eastAsia="仿宋_GB2312"/>
                <w:b/>
                <w:bCs/>
                <w:color w:val="auto"/>
                <w:kern w:val="0"/>
                <w:sz w:val="22"/>
                <w:szCs w:val="22"/>
                <w:highlight w:val="none"/>
              </w:rPr>
              <w:t xml:space="preserve">  本项目污水站污水处理效果表（mg/L）</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1455"/>
              <w:gridCol w:w="1329"/>
              <w:gridCol w:w="1295"/>
              <w:gridCol w:w="1430"/>
              <w:gridCol w:w="1430"/>
              <w:gridCol w:w="1430"/>
            </w:tblGrid>
            <w:tr w14:paraId="268DB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909" w:type="dxa"/>
                  <w:vMerge w:val="restart"/>
                  <w:vAlign w:val="center"/>
                </w:tcPr>
                <w:p w14:paraId="04E08A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工段项目</w:t>
                  </w:r>
                </w:p>
              </w:tc>
              <w:tc>
                <w:tcPr>
                  <w:tcW w:w="3959" w:type="dxa"/>
                  <w:gridSpan w:val="3"/>
                  <w:vAlign w:val="center"/>
                </w:tcPr>
                <w:p w14:paraId="02ACE3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调节池</w:t>
                  </w:r>
                  <w:r>
                    <w:rPr>
                      <w:rFonts w:hint="default" w:ascii="Times New Roman" w:hAnsi="Times New Roman" w:eastAsia="仿宋_GB2312" w:cs="Times New Roman"/>
                      <w:b/>
                      <w:bCs/>
                      <w:i w:val="0"/>
                      <w:iCs w:val="0"/>
                      <w:color w:val="auto"/>
                      <w:kern w:val="0"/>
                      <w:sz w:val="21"/>
                      <w:szCs w:val="21"/>
                      <w:u w:val="none"/>
                      <w:lang w:val="en-US" w:eastAsia="zh-CN" w:bidi="ar"/>
                    </w:rPr>
                    <w:t>+</w:t>
                  </w:r>
                  <w:r>
                    <w:rPr>
                      <w:rFonts w:hint="eastAsia" w:ascii="仿宋_GB2312" w:hAnsi="宋体" w:eastAsia="仿宋_GB2312" w:cs="仿宋_GB2312"/>
                      <w:b/>
                      <w:bCs/>
                      <w:i w:val="0"/>
                      <w:iCs w:val="0"/>
                      <w:color w:val="auto"/>
                      <w:kern w:val="0"/>
                      <w:sz w:val="21"/>
                      <w:szCs w:val="21"/>
                      <w:u w:val="none"/>
                      <w:lang w:val="en-US" w:eastAsia="zh-CN" w:bidi="ar"/>
                    </w:rPr>
                    <w:t>气浮</w:t>
                  </w:r>
                </w:p>
              </w:tc>
              <w:tc>
                <w:tcPr>
                  <w:tcW w:w="4242" w:type="dxa"/>
                  <w:gridSpan w:val="3"/>
                  <w:vAlign w:val="center"/>
                </w:tcPr>
                <w:p w14:paraId="57418A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中间池</w:t>
                  </w:r>
                  <w:r>
                    <w:rPr>
                      <w:rFonts w:hint="default" w:ascii="Times New Roman" w:hAnsi="Times New Roman" w:eastAsia="仿宋_GB2312" w:cs="Times New Roman"/>
                      <w:b/>
                      <w:bCs/>
                      <w:i w:val="0"/>
                      <w:iCs w:val="0"/>
                      <w:color w:val="auto"/>
                      <w:kern w:val="0"/>
                      <w:sz w:val="21"/>
                      <w:szCs w:val="21"/>
                      <w:u w:val="none"/>
                      <w:lang w:val="en-US" w:eastAsia="zh-CN" w:bidi="ar"/>
                    </w:rPr>
                    <w:t>+</w:t>
                  </w:r>
                  <w:r>
                    <w:rPr>
                      <w:rFonts w:hint="eastAsia" w:ascii="仿宋_GB2312" w:hAnsi="宋体" w:eastAsia="仿宋_GB2312" w:cs="仿宋_GB2312"/>
                      <w:b/>
                      <w:bCs/>
                      <w:i w:val="0"/>
                      <w:iCs w:val="0"/>
                      <w:color w:val="auto"/>
                      <w:kern w:val="0"/>
                      <w:sz w:val="21"/>
                      <w:szCs w:val="21"/>
                      <w:u w:val="none"/>
                      <w:lang w:val="en-US" w:eastAsia="zh-CN" w:bidi="ar"/>
                    </w:rPr>
                    <w:t>厌氧池</w:t>
                  </w:r>
                </w:p>
              </w:tc>
            </w:tr>
            <w:tr w14:paraId="529B7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909" w:type="dxa"/>
                  <w:vMerge w:val="continue"/>
                  <w:vAlign w:val="center"/>
                </w:tcPr>
                <w:p w14:paraId="6DCA04F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 w:val="21"/>
                    </w:rPr>
                  </w:pPr>
                </w:p>
              </w:tc>
              <w:tc>
                <w:tcPr>
                  <w:tcW w:w="1439" w:type="dxa"/>
                  <w:vAlign w:val="center"/>
                </w:tcPr>
                <w:p w14:paraId="21F61F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进水</w:t>
                  </w:r>
                </w:p>
              </w:tc>
              <w:tc>
                <w:tcPr>
                  <w:tcW w:w="1314" w:type="dxa"/>
                  <w:vAlign w:val="center"/>
                </w:tcPr>
                <w:p w14:paraId="303F60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出水</w:t>
                  </w:r>
                </w:p>
              </w:tc>
              <w:tc>
                <w:tcPr>
                  <w:tcW w:w="1280" w:type="dxa"/>
                  <w:vAlign w:val="center"/>
                </w:tcPr>
                <w:p w14:paraId="47F333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处理效率</w:t>
                  </w:r>
                </w:p>
              </w:tc>
              <w:tc>
                <w:tcPr>
                  <w:tcW w:w="1414" w:type="dxa"/>
                  <w:vAlign w:val="center"/>
                </w:tcPr>
                <w:p w14:paraId="14DD25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进水</w:t>
                  </w:r>
                </w:p>
              </w:tc>
              <w:tc>
                <w:tcPr>
                  <w:tcW w:w="1414" w:type="dxa"/>
                  <w:vAlign w:val="center"/>
                </w:tcPr>
                <w:p w14:paraId="39BF9E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出水</w:t>
                  </w:r>
                </w:p>
              </w:tc>
              <w:tc>
                <w:tcPr>
                  <w:tcW w:w="1414" w:type="dxa"/>
                  <w:vAlign w:val="center"/>
                </w:tcPr>
                <w:p w14:paraId="0232F5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处理效率</w:t>
                  </w:r>
                </w:p>
              </w:tc>
            </w:tr>
            <w:tr w14:paraId="07126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517218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39" w:type="dxa"/>
                  <w:vAlign w:val="center"/>
                </w:tcPr>
                <w:p w14:paraId="0250B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1946.1</w:t>
                  </w:r>
                </w:p>
              </w:tc>
              <w:tc>
                <w:tcPr>
                  <w:tcW w:w="1314" w:type="dxa"/>
                  <w:vAlign w:val="center"/>
                </w:tcPr>
                <w:p w14:paraId="4FD2E0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1654.185 </w:t>
                  </w:r>
                </w:p>
              </w:tc>
              <w:tc>
                <w:tcPr>
                  <w:tcW w:w="1280" w:type="dxa"/>
                  <w:vAlign w:val="center"/>
                </w:tcPr>
                <w:p w14:paraId="720DF3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414" w:type="dxa"/>
                  <w:vAlign w:val="center"/>
                </w:tcPr>
                <w:p w14:paraId="27CB2C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1654.185 </w:t>
                  </w:r>
                </w:p>
              </w:tc>
              <w:tc>
                <w:tcPr>
                  <w:tcW w:w="1414" w:type="dxa"/>
                  <w:vAlign w:val="center"/>
                </w:tcPr>
                <w:p w14:paraId="40431A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661.674 </w:t>
                  </w:r>
                </w:p>
              </w:tc>
              <w:tc>
                <w:tcPr>
                  <w:tcW w:w="1414" w:type="dxa"/>
                  <w:vAlign w:val="center"/>
                </w:tcPr>
                <w:p w14:paraId="353783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60%</w:t>
                  </w:r>
                </w:p>
              </w:tc>
            </w:tr>
            <w:tr w14:paraId="61728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09" w:type="dxa"/>
                  <w:vAlign w:val="center"/>
                </w:tcPr>
                <w:p w14:paraId="53D49C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39" w:type="dxa"/>
                  <w:vAlign w:val="center"/>
                </w:tcPr>
                <w:p w14:paraId="22799D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color w:val="auto"/>
                      <w:sz w:val="21"/>
                    </w:rPr>
                  </w:pPr>
                  <w:r>
                    <w:rPr>
                      <w:rFonts w:hint="default" w:ascii="Times New Roman" w:hAnsi="Times New Roman" w:eastAsia="宋体" w:cs="Times New Roman"/>
                      <w:b w:val="0"/>
                      <w:bCs w:val="0"/>
                      <w:i w:val="0"/>
                      <w:iCs w:val="0"/>
                      <w:color w:val="auto"/>
                      <w:kern w:val="0"/>
                      <w:sz w:val="22"/>
                      <w:szCs w:val="22"/>
                      <w:u w:val="none"/>
                      <w:lang w:val="en-US" w:eastAsia="zh-CN" w:bidi="ar"/>
                    </w:rPr>
                    <w:t>151.5</w:t>
                  </w:r>
                </w:p>
              </w:tc>
              <w:tc>
                <w:tcPr>
                  <w:tcW w:w="1314" w:type="dxa"/>
                  <w:vAlign w:val="center"/>
                </w:tcPr>
                <w:p w14:paraId="243CC8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75.750 </w:t>
                  </w:r>
                </w:p>
              </w:tc>
              <w:tc>
                <w:tcPr>
                  <w:tcW w:w="1280" w:type="dxa"/>
                  <w:vAlign w:val="center"/>
                </w:tcPr>
                <w:p w14:paraId="72995F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414" w:type="dxa"/>
                  <w:vAlign w:val="center"/>
                </w:tcPr>
                <w:p w14:paraId="1A15D9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75.750 </w:t>
                  </w:r>
                </w:p>
              </w:tc>
              <w:tc>
                <w:tcPr>
                  <w:tcW w:w="1414" w:type="dxa"/>
                  <w:vAlign w:val="center"/>
                </w:tcPr>
                <w:p w14:paraId="178283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75.750 </w:t>
                  </w:r>
                </w:p>
              </w:tc>
              <w:tc>
                <w:tcPr>
                  <w:tcW w:w="1414" w:type="dxa"/>
                  <w:vAlign w:val="top"/>
                </w:tcPr>
                <w:p w14:paraId="303E4A5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w:t>
                  </w:r>
                </w:p>
              </w:tc>
            </w:tr>
            <w:tr w14:paraId="69514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37E95E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highlight w:val="yellow"/>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439" w:type="dxa"/>
                  <w:vAlign w:val="center"/>
                </w:tcPr>
                <w:p w14:paraId="1BB9DE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color w:val="auto"/>
                      <w:sz w:val="21"/>
                    </w:rPr>
                  </w:pPr>
                  <w:r>
                    <w:rPr>
                      <w:rFonts w:hint="default" w:ascii="Times New Roman" w:hAnsi="Times New Roman" w:eastAsia="宋体" w:cs="Times New Roman"/>
                      <w:b w:val="0"/>
                      <w:bCs w:val="0"/>
                      <w:i w:val="0"/>
                      <w:iCs w:val="0"/>
                      <w:color w:val="auto"/>
                      <w:kern w:val="0"/>
                      <w:sz w:val="22"/>
                      <w:szCs w:val="22"/>
                      <w:u w:val="none"/>
                      <w:lang w:val="en-US" w:eastAsia="zh-CN" w:bidi="ar"/>
                    </w:rPr>
                    <w:t>82.4</w:t>
                  </w:r>
                </w:p>
              </w:tc>
              <w:tc>
                <w:tcPr>
                  <w:tcW w:w="1314" w:type="dxa"/>
                  <w:vAlign w:val="center"/>
                </w:tcPr>
                <w:p w14:paraId="08C7A0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78.280 </w:t>
                  </w:r>
                </w:p>
              </w:tc>
              <w:tc>
                <w:tcPr>
                  <w:tcW w:w="1280" w:type="dxa"/>
                  <w:vAlign w:val="center"/>
                </w:tcPr>
                <w:p w14:paraId="014D0E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14" w:type="dxa"/>
                  <w:vAlign w:val="center"/>
                </w:tcPr>
                <w:p w14:paraId="55485A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78.280 </w:t>
                  </w:r>
                </w:p>
              </w:tc>
              <w:tc>
                <w:tcPr>
                  <w:tcW w:w="1414" w:type="dxa"/>
                  <w:vAlign w:val="center"/>
                </w:tcPr>
                <w:p w14:paraId="1750AB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66.538 </w:t>
                  </w:r>
                </w:p>
              </w:tc>
              <w:tc>
                <w:tcPr>
                  <w:tcW w:w="1414" w:type="dxa"/>
                  <w:vAlign w:val="top"/>
                </w:tcPr>
                <w:p w14:paraId="736E61F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15%</w:t>
                  </w:r>
                </w:p>
              </w:tc>
            </w:tr>
            <w:tr w14:paraId="05BC8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3B27B8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highlight w:val="yellow"/>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439" w:type="dxa"/>
                  <w:vAlign w:val="center"/>
                </w:tcPr>
                <w:p w14:paraId="05B7AE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color w:val="auto"/>
                      <w:sz w:val="21"/>
                    </w:rPr>
                  </w:pPr>
                  <w:r>
                    <w:rPr>
                      <w:rFonts w:hint="default" w:ascii="Times New Roman" w:hAnsi="Times New Roman" w:eastAsia="宋体" w:cs="Times New Roman"/>
                      <w:b w:val="0"/>
                      <w:bCs w:val="0"/>
                      <w:i w:val="0"/>
                      <w:iCs w:val="0"/>
                      <w:color w:val="auto"/>
                      <w:kern w:val="0"/>
                      <w:sz w:val="22"/>
                      <w:szCs w:val="22"/>
                      <w:u w:val="none"/>
                      <w:lang w:val="en-US" w:eastAsia="zh-CN" w:bidi="ar"/>
                    </w:rPr>
                    <w:t>99.8</w:t>
                  </w:r>
                </w:p>
              </w:tc>
              <w:tc>
                <w:tcPr>
                  <w:tcW w:w="1314" w:type="dxa"/>
                  <w:vAlign w:val="center"/>
                </w:tcPr>
                <w:p w14:paraId="7842EC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94.810 </w:t>
                  </w:r>
                </w:p>
              </w:tc>
              <w:tc>
                <w:tcPr>
                  <w:tcW w:w="1280" w:type="dxa"/>
                  <w:vAlign w:val="center"/>
                </w:tcPr>
                <w:p w14:paraId="3F4A34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14" w:type="dxa"/>
                  <w:vAlign w:val="center"/>
                </w:tcPr>
                <w:p w14:paraId="4A0308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94.810 </w:t>
                  </w:r>
                </w:p>
              </w:tc>
              <w:tc>
                <w:tcPr>
                  <w:tcW w:w="1414" w:type="dxa"/>
                  <w:vAlign w:val="center"/>
                </w:tcPr>
                <w:p w14:paraId="3B92BA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80.589 </w:t>
                  </w:r>
                </w:p>
              </w:tc>
              <w:tc>
                <w:tcPr>
                  <w:tcW w:w="1414" w:type="dxa"/>
                  <w:vAlign w:val="top"/>
                </w:tcPr>
                <w:p w14:paraId="45BB3CB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15%</w:t>
                  </w:r>
                </w:p>
              </w:tc>
            </w:tr>
            <w:tr w14:paraId="2AB65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584078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39" w:type="dxa"/>
                  <w:vAlign w:val="center"/>
                </w:tcPr>
                <w:p w14:paraId="53CCC3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color w:val="auto"/>
                      <w:sz w:val="21"/>
                    </w:rPr>
                  </w:pPr>
                  <w:r>
                    <w:rPr>
                      <w:rFonts w:hint="default" w:ascii="Times New Roman" w:hAnsi="Times New Roman" w:eastAsia="宋体" w:cs="Times New Roman"/>
                      <w:b w:val="0"/>
                      <w:bCs w:val="0"/>
                      <w:i w:val="0"/>
                      <w:iCs w:val="0"/>
                      <w:color w:val="auto"/>
                      <w:kern w:val="0"/>
                      <w:sz w:val="22"/>
                      <w:szCs w:val="22"/>
                      <w:u w:val="none"/>
                      <w:lang w:val="en-US" w:eastAsia="zh-CN" w:bidi="ar"/>
                    </w:rPr>
                    <w:t>139.1</w:t>
                  </w:r>
                </w:p>
              </w:tc>
              <w:tc>
                <w:tcPr>
                  <w:tcW w:w="1314" w:type="dxa"/>
                  <w:vAlign w:val="center"/>
                </w:tcPr>
                <w:p w14:paraId="034D75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6.955 </w:t>
                  </w:r>
                </w:p>
              </w:tc>
              <w:tc>
                <w:tcPr>
                  <w:tcW w:w="1280" w:type="dxa"/>
                  <w:vAlign w:val="center"/>
                </w:tcPr>
                <w:p w14:paraId="1905F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414" w:type="dxa"/>
                  <w:vAlign w:val="center"/>
                </w:tcPr>
                <w:p w14:paraId="2DF645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6.955 </w:t>
                  </w:r>
                </w:p>
              </w:tc>
              <w:tc>
                <w:tcPr>
                  <w:tcW w:w="1414" w:type="dxa"/>
                  <w:vAlign w:val="center"/>
                </w:tcPr>
                <w:p w14:paraId="260FA1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5.564 </w:t>
                  </w:r>
                </w:p>
              </w:tc>
              <w:tc>
                <w:tcPr>
                  <w:tcW w:w="1414" w:type="dxa"/>
                  <w:vAlign w:val="top"/>
                </w:tcPr>
                <w:p w14:paraId="2D8A13A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20%</w:t>
                  </w:r>
                </w:p>
              </w:tc>
            </w:tr>
            <w:tr w14:paraId="23B81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4FEDB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i w:val="0"/>
                      <w:iCs w:val="0"/>
                      <w:color w:val="auto"/>
                      <w:kern w:val="0"/>
                      <w:sz w:val="21"/>
                      <w:szCs w:val="21"/>
                      <w:u w:val="none"/>
                      <w:lang w:val="en-US" w:eastAsia="zh-CN" w:bidi="ar"/>
                    </w:rPr>
                    <w:t>盐分</w:t>
                  </w:r>
                </w:p>
              </w:tc>
              <w:tc>
                <w:tcPr>
                  <w:tcW w:w="1439" w:type="dxa"/>
                  <w:vAlign w:val="center"/>
                </w:tcPr>
                <w:p w14:paraId="185329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val="0"/>
                      <w:bCs w:val="0"/>
                      <w:color w:val="auto"/>
                      <w:sz w:val="21"/>
                    </w:rPr>
                  </w:pPr>
                  <w:r>
                    <w:rPr>
                      <w:rFonts w:hint="default" w:ascii="Times New Roman" w:hAnsi="Times New Roman" w:eastAsia="宋体" w:cs="Times New Roman"/>
                      <w:b w:val="0"/>
                      <w:bCs w:val="0"/>
                      <w:i w:val="0"/>
                      <w:iCs w:val="0"/>
                      <w:color w:val="auto"/>
                      <w:kern w:val="0"/>
                      <w:sz w:val="22"/>
                      <w:szCs w:val="22"/>
                      <w:u w:val="none"/>
                      <w:lang w:val="en-US" w:eastAsia="zh-CN" w:bidi="ar"/>
                    </w:rPr>
                    <w:t>5727.9</w:t>
                  </w:r>
                </w:p>
              </w:tc>
              <w:tc>
                <w:tcPr>
                  <w:tcW w:w="1314" w:type="dxa"/>
                  <w:vAlign w:val="center"/>
                </w:tcPr>
                <w:p w14:paraId="3C7F11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5727.900 </w:t>
                  </w:r>
                </w:p>
              </w:tc>
              <w:tc>
                <w:tcPr>
                  <w:tcW w:w="1280" w:type="dxa"/>
                  <w:vAlign w:val="center"/>
                </w:tcPr>
                <w:p w14:paraId="0BEC2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414" w:type="dxa"/>
                  <w:vAlign w:val="center"/>
                </w:tcPr>
                <w:p w14:paraId="21D78A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5727.900 </w:t>
                  </w:r>
                </w:p>
              </w:tc>
              <w:tc>
                <w:tcPr>
                  <w:tcW w:w="1414" w:type="dxa"/>
                  <w:vAlign w:val="center"/>
                </w:tcPr>
                <w:p w14:paraId="7673A4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5727.900 </w:t>
                  </w:r>
                </w:p>
              </w:tc>
              <w:tc>
                <w:tcPr>
                  <w:tcW w:w="1414" w:type="dxa"/>
                  <w:vAlign w:val="center"/>
                </w:tcPr>
                <w:p w14:paraId="082D3B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w:t>
                  </w:r>
                </w:p>
              </w:tc>
            </w:tr>
            <w:tr w14:paraId="2752B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Merge w:val="restart"/>
                  <w:vAlign w:val="center"/>
                </w:tcPr>
                <w:p w14:paraId="1CAF38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工段项目</w:t>
                  </w:r>
                </w:p>
              </w:tc>
              <w:tc>
                <w:tcPr>
                  <w:tcW w:w="3959" w:type="dxa"/>
                  <w:gridSpan w:val="3"/>
                  <w:vAlign w:val="center"/>
                </w:tcPr>
                <w:p w14:paraId="55FDD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两段</w:t>
                  </w:r>
                  <w:r>
                    <w:rPr>
                      <w:rFonts w:hint="default" w:ascii="Times New Roman" w:hAnsi="Times New Roman" w:eastAsia="仿宋_GB2312" w:cs="Times New Roman"/>
                      <w:b/>
                      <w:bCs/>
                      <w:i w:val="0"/>
                      <w:iCs w:val="0"/>
                      <w:color w:val="auto"/>
                      <w:kern w:val="0"/>
                      <w:sz w:val="21"/>
                      <w:szCs w:val="21"/>
                      <w:u w:val="none"/>
                      <w:lang w:val="en-US" w:eastAsia="zh-CN" w:bidi="ar"/>
                    </w:rPr>
                    <w:t>A/O</w:t>
                  </w:r>
                </w:p>
              </w:tc>
              <w:tc>
                <w:tcPr>
                  <w:tcW w:w="4242" w:type="dxa"/>
                  <w:gridSpan w:val="3"/>
                  <w:vAlign w:val="center"/>
                </w:tcPr>
                <w:p w14:paraId="772C0E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二沉池</w:t>
                  </w:r>
                </w:p>
              </w:tc>
            </w:tr>
            <w:tr w14:paraId="196D3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Merge w:val="continue"/>
                  <w:vAlign w:val="center"/>
                </w:tcPr>
                <w:p w14:paraId="6098602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
                      <w:bCs/>
                      <w:color w:val="auto"/>
                      <w:sz w:val="21"/>
                    </w:rPr>
                  </w:pPr>
                </w:p>
              </w:tc>
              <w:tc>
                <w:tcPr>
                  <w:tcW w:w="1439" w:type="dxa"/>
                  <w:vAlign w:val="center"/>
                </w:tcPr>
                <w:p w14:paraId="6C0849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进水</w:t>
                  </w:r>
                </w:p>
              </w:tc>
              <w:tc>
                <w:tcPr>
                  <w:tcW w:w="1314" w:type="dxa"/>
                  <w:vAlign w:val="center"/>
                </w:tcPr>
                <w:p w14:paraId="7DF386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出水</w:t>
                  </w:r>
                </w:p>
              </w:tc>
              <w:tc>
                <w:tcPr>
                  <w:tcW w:w="1280" w:type="dxa"/>
                  <w:vAlign w:val="center"/>
                </w:tcPr>
                <w:p w14:paraId="011685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处理效率</w:t>
                  </w:r>
                </w:p>
              </w:tc>
              <w:tc>
                <w:tcPr>
                  <w:tcW w:w="1414" w:type="dxa"/>
                  <w:vAlign w:val="center"/>
                </w:tcPr>
                <w:p w14:paraId="3EE89E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b/>
                      <w:bCs/>
                      <w:i w:val="0"/>
                      <w:iCs w:val="0"/>
                      <w:color w:val="auto"/>
                      <w:kern w:val="0"/>
                      <w:sz w:val="21"/>
                      <w:szCs w:val="21"/>
                      <w:u w:val="none"/>
                      <w:lang w:val="en-US" w:eastAsia="zh-CN" w:bidi="ar"/>
                    </w:rPr>
                    <w:t>进水</w:t>
                  </w:r>
                </w:p>
              </w:tc>
              <w:tc>
                <w:tcPr>
                  <w:tcW w:w="1414" w:type="dxa"/>
                  <w:vAlign w:val="center"/>
                </w:tcPr>
                <w:p w14:paraId="6F6979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b/>
                      <w:bCs/>
                      <w:i w:val="0"/>
                      <w:iCs w:val="0"/>
                      <w:color w:val="auto"/>
                      <w:kern w:val="0"/>
                      <w:sz w:val="21"/>
                      <w:szCs w:val="21"/>
                      <w:u w:val="none"/>
                      <w:lang w:val="en-US" w:eastAsia="zh-CN" w:bidi="ar"/>
                    </w:rPr>
                    <w:t>出水</w:t>
                  </w:r>
                </w:p>
              </w:tc>
              <w:tc>
                <w:tcPr>
                  <w:tcW w:w="1414" w:type="dxa"/>
                  <w:vAlign w:val="center"/>
                </w:tcPr>
                <w:p w14:paraId="18BBCB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b/>
                      <w:bCs/>
                      <w:i w:val="0"/>
                      <w:iCs w:val="0"/>
                      <w:color w:val="auto"/>
                      <w:kern w:val="0"/>
                      <w:sz w:val="21"/>
                      <w:szCs w:val="21"/>
                      <w:u w:val="none"/>
                      <w:lang w:val="en-US" w:eastAsia="zh-CN" w:bidi="ar"/>
                    </w:rPr>
                    <w:t>处理效率</w:t>
                  </w:r>
                </w:p>
              </w:tc>
            </w:tr>
            <w:tr w14:paraId="2A692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9" w:type="dxa"/>
                  <w:vAlign w:val="center"/>
                </w:tcPr>
                <w:p w14:paraId="01B5CF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39" w:type="dxa"/>
                  <w:vAlign w:val="center"/>
                </w:tcPr>
                <w:p w14:paraId="32C52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661.674 </w:t>
                  </w:r>
                </w:p>
              </w:tc>
              <w:tc>
                <w:tcPr>
                  <w:tcW w:w="1314" w:type="dxa"/>
                  <w:vAlign w:val="center"/>
                </w:tcPr>
                <w:p w14:paraId="517AF4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33.084 </w:t>
                  </w:r>
                </w:p>
              </w:tc>
              <w:tc>
                <w:tcPr>
                  <w:tcW w:w="1280" w:type="dxa"/>
                  <w:vAlign w:val="center"/>
                </w:tcPr>
                <w:p w14:paraId="03EAC4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414" w:type="dxa"/>
                  <w:vAlign w:val="center"/>
                </w:tcPr>
                <w:p w14:paraId="5D9385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33.084 </w:t>
                  </w:r>
                </w:p>
              </w:tc>
              <w:tc>
                <w:tcPr>
                  <w:tcW w:w="1414" w:type="dxa"/>
                  <w:vAlign w:val="center"/>
                </w:tcPr>
                <w:p w14:paraId="4C4C9C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33.084 </w:t>
                  </w:r>
                </w:p>
              </w:tc>
              <w:tc>
                <w:tcPr>
                  <w:tcW w:w="1414" w:type="dxa"/>
                  <w:vAlign w:val="center"/>
                </w:tcPr>
                <w:p w14:paraId="25C317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w:t>
                  </w:r>
                </w:p>
              </w:tc>
            </w:tr>
            <w:tr w14:paraId="70CFF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9" w:type="dxa"/>
                  <w:vAlign w:val="center"/>
                </w:tcPr>
                <w:p w14:paraId="542887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39" w:type="dxa"/>
                  <w:vAlign w:val="center"/>
                </w:tcPr>
                <w:p w14:paraId="3ED65E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75.750 </w:t>
                  </w:r>
                </w:p>
              </w:tc>
              <w:tc>
                <w:tcPr>
                  <w:tcW w:w="1314" w:type="dxa"/>
                  <w:vAlign w:val="center"/>
                </w:tcPr>
                <w:p w14:paraId="4B733B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75.750 </w:t>
                  </w:r>
                </w:p>
              </w:tc>
              <w:tc>
                <w:tcPr>
                  <w:tcW w:w="1280" w:type="dxa"/>
                  <w:vAlign w:val="center"/>
                </w:tcPr>
                <w:p w14:paraId="343614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w:t>
                  </w:r>
                </w:p>
              </w:tc>
              <w:tc>
                <w:tcPr>
                  <w:tcW w:w="1414" w:type="dxa"/>
                  <w:vAlign w:val="center"/>
                </w:tcPr>
                <w:p w14:paraId="252A2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75.750 </w:t>
                  </w:r>
                </w:p>
              </w:tc>
              <w:tc>
                <w:tcPr>
                  <w:tcW w:w="1414" w:type="dxa"/>
                  <w:vAlign w:val="center"/>
                </w:tcPr>
                <w:p w14:paraId="2F709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22.725 </w:t>
                  </w:r>
                </w:p>
              </w:tc>
              <w:tc>
                <w:tcPr>
                  <w:tcW w:w="1414" w:type="dxa"/>
                  <w:vAlign w:val="center"/>
                </w:tcPr>
                <w:p w14:paraId="508E9D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70%</w:t>
                  </w:r>
                </w:p>
              </w:tc>
            </w:tr>
            <w:tr w14:paraId="5B48F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9" w:type="dxa"/>
                  <w:vAlign w:val="center"/>
                </w:tcPr>
                <w:p w14:paraId="6B573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439" w:type="dxa"/>
                  <w:vAlign w:val="center"/>
                </w:tcPr>
                <w:p w14:paraId="659D0E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66.538 </w:t>
                  </w:r>
                </w:p>
              </w:tc>
              <w:tc>
                <w:tcPr>
                  <w:tcW w:w="1314" w:type="dxa"/>
                  <w:vAlign w:val="center"/>
                </w:tcPr>
                <w:p w14:paraId="438807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3.327 </w:t>
                  </w:r>
                </w:p>
              </w:tc>
              <w:tc>
                <w:tcPr>
                  <w:tcW w:w="1280" w:type="dxa"/>
                  <w:vAlign w:val="center"/>
                </w:tcPr>
                <w:p w14:paraId="070A80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414" w:type="dxa"/>
                  <w:vAlign w:val="center"/>
                </w:tcPr>
                <w:p w14:paraId="432683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3.327 </w:t>
                  </w:r>
                </w:p>
              </w:tc>
              <w:tc>
                <w:tcPr>
                  <w:tcW w:w="1414" w:type="dxa"/>
                  <w:vAlign w:val="center"/>
                </w:tcPr>
                <w:p w14:paraId="4B811E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3.327 </w:t>
                  </w:r>
                </w:p>
              </w:tc>
              <w:tc>
                <w:tcPr>
                  <w:tcW w:w="1414" w:type="dxa"/>
                  <w:vAlign w:val="center"/>
                </w:tcPr>
                <w:p w14:paraId="7E71E7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w:t>
                  </w:r>
                </w:p>
              </w:tc>
            </w:tr>
            <w:tr w14:paraId="6A6B5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003DCE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439" w:type="dxa"/>
                  <w:vAlign w:val="center"/>
                </w:tcPr>
                <w:p w14:paraId="502038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80.589 </w:t>
                  </w:r>
                </w:p>
              </w:tc>
              <w:tc>
                <w:tcPr>
                  <w:tcW w:w="1314" w:type="dxa"/>
                  <w:vAlign w:val="center"/>
                </w:tcPr>
                <w:p w14:paraId="04E179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4.029 </w:t>
                  </w:r>
                </w:p>
              </w:tc>
              <w:tc>
                <w:tcPr>
                  <w:tcW w:w="1280" w:type="dxa"/>
                  <w:vAlign w:val="center"/>
                </w:tcPr>
                <w:p w14:paraId="401339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414" w:type="dxa"/>
                  <w:vAlign w:val="center"/>
                </w:tcPr>
                <w:p w14:paraId="3D2182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4.029 </w:t>
                  </w:r>
                </w:p>
              </w:tc>
              <w:tc>
                <w:tcPr>
                  <w:tcW w:w="1414" w:type="dxa"/>
                  <w:vAlign w:val="center"/>
                </w:tcPr>
                <w:p w14:paraId="2F7993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4.029 </w:t>
                  </w:r>
                </w:p>
              </w:tc>
              <w:tc>
                <w:tcPr>
                  <w:tcW w:w="1414" w:type="dxa"/>
                  <w:vAlign w:val="center"/>
                </w:tcPr>
                <w:p w14:paraId="6340EA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w:t>
                  </w:r>
                </w:p>
              </w:tc>
            </w:tr>
            <w:tr w14:paraId="2976B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3A8202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39" w:type="dxa"/>
                  <w:vAlign w:val="center"/>
                </w:tcPr>
                <w:p w14:paraId="0B80E3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5.564 </w:t>
                  </w:r>
                </w:p>
              </w:tc>
              <w:tc>
                <w:tcPr>
                  <w:tcW w:w="1314" w:type="dxa"/>
                  <w:vAlign w:val="center"/>
                </w:tcPr>
                <w:p w14:paraId="2A40D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3.895 </w:t>
                  </w:r>
                </w:p>
              </w:tc>
              <w:tc>
                <w:tcPr>
                  <w:tcW w:w="1280" w:type="dxa"/>
                  <w:vAlign w:val="center"/>
                </w:tcPr>
                <w:p w14:paraId="53A57E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414" w:type="dxa"/>
                  <w:vAlign w:val="center"/>
                </w:tcPr>
                <w:p w14:paraId="59E962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3.895 </w:t>
                  </w:r>
                </w:p>
              </w:tc>
              <w:tc>
                <w:tcPr>
                  <w:tcW w:w="1414" w:type="dxa"/>
                  <w:vAlign w:val="center"/>
                </w:tcPr>
                <w:p w14:paraId="19940C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3.895 </w:t>
                  </w:r>
                </w:p>
              </w:tc>
              <w:tc>
                <w:tcPr>
                  <w:tcW w:w="1414" w:type="dxa"/>
                  <w:vAlign w:val="center"/>
                </w:tcPr>
                <w:p w14:paraId="619D13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w:t>
                  </w:r>
                </w:p>
              </w:tc>
            </w:tr>
            <w:tr w14:paraId="7819D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09A810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i w:val="0"/>
                      <w:iCs w:val="0"/>
                      <w:color w:val="auto"/>
                      <w:kern w:val="0"/>
                      <w:sz w:val="21"/>
                      <w:szCs w:val="21"/>
                      <w:u w:val="none"/>
                      <w:lang w:val="en-US" w:eastAsia="zh-CN" w:bidi="ar"/>
                    </w:rPr>
                    <w:t>盐分</w:t>
                  </w:r>
                </w:p>
              </w:tc>
              <w:tc>
                <w:tcPr>
                  <w:tcW w:w="1439" w:type="dxa"/>
                  <w:vAlign w:val="center"/>
                </w:tcPr>
                <w:p w14:paraId="0A1F0D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5727.900 </w:t>
                  </w:r>
                </w:p>
              </w:tc>
              <w:tc>
                <w:tcPr>
                  <w:tcW w:w="1314" w:type="dxa"/>
                  <w:vAlign w:val="center"/>
                </w:tcPr>
                <w:p w14:paraId="4B9615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5727.900 </w:t>
                  </w:r>
                </w:p>
              </w:tc>
              <w:tc>
                <w:tcPr>
                  <w:tcW w:w="1280" w:type="dxa"/>
                  <w:vAlign w:val="center"/>
                </w:tcPr>
                <w:p w14:paraId="61FAE8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414" w:type="dxa"/>
                  <w:vAlign w:val="center"/>
                </w:tcPr>
                <w:p w14:paraId="014F30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5727.900 </w:t>
                  </w:r>
                </w:p>
              </w:tc>
              <w:tc>
                <w:tcPr>
                  <w:tcW w:w="1414" w:type="dxa"/>
                  <w:vAlign w:val="center"/>
                </w:tcPr>
                <w:p w14:paraId="3B27A0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5727.900 </w:t>
                  </w:r>
                </w:p>
              </w:tc>
              <w:tc>
                <w:tcPr>
                  <w:tcW w:w="1414" w:type="dxa"/>
                  <w:vAlign w:val="center"/>
                </w:tcPr>
                <w:p w14:paraId="3F9561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w:t>
                  </w:r>
                </w:p>
              </w:tc>
            </w:tr>
            <w:tr w14:paraId="3EDAF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Merge w:val="restart"/>
                  <w:vAlign w:val="center"/>
                </w:tcPr>
                <w:p w14:paraId="16C987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b/>
                      <w:bCs/>
                      <w:i w:val="0"/>
                      <w:iCs w:val="0"/>
                      <w:color w:val="auto"/>
                      <w:kern w:val="0"/>
                      <w:sz w:val="21"/>
                      <w:szCs w:val="21"/>
                      <w:u w:val="none"/>
                      <w:lang w:val="en-US" w:eastAsia="zh-CN" w:bidi="ar"/>
                    </w:rPr>
                    <w:t>工段项目</w:t>
                  </w:r>
                </w:p>
              </w:tc>
              <w:tc>
                <w:tcPr>
                  <w:tcW w:w="3959" w:type="dxa"/>
                  <w:gridSpan w:val="3"/>
                  <w:vAlign w:val="center"/>
                </w:tcPr>
                <w:p w14:paraId="640F3A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b/>
                      <w:bCs/>
                      <w:i w:val="0"/>
                      <w:iCs w:val="0"/>
                      <w:color w:val="auto"/>
                      <w:kern w:val="0"/>
                      <w:sz w:val="21"/>
                      <w:szCs w:val="21"/>
                      <w:u w:val="none"/>
                      <w:lang w:val="en-US" w:eastAsia="zh-CN" w:bidi="ar"/>
                    </w:rPr>
                    <w:t>双效蒸发系统</w:t>
                  </w:r>
                  <w:r>
                    <w:rPr>
                      <w:rFonts w:hint="default" w:ascii="Times New Roman" w:hAnsi="Times New Roman" w:eastAsia="仿宋_GB2312" w:cs="Times New Roman"/>
                      <w:i w:val="0"/>
                      <w:iCs w:val="0"/>
                      <w:color w:val="auto"/>
                      <w:kern w:val="0"/>
                      <w:sz w:val="21"/>
                      <w:szCs w:val="21"/>
                      <w:u w:val="none"/>
                      <w:vertAlign w:val="superscript"/>
                      <w:lang w:val="en-US" w:eastAsia="zh-CN" w:bidi="ar"/>
                    </w:rPr>
                    <w:t>*</w:t>
                  </w:r>
                </w:p>
              </w:tc>
              <w:tc>
                <w:tcPr>
                  <w:tcW w:w="4242" w:type="dxa"/>
                  <w:gridSpan w:val="3"/>
                  <w:vAlign w:val="center"/>
                </w:tcPr>
                <w:p w14:paraId="2986915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r>
            <w:tr w14:paraId="374CD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Merge w:val="continue"/>
                  <w:vAlign w:val="center"/>
                </w:tcPr>
                <w:p w14:paraId="7815C6E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39" w:type="dxa"/>
                  <w:vAlign w:val="center"/>
                </w:tcPr>
                <w:p w14:paraId="3B7A21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进水</w:t>
                  </w:r>
                </w:p>
              </w:tc>
              <w:tc>
                <w:tcPr>
                  <w:tcW w:w="1314" w:type="dxa"/>
                  <w:vAlign w:val="center"/>
                </w:tcPr>
                <w:p w14:paraId="4AE999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bCs/>
                      <w:color w:val="auto"/>
                      <w:sz w:val="21"/>
                    </w:rPr>
                  </w:pPr>
                  <w:r>
                    <w:rPr>
                      <w:rFonts w:hint="eastAsia" w:ascii="仿宋_GB2312" w:hAnsi="宋体" w:eastAsia="仿宋_GB2312" w:cs="仿宋_GB2312"/>
                      <w:b/>
                      <w:bCs/>
                      <w:i w:val="0"/>
                      <w:iCs w:val="0"/>
                      <w:color w:val="auto"/>
                      <w:kern w:val="0"/>
                      <w:sz w:val="21"/>
                      <w:szCs w:val="21"/>
                      <w:u w:val="none"/>
                      <w:lang w:val="en-US" w:eastAsia="zh-CN" w:bidi="ar"/>
                    </w:rPr>
                    <w:t>出水</w:t>
                  </w:r>
                </w:p>
              </w:tc>
              <w:tc>
                <w:tcPr>
                  <w:tcW w:w="1280" w:type="dxa"/>
                  <w:vAlign w:val="center"/>
                </w:tcPr>
                <w:p w14:paraId="1DA360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b/>
                      <w:bCs/>
                      <w:i w:val="0"/>
                      <w:iCs w:val="0"/>
                      <w:color w:val="auto"/>
                      <w:kern w:val="0"/>
                      <w:sz w:val="21"/>
                      <w:szCs w:val="21"/>
                      <w:u w:val="none"/>
                      <w:lang w:val="en-US" w:eastAsia="zh-CN" w:bidi="ar"/>
                    </w:rPr>
                    <w:t>处理效率</w:t>
                  </w:r>
                </w:p>
              </w:tc>
              <w:tc>
                <w:tcPr>
                  <w:tcW w:w="1414" w:type="dxa"/>
                  <w:vAlign w:val="center"/>
                </w:tcPr>
                <w:p w14:paraId="16A82D5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bCs/>
                      <w:color w:val="auto"/>
                      <w:sz w:val="21"/>
                    </w:rPr>
                  </w:pPr>
                </w:p>
              </w:tc>
              <w:tc>
                <w:tcPr>
                  <w:tcW w:w="1414" w:type="dxa"/>
                  <w:vAlign w:val="center"/>
                </w:tcPr>
                <w:p w14:paraId="61982B3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54C076F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r>
            <w:tr w14:paraId="133A1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78CBAA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39" w:type="dxa"/>
                  <w:vAlign w:val="center"/>
                </w:tcPr>
                <w:p w14:paraId="6DB6EB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33.084 </w:t>
                  </w:r>
                </w:p>
              </w:tc>
              <w:tc>
                <w:tcPr>
                  <w:tcW w:w="1314" w:type="dxa"/>
                  <w:vAlign w:val="center"/>
                </w:tcPr>
                <w:p w14:paraId="56F3BA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26.</w:t>
                  </w:r>
                  <w:r>
                    <w:rPr>
                      <w:rFonts w:hint="eastAsia" w:cs="Times New Roman"/>
                      <w:i w:val="0"/>
                      <w:iCs w:val="0"/>
                      <w:color w:val="auto"/>
                      <w:kern w:val="0"/>
                      <w:sz w:val="21"/>
                      <w:szCs w:val="21"/>
                      <w:u w:val="none"/>
                      <w:lang w:val="en-US" w:eastAsia="zh-CN" w:bidi="ar"/>
                    </w:rPr>
                    <w:t>5</w:t>
                  </w:r>
                </w:p>
              </w:tc>
              <w:tc>
                <w:tcPr>
                  <w:tcW w:w="1280" w:type="dxa"/>
                  <w:vAlign w:val="center"/>
                </w:tcPr>
                <w:p w14:paraId="01CB75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414" w:type="dxa"/>
                  <w:vAlign w:val="center"/>
                </w:tcPr>
                <w:p w14:paraId="0A2014A4">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707EE97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6C38EE4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r>
            <w:tr w14:paraId="703C8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2D6D9C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39" w:type="dxa"/>
                  <w:vAlign w:val="center"/>
                </w:tcPr>
                <w:p w14:paraId="3F878C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22.725 </w:t>
                  </w:r>
                </w:p>
              </w:tc>
              <w:tc>
                <w:tcPr>
                  <w:tcW w:w="1314" w:type="dxa"/>
                  <w:vAlign w:val="center"/>
                </w:tcPr>
                <w:p w14:paraId="689EB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22.7</w:t>
                  </w:r>
                </w:p>
              </w:tc>
              <w:tc>
                <w:tcPr>
                  <w:tcW w:w="1280" w:type="dxa"/>
                  <w:vAlign w:val="center"/>
                </w:tcPr>
                <w:p w14:paraId="66FFEB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w:t>
                  </w:r>
                </w:p>
              </w:tc>
              <w:tc>
                <w:tcPr>
                  <w:tcW w:w="1414" w:type="dxa"/>
                  <w:vAlign w:val="center"/>
                </w:tcPr>
                <w:p w14:paraId="3315A08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29E0694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2F2AEA51">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r>
            <w:tr w14:paraId="0CB93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0487B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439" w:type="dxa"/>
                  <w:vAlign w:val="center"/>
                </w:tcPr>
                <w:p w14:paraId="7EF368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3.327 </w:t>
                  </w:r>
                </w:p>
              </w:tc>
              <w:tc>
                <w:tcPr>
                  <w:tcW w:w="1314" w:type="dxa"/>
                  <w:vAlign w:val="center"/>
                </w:tcPr>
                <w:p w14:paraId="1B8276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2.0</w:t>
                  </w:r>
                </w:p>
              </w:tc>
              <w:tc>
                <w:tcPr>
                  <w:tcW w:w="1280" w:type="dxa"/>
                  <w:vAlign w:val="center"/>
                </w:tcPr>
                <w:p w14:paraId="093FDE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414" w:type="dxa"/>
                  <w:vAlign w:val="center"/>
                </w:tcPr>
                <w:p w14:paraId="5622442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7E850B3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4E193C7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r>
            <w:tr w14:paraId="3CB44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62F3F9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439" w:type="dxa"/>
                  <w:vAlign w:val="center"/>
                </w:tcPr>
                <w:p w14:paraId="55F801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4.029 </w:t>
                  </w:r>
                </w:p>
              </w:tc>
              <w:tc>
                <w:tcPr>
                  <w:tcW w:w="1314" w:type="dxa"/>
                  <w:vAlign w:val="center"/>
                </w:tcPr>
                <w:p w14:paraId="107B5D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cs="Times New Roman"/>
                      <w:i w:val="0"/>
                      <w:iCs w:val="0"/>
                      <w:color w:val="auto"/>
                      <w:kern w:val="0"/>
                      <w:sz w:val="21"/>
                      <w:szCs w:val="21"/>
                      <w:u w:val="none"/>
                      <w:lang w:val="en-US" w:eastAsia="zh-CN" w:bidi="ar"/>
                    </w:rPr>
                    <w:t>4</w:t>
                  </w:r>
                </w:p>
              </w:tc>
              <w:tc>
                <w:tcPr>
                  <w:tcW w:w="1280" w:type="dxa"/>
                  <w:vAlign w:val="center"/>
                </w:tcPr>
                <w:p w14:paraId="43192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414" w:type="dxa"/>
                  <w:vAlign w:val="center"/>
                </w:tcPr>
                <w:p w14:paraId="43D6589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0A42CD3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68FAA39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r>
            <w:tr w14:paraId="6523A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140164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39" w:type="dxa"/>
                  <w:vAlign w:val="center"/>
                </w:tcPr>
                <w:p w14:paraId="2B68C1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3.895 </w:t>
                  </w:r>
                </w:p>
              </w:tc>
              <w:tc>
                <w:tcPr>
                  <w:tcW w:w="1314" w:type="dxa"/>
                  <w:vAlign w:val="center"/>
                </w:tcPr>
                <w:p w14:paraId="194F42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w:t>
                  </w:r>
                </w:p>
              </w:tc>
              <w:tc>
                <w:tcPr>
                  <w:tcW w:w="1280" w:type="dxa"/>
                  <w:vAlign w:val="center"/>
                </w:tcPr>
                <w:p w14:paraId="40F072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414" w:type="dxa"/>
                  <w:vAlign w:val="center"/>
                </w:tcPr>
                <w:p w14:paraId="3D683BA6">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48A0843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0CC7193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r>
            <w:tr w14:paraId="3E604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9" w:type="dxa"/>
                  <w:vAlign w:val="center"/>
                </w:tcPr>
                <w:p w14:paraId="7A2371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eastAsia" w:ascii="仿宋_GB2312" w:hAnsi="宋体" w:eastAsia="仿宋_GB2312" w:cs="仿宋_GB2312"/>
                      <w:i w:val="0"/>
                      <w:iCs w:val="0"/>
                      <w:color w:val="auto"/>
                      <w:kern w:val="0"/>
                      <w:sz w:val="21"/>
                      <w:szCs w:val="21"/>
                      <w:u w:val="none"/>
                      <w:lang w:val="en-US" w:eastAsia="zh-CN" w:bidi="ar"/>
                    </w:rPr>
                    <w:t>盐分</w:t>
                  </w:r>
                </w:p>
              </w:tc>
              <w:tc>
                <w:tcPr>
                  <w:tcW w:w="1439" w:type="dxa"/>
                  <w:vAlign w:val="center"/>
                </w:tcPr>
                <w:p w14:paraId="64E21B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 xml:space="preserve">5727.900 </w:t>
                  </w:r>
                </w:p>
              </w:tc>
              <w:tc>
                <w:tcPr>
                  <w:tcW w:w="1314" w:type="dxa"/>
                  <w:vAlign w:val="center"/>
                </w:tcPr>
                <w:p w14:paraId="31ED0D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lang w:val="en-US"/>
                    </w:rPr>
                  </w:pPr>
                  <w:r>
                    <w:rPr>
                      <w:rFonts w:hint="default" w:ascii="Times New Roman" w:hAnsi="Times New Roman" w:eastAsia="宋体" w:cs="Times New Roman"/>
                      <w:i w:val="0"/>
                      <w:iCs w:val="0"/>
                      <w:color w:val="auto"/>
                      <w:kern w:val="0"/>
                      <w:sz w:val="21"/>
                      <w:szCs w:val="21"/>
                      <w:u w:val="none"/>
                      <w:lang w:val="en-US" w:eastAsia="zh-CN" w:bidi="ar"/>
                    </w:rPr>
                    <w:t>572.</w:t>
                  </w:r>
                  <w:r>
                    <w:rPr>
                      <w:rFonts w:hint="eastAsia" w:cs="Times New Roman"/>
                      <w:i w:val="0"/>
                      <w:iCs w:val="0"/>
                      <w:color w:val="auto"/>
                      <w:kern w:val="0"/>
                      <w:sz w:val="21"/>
                      <w:szCs w:val="21"/>
                      <w:u w:val="none"/>
                      <w:lang w:val="en-US" w:eastAsia="zh-CN" w:bidi="ar"/>
                    </w:rPr>
                    <w:t>8</w:t>
                  </w:r>
                </w:p>
              </w:tc>
              <w:tc>
                <w:tcPr>
                  <w:tcW w:w="1280" w:type="dxa"/>
                  <w:vAlign w:val="center"/>
                </w:tcPr>
                <w:p w14:paraId="79AD1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414" w:type="dxa"/>
                  <w:vAlign w:val="center"/>
                </w:tcPr>
                <w:p w14:paraId="70C0D32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4FD96150">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c>
                <w:tcPr>
                  <w:tcW w:w="1414" w:type="dxa"/>
                  <w:vAlign w:val="center"/>
                </w:tcPr>
                <w:p w14:paraId="3FC55E3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rPr>
                  </w:pPr>
                </w:p>
              </w:tc>
            </w:tr>
          </w:tbl>
          <w:p w14:paraId="53CFD7E4">
            <w:pPr>
              <w:keepNext w:val="0"/>
              <w:keepLines w:val="0"/>
              <w:suppressLineNumbers w:val="0"/>
              <w:adjustRightInd w:val="0"/>
              <w:snapToGrid w:val="0"/>
              <w:spacing w:before="0" w:beforeAutospacing="0" w:after="0" w:afterAutospacing="0" w:line="320" w:lineRule="exact"/>
              <w:ind w:left="0" w:right="0" w:firstLine="561"/>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注：*双效蒸发器pH值控制在6.5左右，大部分氨氮会以铵盐的形式存在，磷会以磷酸盐的形式存在。通过蒸发，将绝大部分大分子难降解有机物和无机盐浓缩，最终以蒸发残渣形式分离出来，作为危险废物处置。</w:t>
            </w:r>
          </w:p>
          <w:p w14:paraId="53D559B0">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回用水水质满足《城市污水再生利用工业用水水质标准》（GB/T19923-2024）中间冷开式循环冷却水系统补充水标准要求，本项目回用水水质及达标情况见下表。</w:t>
            </w:r>
          </w:p>
          <w:p w14:paraId="1D49710D">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rPr>
            </w:pPr>
            <w:r>
              <w:rPr>
                <w:rFonts w:hint="eastAsia" w:eastAsia="仿宋_GB2312"/>
                <w:b/>
                <w:bCs/>
                <w:color w:val="auto"/>
                <w:kern w:val="0"/>
                <w:sz w:val="22"/>
                <w:szCs w:val="22"/>
              </w:rPr>
              <w:t>表</w:t>
            </w:r>
            <w:r>
              <w:rPr>
                <w:rFonts w:hint="eastAsia" w:eastAsia="仿宋_GB2312"/>
                <w:b/>
                <w:bCs/>
                <w:color w:val="auto"/>
                <w:kern w:val="0"/>
                <w:sz w:val="22"/>
                <w:szCs w:val="22"/>
                <w:lang w:val="en-US" w:eastAsia="zh-CN"/>
              </w:rPr>
              <w:t>4-22</w:t>
            </w:r>
            <w:r>
              <w:rPr>
                <w:rFonts w:hint="default" w:eastAsia="仿宋_GB2312"/>
                <w:b/>
                <w:bCs/>
                <w:color w:val="auto"/>
                <w:kern w:val="0"/>
                <w:sz w:val="22"/>
                <w:szCs w:val="22"/>
              </w:rPr>
              <w:t xml:space="preserve"> </w:t>
            </w:r>
            <w:r>
              <w:rPr>
                <w:rFonts w:hint="eastAsia" w:eastAsia="仿宋_GB2312"/>
                <w:b/>
                <w:bCs/>
                <w:color w:val="auto"/>
                <w:kern w:val="0"/>
                <w:sz w:val="22"/>
                <w:szCs w:val="22"/>
              </w:rPr>
              <w:t>全厂</w:t>
            </w:r>
            <w:r>
              <w:rPr>
                <w:rFonts w:hint="default" w:eastAsia="仿宋_GB2312"/>
                <w:b/>
                <w:bCs/>
                <w:color w:val="auto"/>
                <w:kern w:val="0"/>
                <w:sz w:val="22"/>
                <w:szCs w:val="22"/>
              </w:rPr>
              <w:t>回用水</w:t>
            </w:r>
            <w:r>
              <w:rPr>
                <w:rFonts w:hint="eastAsia" w:eastAsia="仿宋_GB2312"/>
                <w:b/>
                <w:bCs/>
                <w:color w:val="auto"/>
                <w:kern w:val="0"/>
                <w:sz w:val="22"/>
                <w:szCs w:val="22"/>
              </w:rPr>
              <w:t>系统水质及达标</w:t>
            </w:r>
            <w:r>
              <w:rPr>
                <w:rFonts w:hint="default" w:eastAsia="仿宋_GB2312"/>
                <w:b/>
                <w:bCs/>
                <w:color w:val="auto"/>
                <w:kern w:val="0"/>
                <w:sz w:val="22"/>
                <w:szCs w:val="22"/>
              </w:rPr>
              <w:t>情况</w:t>
            </w:r>
            <w:r>
              <w:rPr>
                <w:rFonts w:hint="eastAsia" w:eastAsia="仿宋_GB2312"/>
                <w:b/>
                <w:bCs/>
                <w:color w:val="auto"/>
                <w:kern w:val="0"/>
                <w:sz w:val="22"/>
                <w:szCs w:val="22"/>
              </w:rPr>
              <w:t xml:space="preserve">  </w:t>
            </w:r>
            <w:r>
              <w:rPr>
                <w:rFonts w:hint="default" w:eastAsia="仿宋_GB2312"/>
                <w:b/>
                <w:bCs/>
                <w:color w:val="auto"/>
                <w:kern w:val="0"/>
                <w:sz w:val="22"/>
                <w:szCs w:val="22"/>
              </w:rPr>
              <w:t xml:space="preserve">       </w:t>
            </w:r>
            <w:r>
              <w:rPr>
                <w:rFonts w:hint="eastAsia" w:eastAsia="仿宋_GB2312"/>
                <w:b/>
                <w:bCs/>
                <w:color w:val="auto"/>
                <w:kern w:val="0"/>
                <w:sz w:val="22"/>
                <w:szCs w:val="22"/>
              </w:rPr>
              <w:t>单位：mg</w:t>
            </w:r>
            <w:r>
              <w:rPr>
                <w:rFonts w:hint="default" w:eastAsia="仿宋_GB2312"/>
                <w:b/>
                <w:bCs/>
                <w:color w:val="auto"/>
                <w:kern w:val="0"/>
                <w:sz w:val="22"/>
                <w:szCs w:val="22"/>
              </w:rPr>
              <w:t>/L</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723"/>
              <w:gridCol w:w="1785"/>
              <w:gridCol w:w="2300"/>
              <w:gridCol w:w="2902"/>
            </w:tblGrid>
            <w:tr w14:paraId="06333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2" w:hRule="atLeast"/>
                <w:jc w:val="center"/>
              </w:trPr>
              <w:tc>
                <w:tcPr>
                  <w:tcW w:w="772" w:type="pct"/>
                  <w:vAlign w:val="center"/>
                </w:tcPr>
                <w:p w14:paraId="0B6988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废水名称</w:t>
                  </w:r>
                </w:p>
              </w:tc>
              <w:tc>
                <w:tcPr>
                  <w:tcW w:w="836" w:type="pct"/>
                  <w:vAlign w:val="center"/>
                </w:tcPr>
                <w:p w14:paraId="0D45F1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废水量（m</w:t>
                  </w:r>
                  <w:r>
                    <w:rPr>
                      <w:rFonts w:hint="default" w:ascii="Times New Roman" w:hAnsi="Times New Roman" w:eastAsia="仿宋_GB2312" w:cs="Times New Roman"/>
                      <w:b/>
                      <w:color w:val="auto"/>
                      <w:sz w:val="21"/>
                      <w:vertAlign w:val="superscript"/>
                    </w:rPr>
                    <w:t>3</w:t>
                  </w:r>
                  <w:r>
                    <w:rPr>
                      <w:rFonts w:hint="default" w:ascii="Times New Roman" w:hAnsi="Times New Roman" w:eastAsia="仿宋_GB2312" w:cs="Times New Roman"/>
                      <w:b/>
                      <w:color w:val="auto"/>
                      <w:sz w:val="21"/>
                    </w:rPr>
                    <w:t>/a）</w:t>
                  </w:r>
                </w:p>
              </w:tc>
              <w:tc>
                <w:tcPr>
                  <w:tcW w:w="866" w:type="pct"/>
                  <w:vAlign w:val="center"/>
                </w:tcPr>
                <w:p w14:paraId="4BE04EC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污染物名称</w:t>
                  </w:r>
                </w:p>
              </w:tc>
              <w:tc>
                <w:tcPr>
                  <w:tcW w:w="1116" w:type="pct"/>
                  <w:vAlign w:val="center"/>
                </w:tcPr>
                <w:p w14:paraId="12C8C55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污水站出水（mg/L）</w:t>
                  </w:r>
                </w:p>
              </w:tc>
              <w:tc>
                <w:tcPr>
                  <w:tcW w:w="1408" w:type="pct"/>
                  <w:vAlign w:val="center"/>
                </w:tcPr>
                <w:p w14:paraId="0F2AB06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回用水标准限值（mg/L）</w:t>
                  </w:r>
                </w:p>
              </w:tc>
            </w:tr>
            <w:tr w14:paraId="44FE9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72" w:type="pct"/>
                  <w:vMerge w:val="restart"/>
                  <w:vAlign w:val="center"/>
                </w:tcPr>
                <w:p w14:paraId="058FD93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回用水</w:t>
                  </w:r>
                </w:p>
              </w:tc>
              <w:tc>
                <w:tcPr>
                  <w:tcW w:w="836" w:type="pct"/>
                  <w:vMerge w:val="restart"/>
                  <w:vAlign w:val="center"/>
                </w:tcPr>
                <w:p w14:paraId="5623061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lang w:val="en-US" w:eastAsia="zh-CN"/>
                    </w:rPr>
                  </w:pPr>
                  <w:r>
                    <w:rPr>
                      <w:rFonts w:hint="eastAsia" w:eastAsia="仿宋_GB2312" w:cs="Times New Roman"/>
                      <w:color w:val="auto"/>
                      <w:sz w:val="21"/>
                      <w:lang w:val="en-US" w:eastAsia="zh-CN"/>
                    </w:rPr>
                    <w:t>867.33</w:t>
                  </w:r>
                </w:p>
              </w:tc>
              <w:tc>
                <w:tcPr>
                  <w:tcW w:w="866" w:type="pct"/>
                  <w:vAlign w:val="center"/>
                </w:tcPr>
                <w:p w14:paraId="578642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COD</w:t>
                  </w:r>
                </w:p>
              </w:tc>
              <w:tc>
                <w:tcPr>
                  <w:tcW w:w="2257" w:type="dxa"/>
                  <w:vAlign w:val="center"/>
                </w:tcPr>
                <w:p w14:paraId="7567F5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 xml:space="preserve">26.5 </w:t>
                  </w:r>
                </w:p>
              </w:tc>
              <w:tc>
                <w:tcPr>
                  <w:tcW w:w="1408" w:type="pct"/>
                  <w:vAlign w:val="center"/>
                </w:tcPr>
                <w:p w14:paraId="7050FE5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w:t>
                  </w:r>
                </w:p>
              </w:tc>
            </w:tr>
            <w:tr w14:paraId="3AAE0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72" w:type="pct"/>
                  <w:vMerge w:val="continue"/>
                  <w:vAlign w:val="center"/>
                </w:tcPr>
                <w:p w14:paraId="079B8D8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36" w:type="pct"/>
                  <w:vMerge w:val="continue"/>
                  <w:vAlign w:val="center"/>
                </w:tcPr>
                <w:p w14:paraId="1B2F73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66" w:type="pct"/>
                  <w:vAlign w:val="center"/>
                </w:tcPr>
                <w:p w14:paraId="296E208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SS</w:t>
                  </w:r>
                </w:p>
              </w:tc>
              <w:tc>
                <w:tcPr>
                  <w:tcW w:w="2257" w:type="dxa"/>
                  <w:vAlign w:val="center"/>
                </w:tcPr>
                <w:p w14:paraId="14B804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 xml:space="preserve">22.7 </w:t>
                  </w:r>
                </w:p>
              </w:tc>
              <w:tc>
                <w:tcPr>
                  <w:tcW w:w="1408" w:type="pct"/>
                  <w:vAlign w:val="center"/>
                </w:tcPr>
                <w:p w14:paraId="2D4E8A2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r>
            <w:tr w14:paraId="57A40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72" w:type="pct"/>
                  <w:vMerge w:val="continue"/>
                  <w:vAlign w:val="center"/>
                </w:tcPr>
                <w:p w14:paraId="1081417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36" w:type="pct"/>
                  <w:vMerge w:val="continue"/>
                  <w:vAlign w:val="center"/>
                </w:tcPr>
                <w:p w14:paraId="096CBE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66" w:type="pct"/>
                  <w:vAlign w:val="center"/>
                </w:tcPr>
                <w:p w14:paraId="1D7CD5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r>
                    <w:rPr>
                      <w:rFonts w:hint="default" w:ascii="Times New Roman" w:hAnsi="Times New Roman" w:eastAsia="仿宋_GB2312" w:cs="Times New Roman"/>
                      <w:color w:val="auto"/>
                      <w:sz w:val="21"/>
                    </w:rPr>
                    <w:t>-N</w:t>
                  </w:r>
                </w:p>
              </w:tc>
              <w:tc>
                <w:tcPr>
                  <w:tcW w:w="2257" w:type="dxa"/>
                  <w:vAlign w:val="center"/>
                </w:tcPr>
                <w:p w14:paraId="6CA982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 xml:space="preserve">2.0 </w:t>
                  </w:r>
                </w:p>
              </w:tc>
              <w:tc>
                <w:tcPr>
                  <w:tcW w:w="1408" w:type="pct"/>
                  <w:vAlign w:val="center"/>
                </w:tcPr>
                <w:p w14:paraId="3DB9A5F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w:t>
                  </w:r>
                </w:p>
              </w:tc>
            </w:tr>
            <w:tr w14:paraId="4FF06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72" w:type="pct"/>
                  <w:vMerge w:val="continue"/>
                  <w:vAlign w:val="center"/>
                </w:tcPr>
                <w:p w14:paraId="797239C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36" w:type="pct"/>
                  <w:vMerge w:val="continue"/>
                  <w:vAlign w:val="center"/>
                </w:tcPr>
                <w:p w14:paraId="19C07BC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66" w:type="pct"/>
                  <w:vAlign w:val="center"/>
                </w:tcPr>
                <w:p w14:paraId="5A1CA76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TN</w:t>
                  </w:r>
                </w:p>
              </w:tc>
              <w:tc>
                <w:tcPr>
                  <w:tcW w:w="2257" w:type="dxa"/>
                  <w:vAlign w:val="center"/>
                </w:tcPr>
                <w:p w14:paraId="6040BD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 xml:space="preserve">2.4 </w:t>
                  </w:r>
                </w:p>
              </w:tc>
              <w:tc>
                <w:tcPr>
                  <w:tcW w:w="1408" w:type="pct"/>
                  <w:vAlign w:val="center"/>
                </w:tcPr>
                <w:p w14:paraId="5988D4D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15</w:t>
                  </w:r>
                </w:p>
              </w:tc>
            </w:tr>
            <w:tr w14:paraId="5F73B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72" w:type="pct"/>
                  <w:vMerge w:val="continue"/>
                  <w:vAlign w:val="center"/>
                </w:tcPr>
                <w:p w14:paraId="0D31D93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36" w:type="pct"/>
                  <w:vMerge w:val="continue"/>
                  <w:vAlign w:val="center"/>
                </w:tcPr>
                <w:p w14:paraId="1345CBD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66" w:type="pct"/>
                  <w:vAlign w:val="center"/>
                </w:tcPr>
                <w:p w14:paraId="4726266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TP</w:t>
                  </w:r>
                </w:p>
              </w:tc>
              <w:tc>
                <w:tcPr>
                  <w:tcW w:w="2257" w:type="dxa"/>
                  <w:vAlign w:val="center"/>
                </w:tcPr>
                <w:p w14:paraId="7CCCD2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sz w:val="21"/>
                    </w:rPr>
                  </w:pPr>
                  <w:r>
                    <w:rPr>
                      <w:rFonts w:hint="default" w:ascii="Times New Roman" w:hAnsi="Times New Roman" w:eastAsia="宋体" w:cs="Times New Roman"/>
                      <w:i w:val="0"/>
                      <w:iCs w:val="0"/>
                      <w:color w:val="auto"/>
                      <w:kern w:val="0"/>
                      <w:sz w:val="22"/>
                      <w:szCs w:val="22"/>
                      <w:u w:val="none"/>
                      <w:lang w:val="en-US" w:eastAsia="zh-CN" w:bidi="ar"/>
                    </w:rPr>
                    <w:t xml:space="preserve">0.4 </w:t>
                  </w:r>
                </w:p>
              </w:tc>
              <w:tc>
                <w:tcPr>
                  <w:tcW w:w="1408" w:type="pct"/>
                  <w:vAlign w:val="center"/>
                </w:tcPr>
                <w:p w14:paraId="3CC962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0.5</w:t>
                  </w:r>
                </w:p>
              </w:tc>
            </w:tr>
            <w:tr w14:paraId="5F8B3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72" w:type="pct"/>
                  <w:vMerge w:val="continue"/>
                  <w:vAlign w:val="center"/>
                </w:tcPr>
                <w:p w14:paraId="42426A2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36" w:type="pct"/>
                  <w:vMerge w:val="continue"/>
                  <w:vAlign w:val="center"/>
                </w:tcPr>
                <w:p w14:paraId="3454CD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p>
              </w:tc>
              <w:tc>
                <w:tcPr>
                  <w:tcW w:w="866" w:type="pct"/>
                  <w:vAlign w:val="center"/>
                </w:tcPr>
                <w:p w14:paraId="15AE284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盐分</w:t>
                  </w:r>
                </w:p>
              </w:tc>
              <w:tc>
                <w:tcPr>
                  <w:tcW w:w="2257" w:type="dxa"/>
                  <w:vAlign w:val="center"/>
                </w:tcPr>
                <w:p w14:paraId="2981D4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572.8 </w:t>
                  </w:r>
                </w:p>
              </w:tc>
              <w:tc>
                <w:tcPr>
                  <w:tcW w:w="1408" w:type="pct"/>
                  <w:vAlign w:val="center"/>
                </w:tcPr>
                <w:p w14:paraId="5C7352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1000</w:t>
                  </w:r>
                </w:p>
              </w:tc>
            </w:tr>
          </w:tbl>
          <w:p w14:paraId="2D974D5E">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由上表可知，本项目生产废水、设备清洗废水、地面清洁废水、洗衣废水、循环冷却系统排水、废气喷淋废水、质检区废水经污水站处理后，各污染物均能达到《城市污水再生利用工业用水水质标准》（GB/T19923-2024）中间冷开式循环冷却水系统补充水的水质标准要求，可以回用于循环冷却系统补水。</w:t>
            </w:r>
          </w:p>
          <w:p w14:paraId="42739DF1">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（3）回用水量可行性分析</w:t>
            </w:r>
          </w:p>
          <w:p w14:paraId="3927FB72">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bookmarkStart w:id="52" w:name="OLE_LINK6"/>
            <w:bookmarkStart w:id="53" w:name="OLE_LINK5"/>
            <w:r>
              <w:rPr>
                <w:rFonts w:hint="eastAsia" w:eastAsia="仿宋_GB2312"/>
                <w:color w:val="auto"/>
                <w:sz w:val="24"/>
              </w:rPr>
              <w:t>本项目配置一套循环冷却系统，循环水量15m</w:t>
            </w:r>
            <w:r>
              <w:rPr>
                <w:rFonts w:hint="eastAsia" w:eastAsia="仿宋_GB2312"/>
                <w:color w:val="auto"/>
                <w:sz w:val="24"/>
                <w:vertAlign w:val="superscript"/>
              </w:rPr>
              <w:t>3</w:t>
            </w:r>
            <w:r>
              <w:rPr>
                <w:rFonts w:hint="eastAsia" w:eastAsia="仿宋_GB2312"/>
                <w:color w:val="auto"/>
                <w:sz w:val="24"/>
              </w:rPr>
              <w:t>/h，全年总循环量</w:t>
            </w:r>
            <w:r>
              <w:rPr>
                <w:rFonts w:hint="eastAsia" w:eastAsia="仿宋_GB2312"/>
                <w:color w:val="auto"/>
                <w:sz w:val="24"/>
                <w:lang w:val="en-US"/>
              </w:rPr>
              <w:t>972</w:t>
            </w:r>
            <w:r>
              <w:rPr>
                <w:rFonts w:hint="eastAsia" w:eastAsia="仿宋_GB2312"/>
                <w:color w:val="auto"/>
                <w:sz w:val="24"/>
              </w:rPr>
              <w:t>00m</w:t>
            </w:r>
            <w:r>
              <w:rPr>
                <w:rFonts w:hint="eastAsia" w:eastAsia="仿宋_GB2312"/>
                <w:color w:val="auto"/>
                <w:sz w:val="24"/>
                <w:vertAlign w:val="superscript"/>
              </w:rPr>
              <w:t>3</w:t>
            </w:r>
            <w:r>
              <w:rPr>
                <w:rFonts w:hint="eastAsia" w:eastAsia="仿宋_GB2312"/>
                <w:color w:val="auto"/>
                <w:sz w:val="24"/>
              </w:rPr>
              <w:t>/a，全年需补充用水为</w:t>
            </w:r>
            <w:r>
              <w:rPr>
                <w:rFonts w:hint="eastAsia" w:eastAsia="仿宋_GB2312"/>
                <w:color w:val="auto"/>
                <w:sz w:val="24"/>
                <w:lang w:val="en-US" w:eastAsia="zh-CN"/>
              </w:rPr>
              <w:t>1843.709</w:t>
            </w:r>
            <w:r>
              <w:rPr>
                <w:rFonts w:hint="eastAsia" w:eastAsia="仿宋_GB2312"/>
                <w:color w:val="auto"/>
                <w:sz w:val="24"/>
              </w:rPr>
              <w:t>m</w:t>
            </w:r>
            <w:r>
              <w:rPr>
                <w:rFonts w:hint="eastAsia" w:eastAsia="仿宋_GB2312"/>
                <w:color w:val="auto"/>
                <w:sz w:val="24"/>
                <w:vertAlign w:val="superscript"/>
              </w:rPr>
              <w:t>3</w:t>
            </w:r>
            <w:r>
              <w:rPr>
                <w:rFonts w:hint="eastAsia" w:eastAsia="仿宋_GB2312"/>
                <w:color w:val="auto"/>
                <w:sz w:val="24"/>
              </w:rPr>
              <w:t>/a。本项目生产废水经厂内废水处理设施处理后产生回用水量</w:t>
            </w:r>
            <w:r>
              <w:rPr>
                <w:rFonts w:hint="eastAsia" w:eastAsia="仿宋_GB2312"/>
                <w:color w:val="auto"/>
                <w:sz w:val="24"/>
                <w:highlight w:val="none"/>
              </w:rPr>
              <w:t>为</w:t>
            </w:r>
            <w:r>
              <w:rPr>
                <w:rFonts w:hint="eastAsia" w:eastAsia="仿宋_GB2312"/>
                <w:color w:val="auto"/>
                <w:sz w:val="24"/>
                <w:highlight w:val="none"/>
                <w:lang w:val="en-US" w:eastAsia="zh-CN"/>
              </w:rPr>
              <w:t>824.06</w:t>
            </w:r>
            <w:r>
              <w:rPr>
                <w:rFonts w:hint="eastAsia" w:eastAsia="仿宋_GB2312"/>
                <w:color w:val="auto"/>
                <w:sz w:val="24"/>
                <w:highlight w:val="none"/>
              </w:rPr>
              <w:t>m</w:t>
            </w:r>
            <w:r>
              <w:rPr>
                <w:rFonts w:hint="eastAsia" w:eastAsia="仿宋_GB2312"/>
                <w:color w:val="auto"/>
                <w:sz w:val="24"/>
                <w:vertAlign w:val="superscript"/>
              </w:rPr>
              <w:t>3</w:t>
            </w:r>
            <w:r>
              <w:rPr>
                <w:rFonts w:hint="eastAsia" w:eastAsia="仿宋_GB2312"/>
                <w:color w:val="auto"/>
                <w:sz w:val="24"/>
              </w:rPr>
              <w:t>/a，蒸汽冷凝水为</w:t>
            </w:r>
            <w:r>
              <w:rPr>
                <w:rFonts w:hint="eastAsia" w:eastAsia="仿宋_GB2312"/>
                <w:color w:val="auto"/>
                <w:sz w:val="24"/>
                <w:lang w:val="en-US"/>
              </w:rPr>
              <w:t>496</w:t>
            </w:r>
            <w:r>
              <w:rPr>
                <w:rFonts w:hint="eastAsia" w:eastAsia="仿宋_GB2312"/>
                <w:color w:val="auto"/>
                <w:sz w:val="24"/>
              </w:rPr>
              <w:t>t/年，共计</w:t>
            </w:r>
            <w:r>
              <w:rPr>
                <w:rFonts w:hint="eastAsia" w:eastAsia="仿宋_GB2312"/>
                <w:color w:val="auto"/>
                <w:sz w:val="24"/>
                <w:lang w:val="en-US" w:eastAsia="zh-CN"/>
              </w:rPr>
              <w:t>1363.33</w:t>
            </w:r>
            <w:r>
              <w:rPr>
                <w:rFonts w:hint="eastAsia" w:eastAsia="仿宋_GB2312"/>
                <w:color w:val="auto"/>
                <w:sz w:val="24"/>
              </w:rPr>
              <w:t>m</w:t>
            </w:r>
            <w:r>
              <w:rPr>
                <w:rFonts w:hint="eastAsia" w:eastAsia="仿宋_GB2312"/>
                <w:color w:val="auto"/>
                <w:sz w:val="24"/>
                <w:vertAlign w:val="superscript"/>
              </w:rPr>
              <w:t>3</w:t>
            </w:r>
            <w:r>
              <w:rPr>
                <w:rFonts w:hint="eastAsia" w:eastAsia="仿宋_GB2312"/>
                <w:color w:val="auto"/>
                <w:sz w:val="24"/>
              </w:rPr>
              <w:t>/a（＜</w:t>
            </w:r>
            <w:r>
              <w:rPr>
                <w:rFonts w:hint="eastAsia" w:eastAsia="仿宋_GB2312"/>
                <w:color w:val="auto"/>
                <w:sz w:val="24"/>
                <w:lang w:val="en-US" w:eastAsia="zh-CN"/>
              </w:rPr>
              <w:t>1843.709</w:t>
            </w:r>
            <w:r>
              <w:rPr>
                <w:rFonts w:hint="eastAsia" w:eastAsia="仿宋_GB2312"/>
                <w:color w:val="auto"/>
                <w:sz w:val="24"/>
              </w:rPr>
              <w:t>m</w:t>
            </w:r>
            <w:r>
              <w:rPr>
                <w:rFonts w:hint="eastAsia" w:eastAsia="仿宋_GB2312"/>
                <w:color w:val="auto"/>
                <w:sz w:val="24"/>
                <w:vertAlign w:val="superscript"/>
              </w:rPr>
              <w:t>3</w:t>
            </w:r>
            <w:r>
              <w:rPr>
                <w:rFonts w:hint="eastAsia" w:eastAsia="仿宋_GB2312"/>
                <w:color w:val="auto"/>
                <w:sz w:val="24"/>
              </w:rPr>
              <w:t>/a），故从水量上看，本项目生产废水均可在厂区内实现全部回用，不外排。</w:t>
            </w:r>
          </w:p>
          <w:bookmarkEnd w:id="52"/>
          <w:bookmarkEnd w:id="53"/>
          <w:p w14:paraId="1D98012A">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b/>
                <w:bCs/>
                <w:color w:val="auto"/>
                <w:sz w:val="24"/>
                <w:lang w:eastAsia="zh-CN"/>
              </w:rPr>
            </w:pPr>
            <w:r>
              <w:rPr>
                <w:rFonts w:hint="eastAsia" w:ascii="微软雅黑" w:hAnsi="微软雅黑" w:eastAsia="微软雅黑" w:cs="微软雅黑"/>
                <w:b/>
                <w:bCs/>
                <w:color w:val="auto"/>
                <w:sz w:val="24"/>
              </w:rPr>
              <w:t>③</w:t>
            </w:r>
            <w:r>
              <w:rPr>
                <w:rFonts w:hint="eastAsia" w:eastAsia="仿宋_GB2312"/>
                <w:b/>
                <w:bCs/>
                <w:color w:val="auto"/>
                <w:sz w:val="24"/>
                <w:lang w:eastAsia="zh-CN"/>
              </w:rPr>
              <w:t>污水处理经济可行性分析</w:t>
            </w:r>
          </w:p>
          <w:p w14:paraId="12ADE7AC">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污水处理站费用包括废水处理设施建设投资费用及运行成本两部分。</w:t>
            </w:r>
          </w:p>
          <w:p w14:paraId="1D35A07C">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（1）废水处理设施建设投资费用包括：材料购买、安装费，预计总价约76万元。</w:t>
            </w:r>
          </w:p>
          <w:p w14:paraId="36403EC1">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（2）运行成本</w:t>
            </w:r>
          </w:p>
          <w:p w14:paraId="392B25DA">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本次污水处理费用主要包括：能源消耗费、药剂费、人工费、污水站维修维护费用。本项目污水处理年运行成本估算约36万元。</w:t>
            </w:r>
          </w:p>
          <w:p w14:paraId="13445257">
            <w:pPr>
              <w:keepNext w:val="0"/>
              <w:keepLines w:val="0"/>
              <w:suppressLineNumbers w:val="0"/>
              <w:adjustRightInd w:val="0"/>
              <w:snapToGrid w:val="0"/>
              <w:spacing w:before="0" w:beforeAutospacing="0" w:after="0" w:afterAutospacing="0" w:line="500" w:lineRule="exact"/>
              <w:ind w:left="0" w:right="0" w:firstLine="480" w:firstLineChars="200"/>
              <w:rPr>
                <w:rFonts w:hint="eastAsia" w:eastAsia="仿宋_GB2312"/>
                <w:color w:val="auto"/>
                <w:sz w:val="24"/>
              </w:rPr>
            </w:pPr>
            <w:r>
              <w:rPr>
                <w:rFonts w:hint="eastAsia" w:eastAsia="仿宋_GB2312"/>
                <w:color w:val="auto"/>
                <w:sz w:val="24"/>
              </w:rPr>
              <w:t>本项目投产后年净利润总额1200万元人民币，企业有能力将产生的废水有效处理。</w:t>
            </w:r>
          </w:p>
          <w:p w14:paraId="20E34A49">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bCs/>
                <w:color w:val="auto"/>
                <w:sz w:val="24"/>
              </w:rPr>
            </w:pPr>
            <w:r>
              <w:rPr>
                <w:rFonts w:hint="eastAsia" w:eastAsia="仿宋_GB2312"/>
                <w:b/>
                <w:bCs/>
                <w:color w:val="auto"/>
                <w:sz w:val="24"/>
              </w:rPr>
              <w:t>4</w:t>
            </w:r>
            <w:r>
              <w:rPr>
                <w:rFonts w:hint="default" w:eastAsia="仿宋_GB2312"/>
                <w:b/>
                <w:bCs/>
                <w:color w:val="auto"/>
                <w:sz w:val="24"/>
              </w:rPr>
              <w:t>、环境影响分析</w:t>
            </w:r>
          </w:p>
          <w:p w14:paraId="256F3954">
            <w:pPr>
              <w:keepNext w:val="0"/>
              <w:keepLines w:val="0"/>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生活污水经化粪池处理后和纯水制备过程中产生浓水达标接管至常州金坛第二污水处理有限公司处理。本项目工艺废水、设备清洗废水、地面清洁废水、洗衣废水、循环冷却系统排水、废气喷淋废水、质检区废水经污水站处理后回用于循环冷却系统。</w:t>
            </w:r>
          </w:p>
          <w:p w14:paraId="08DB77BB">
            <w:pPr>
              <w:keepNext w:val="0"/>
              <w:keepLines w:val="0"/>
              <w:suppressLineNumbers w:val="0"/>
              <w:adjustRightInd w:val="0"/>
              <w:snapToGrid w:val="0"/>
              <w:spacing w:before="0" w:beforeAutospacing="0" w:after="0" w:afterAutospacing="0" w:line="500" w:lineRule="exact"/>
              <w:ind w:left="0" w:right="0" w:firstLine="482" w:firstLineChars="200"/>
              <w:rPr>
                <w:rFonts w:hint="default" w:eastAsia="仿宋_GB2312"/>
                <w:b/>
                <w:bCs/>
                <w:color w:val="auto"/>
                <w:sz w:val="24"/>
              </w:rPr>
            </w:pPr>
            <w:r>
              <w:rPr>
                <w:rFonts w:hint="eastAsia" w:eastAsia="仿宋_GB2312"/>
                <w:b/>
                <w:bCs/>
                <w:color w:val="auto"/>
                <w:sz w:val="24"/>
              </w:rPr>
              <w:t>5</w:t>
            </w:r>
            <w:r>
              <w:rPr>
                <w:rFonts w:hint="default" w:eastAsia="仿宋_GB2312"/>
                <w:b/>
                <w:bCs/>
                <w:color w:val="auto"/>
                <w:sz w:val="24"/>
              </w:rPr>
              <w:t>、废水达标排放情况</w:t>
            </w:r>
          </w:p>
          <w:p w14:paraId="151D6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eastAsia="仿宋_GB2312"/>
                <w:bCs/>
                <w:color w:val="auto"/>
                <w:kern w:val="0"/>
                <w:sz w:val="24"/>
              </w:rPr>
            </w:pPr>
            <w:r>
              <w:rPr>
                <w:rFonts w:hint="default" w:eastAsia="仿宋_GB2312"/>
                <w:bCs/>
                <w:color w:val="auto"/>
                <w:kern w:val="0"/>
                <w:sz w:val="24"/>
              </w:rPr>
              <w:t>本项目生活污水经化粪池处理后和纯水制备过程中产生浓水达标接管至常州金坛第二污水处理有限公司处理。</w:t>
            </w:r>
          </w:p>
          <w:p w14:paraId="08113BC7">
            <w:pPr>
              <w:keepNext w:val="0"/>
              <w:keepLines w:val="0"/>
              <w:widowControl/>
              <w:suppressLineNumbers w:val="0"/>
              <w:spacing w:before="0" w:beforeAutospacing="0" w:after="0" w:afterAutospacing="0" w:line="500" w:lineRule="exact"/>
              <w:ind w:left="0" w:right="0" w:firstLine="2" w:firstLineChars="1"/>
              <w:jc w:val="center"/>
              <w:rPr>
                <w:rFonts w:hint="default" w:ascii="Times New Roman" w:hAnsi="Times New Roman" w:eastAsia="仿宋_GB2312" w:cs="Times New Roman"/>
                <w:b/>
                <w:bCs/>
                <w:color w:val="auto"/>
                <w:kern w:val="0"/>
                <w:sz w:val="22"/>
                <w:szCs w:val="22"/>
                <w:highlight w:val="none"/>
              </w:rPr>
            </w:pPr>
            <w:r>
              <w:rPr>
                <w:rFonts w:hint="default" w:ascii="Times New Roman" w:hAnsi="Times New Roman" w:eastAsia="仿宋_GB2312" w:cs="Times New Roman"/>
                <w:b/>
                <w:bCs/>
                <w:color w:val="auto"/>
                <w:kern w:val="0"/>
                <w:sz w:val="22"/>
                <w:szCs w:val="22"/>
                <w:highlight w:val="none"/>
              </w:rPr>
              <w:t>表4-</w:t>
            </w:r>
            <w:r>
              <w:rPr>
                <w:rFonts w:hint="eastAsia" w:eastAsia="仿宋_GB2312" w:cs="Times New Roman"/>
                <w:b/>
                <w:bCs/>
                <w:color w:val="auto"/>
                <w:kern w:val="0"/>
                <w:sz w:val="22"/>
                <w:szCs w:val="22"/>
                <w:highlight w:val="none"/>
                <w:lang w:val="en-US" w:eastAsia="zh-CN"/>
              </w:rPr>
              <w:t>23</w:t>
            </w:r>
            <w:r>
              <w:rPr>
                <w:rFonts w:hint="default" w:ascii="Times New Roman" w:hAnsi="Times New Roman" w:eastAsia="仿宋_GB2312" w:cs="Times New Roman"/>
                <w:b/>
                <w:bCs/>
                <w:color w:val="auto"/>
                <w:kern w:val="0"/>
                <w:sz w:val="22"/>
                <w:szCs w:val="22"/>
                <w:highlight w:val="none"/>
              </w:rPr>
              <w:t xml:space="preserve">  本项目废水产生及排放情况表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165"/>
              <w:gridCol w:w="1502"/>
              <w:gridCol w:w="1006"/>
              <w:gridCol w:w="1004"/>
              <w:gridCol w:w="1006"/>
              <w:gridCol w:w="1004"/>
              <w:gridCol w:w="1006"/>
              <w:gridCol w:w="1004"/>
              <w:gridCol w:w="1599"/>
            </w:tblGrid>
            <w:tr w14:paraId="4C856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66" w:type="pct"/>
                  <w:vMerge w:val="restart"/>
                  <w:vAlign w:val="center"/>
                </w:tcPr>
                <w:p w14:paraId="026589D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废水量(m</w:t>
                  </w:r>
                  <w:r>
                    <w:rPr>
                      <w:rFonts w:hint="default" w:ascii="Times New Roman" w:hAnsi="Times New Roman" w:eastAsia="仿宋_GB2312" w:cs="Times New Roman"/>
                      <w:b/>
                      <w:bCs/>
                      <w:color w:val="auto"/>
                      <w:kern w:val="0"/>
                      <w:sz w:val="21"/>
                      <w:vertAlign w:val="superscript"/>
                    </w:rPr>
                    <w:t>3</w:t>
                  </w:r>
                  <w:r>
                    <w:rPr>
                      <w:rFonts w:hint="default" w:ascii="Times New Roman" w:hAnsi="Times New Roman" w:eastAsia="仿宋_GB2312" w:cs="Times New Roman"/>
                      <w:b/>
                      <w:bCs/>
                      <w:color w:val="auto"/>
                      <w:kern w:val="0"/>
                      <w:sz w:val="21"/>
                    </w:rPr>
                    <w:t>/a)</w:t>
                  </w:r>
                </w:p>
              </w:tc>
              <w:tc>
                <w:tcPr>
                  <w:tcW w:w="729" w:type="pct"/>
                  <w:vMerge w:val="restart"/>
                  <w:vAlign w:val="center"/>
                </w:tcPr>
                <w:p w14:paraId="06B015A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污染物名称</w:t>
                  </w:r>
                </w:p>
              </w:tc>
              <w:tc>
                <w:tcPr>
                  <w:tcW w:w="975" w:type="pct"/>
                  <w:gridSpan w:val="2"/>
                  <w:vAlign w:val="center"/>
                </w:tcPr>
                <w:p w14:paraId="0ACE712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污染物产生情况</w:t>
                  </w:r>
                </w:p>
              </w:tc>
              <w:tc>
                <w:tcPr>
                  <w:tcW w:w="488" w:type="pct"/>
                  <w:vMerge w:val="restart"/>
                  <w:vAlign w:val="center"/>
                </w:tcPr>
                <w:p w14:paraId="1D0103A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治理</w:t>
                  </w:r>
                </w:p>
                <w:p w14:paraId="4A96D54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方式</w:t>
                  </w:r>
                </w:p>
              </w:tc>
              <w:tc>
                <w:tcPr>
                  <w:tcW w:w="975" w:type="pct"/>
                  <w:gridSpan w:val="2"/>
                  <w:vAlign w:val="center"/>
                </w:tcPr>
                <w:p w14:paraId="5C98D05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污染物排放情况</w:t>
                  </w:r>
                </w:p>
              </w:tc>
              <w:tc>
                <w:tcPr>
                  <w:tcW w:w="487" w:type="pct"/>
                  <w:vMerge w:val="restart"/>
                  <w:vAlign w:val="center"/>
                </w:tcPr>
                <w:p w14:paraId="3C31A31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排放限值(mg/L)</w:t>
                  </w:r>
                </w:p>
              </w:tc>
              <w:tc>
                <w:tcPr>
                  <w:tcW w:w="776" w:type="pct"/>
                  <w:vMerge w:val="restart"/>
                  <w:vAlign w:val="center"/>
                </w:tcPr>
                <w:p w14:paraId="673836E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排放</w:t>
                  </w:r>
                </w:p>
                <w:p w14:paraId="7FDCF06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去向</w:t>
                  </w:r>
                </w:p>
              </w:tc>
            </w:tr>
            <w:tr w14:paraId="2C746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66" w:type="pct"/>
                  <w:vMerge w:val="continue"/>
                  <w:vAlign w:val="center"/>
                </w:tcPr>
                <w:p w14:paraId="040DD82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729" w:type="pct"/>
                  <w:vMerge w:val="continue"/>
                  <w:vAlign w:val="center"/>
                </w:tcPr>
                <w:p w14:paraId="107C073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488" w:type="pct"/>
                  <w:vAlign w:val="center"/>
                </w:tcPr>
                <w:p w14:paraId="0FDC138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浓度</w:t>
                  </w:r>
                </w:p>
                <w:p w14:paraId="1184389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lang w:val="zh-CN"/>
                    </w:rPr>
                    <w:t>(mg/L)</w:t>
                  </w:r>
                </w:p>
              </w:tc>
              <w:tc>
                <w:tcPr>
                  <w:tcW w:w="487" w:type="pct"/>
                  <w:vAlign w:val="center"/>
                </w:tcPr>
                <w:p w14:paraId="4A16EEC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产生量</w:t>
                  </w:r>
                </w:p>
                <w:p w14:paraId="48A3CAA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lang w:val="zh-CN"/>
                    </w:rPr>
                    <w:t>(t/a)</w:t>
                  </w:r>
                </w:p>
              </w:tc>
              <w:tc>
                <w:tcPr>
                  <w:tcW w:w="488" w:type="pct"/>
                  <w:vMerge w:val="continue"/>
                  <w:vAlign w:val="center"/>
                </w:tcPr>
                <w:p w14:paraId="78B0ABF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487" w:type="pct"/>
                  <w:vAlign w:val="center"/>
                </w:tcPr>
                <w:p w14:paraId="1E3AA43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浓度(mg/L)</w:t>
                  </w:r>
                </w:p>
              </w:tc>
              <w:tc>
                <w:tcPr>
                  <w:tcW w:w="488" w:type="pct"/>
                  <w:vAlign w:val="center"/>
                </w:tcPr>
                <w:p w14:paraId="46F4F30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排放量(t/a)</w:t>
                  </w:r>
                </w:p>
              </w:tc>
              <w:tc>
                <w:tcPr>
                  <w:tcW w:w="487" w:type="pct"/>
                  <w:vMerge w:val="continue"/>
                  <w:vAlign w:val="center"/>
                </w:tcPr>
                <w:p w14:paraId="5017597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776" w:type="pct"/>
                  <w:vMerge w:val="continue"/>
                  <w:vAlign w:val="center"/>
                </w:tcPr>
                <w:p w14:paraId="3703D17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r>
            <w:tr w14:paraId="59C09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66" w:type="pct"/>
                  <w:vMerge w:val="restart"/>
                  <w:vAlign w:val="center"/>
                </w:tcPr>
                <w:p w14:paraId="243F77B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接管废水</w:t>
                  </w:r>
                  <w:r>
                    <w:rPr>
                      <w:rFonts w:hint="eastAsia" w:eastAsia="仿宋_GB2312" w:cs="Times New Roman"/>
                      <w:color w:val="auto"/>
                      <w:kern w:val="0"/>
                      <w:sz w:val="21"/>
                      <w:lang w:val="en-US" w:eastAsia="zh-CN"/>
                    </w:rPr>
                    <w:t>1437</w:t>
                  </w:r>
                </w:p>
              </w:tc>
              <w:tc>
                <w:tcPr>
                  <w:tcW w:w="729" w:type="pct"/>
                  <w:noWrap/>
                  <w:vAlign w:val="center"/>
                </w:tcPr>
                <w:p w14:paraId="7791BD5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val="zh-CN"/>
                    </w:rPr>
                    <w:t>COD</w:t>
                  </w:r>
                </w:p>
              </w:tc>
              <w:tc>
                <w:tcPr>
                  <w:tcW w:w="1006" w:type="dxa"/>
                  <w:noWrap/>
                  <w:vAlign w:val="center"/>
                </w:tcPr>
                <w:p w14:paraId="1CA86D4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 xml:space="preserve">293 </w:t>
                  </w:r>
                </w:p>
              </w:tc>
              <w:tc>
                <w:tcPr>
                  <w:tcW w:w="1004" w:type="dxa"/>
                  <w:noWrap/>
                  <w:vAlign w:val="center"/>
                </w:tcPr>
                <w:p w14:paraId="722E213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0.421</w:t>
                  </w:r>
                </w:p>
              </w:tc>
              <w:tc>
                <w:tcPr>
                  <w:tcW w:w="488" w:type="pct"/>
                  <w:vMerge w:val="restart"/>
                  <w:vAlign w:val="center"/>
                </w:tcPr>
                <w:p w14:paraId="27E1326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lang w:val="zh-CN"/>
                    </w:rPr>
                    <w:t>/</w:t>
                  </w:r>
                </w:p>
              </w:tc>
              <w:tc>
                <w:tcPr>
                  <w:tcW w:w="1004" w:type="dxa"/>
                  <w:noWrap/>
                  <w:vAlign w:val="center"/>
                </w:tcPr>
                <w:p w14:paraId="4EE1679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 xml:space="preserve">293 </w:t>
                  </w:r>
                </w:p>
              </w:tc>
              <w:tc>
                <w:tcPr>
                  <w:tcW w:w="1006" w:type="dxa"/>
                  <w:noWrap/>
                  <w:vAlign w:val="center"/>
                </w:tcPr>
                <w:p w14:paraId="456FC87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0.421</w:t>
                  </w:r>
                </w:p>
              </w:tc>
              <w:tc>
                <w:tcPr>
                  <w:tcW w:w="487" w:type="pct"/>
                  <w:vAlign w:val="center"/>
                </w:tcPr>
                <w:p w14:paraId="12D45CE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500</w:t>
                  </w:r>
                </w:p>
              </w:tc>
              <w:tc>
                <w:tcPr>
                  <w:tcW w:w="776" w:type="pct"/>
                  <w:vMerge w:val="restart"/>
                  <w:vAlign w:val="center"/>
                </w:tcPr>
                <w:p w14:paraId="56C96AF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r>
                    <w:rPr>
                      <w:rFonts w:hint="default" w:ascii="Times New Roman" w:hAnsi="Times New Roman" w:eastAsia="仿宋_GB2312" w:cs="Times New Roman"/>
                      <w:color w:val="auto"/>
                      <w:kern w:val="0"/>
                      <w:sz w:val="21"/>
                    </w:rPr>
                    <w:t>接管至常州金坛第二污水处理有限公司处理</w:t>
                  </w:r>
                </w:p>
              </w:tc>
            </w:tr>
            <w:tr w14:paraId="70CED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66" w:type="pct"/>
                  <w:vMerge w:val="continue"/>
                  <w:vAlign w:val="center"/>
                </w:tcPr>
                <w:p w14:paraId="7E54672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29" w:type="pct"/>
                  <w:noWrap/>
                  <w:vAlign w:val="center"/>
                </w:tcPr>
                <w:p w14:paraId="671FB19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val="zh-CN"/>
                    </w:rPr>
                    <w:t>SS</w:t>
                  </w:r>
                </w:p>
              </w:tc>
              <w:tc>
                <w:tcPr>
                  <w:tcW w:w="1006" w:type="dxa"/>
                  <w:noWrap/>
                  <w:vAlign w:val="center"/>
                </w:tcPr>
                <w:p w14:paraId="306E60E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 xml:space="preserve">154 </w:t>
                  </w:r>
                </w:p>
              </w:tc>
              <w:tc>
                <w:tcPr>
                  <w:tcW w:w="1004" w:type="dxa"/>
                  <w:noWrap/>
                  <w:vAlign w:val="center"/>
                </w:tcPr>
                <w:p w14:paraId="32D2C8A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0.221</w:t>
                  </w:r>
                </w:p>
              </w:tc>
              <w:tc>
                <w:tcPr>
                  <w:tcW w:w="488" w:type="pct"/>
                  <w:vMerge w:val="continue"/>
                  <w:vAlign w:val="center"/>
                </w:tcPr>
                <w:p w14:paraId="6C56735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1004" w:type="dxa"/>
                  <w:noWrap/>
                  <w:vAlign w:val="center"/>
                </w:tcPr>
                <w:p w14:paraId="7C188D4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 xml:space="preserve">154 </w:t>
                  </w:r>
                </w:p>
              </w:tc>
              <w:tc>
                <w:tcPr>
                  <w:tcW w:w="1006" w:type="dxa"/>
                  <w:noWrap/>
                  <w:vAlign w:val="center"/>
                </w:tcPr>
                <w:p w14:paraId="1F6D80E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0.221</w:t>
                  </w:r>
                </w:p>
              </w:tc>
              <w:tc>
                <w:tcPr>
                  <w:tcW w:w="487" w:type="pct"/>
                  <w:vAlign w:val="center"/>
                </w:tcPr>
                <w:p w14:paraId="4E4F1FB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250</w:t>
                  </w:r>
                </w:p>
              </w:tc>
              <w:tc>
                <w:tcPr>
                  <w:tcW w:w="776" w:type="pct"/>
                  <w:vMerge w:val="continue"/>
                  <w:vAlign w:val="center"/>
                </w:tcPr>
                <w:p w14:paraId="7DCDB02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6053A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66" w:type="pct"/>
                  <w:vMerge w:val="continue"/>
                  <w:vAlign w:val="center"/>
                </w:tcPr>
                <w:p w14:paraId="04261F4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29" w:type="pct"/>
                  <w:noWrap/>
                  <w:vAlign w:val="center"/>
                </w:tcPr>
                <w:p w14:paraId="74496A1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val="zh-CN"/>
                    </w:rPr>
                    <w:t>NH</w:t>
                  </w:r>
                  <w:r>
                    <w:rPr>
                      <w:rFonts w:hint="default" w:ascii="Times New Roman" w:hAnsi="Times New Roman" w:eastAsia="仿宋_GB2312" w:cs="Times New Roman"/>
                      <w:color w:val="auto"/>
                      <w:kern w:val="0"/>
                      <w:sz w:val="21"/>
                      <w:vertAlign w:val="subscript"/>
                      <w:lang w:val="zh-CN"/>
                    </w:rPr>
                    <w:t>3</w:t>
                  </w:r>
                  <w:r>
                    <w:rPr>
                      <w:rFonts w:hint="default" w:ascii="Times New Roman" w:hAnsi="Times New Roman" w:eastAsia="仿宋_GB2312" w:cs="Times New Roman"/>
                      <w:color w:val="auto"/>
                      <w:kern w:val="0"/>
                      <w:sz w:val="21"/>
                      <w:lang w:val="zh-CN"/>
                    </w:rPr>
                    <w:t>-N</w:t>
                  </w:r>
                </w:p>
              </w:tc>
              <w:tc>
                <w:tcPr>
                  <w:tcW w:w="1006" w:type="dxa"/>
                  <w:noWrap/>
                  <w:vAlign w:val="center"/>
                </w:tcPr>
                <w:p w14:paraId="63EA25F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 xml:space="preserve">21 </w:t>
                  </w:r>
                </w:p>
              </w:tc>
              <w:tc>
                <w:tcPr>
                  <w:tcW w:w="1004" w:type="dxa"/>
                  <w:noWrap/>
                  <w:vAlign w:val="center"/>
                </w:tcPr>
                <w:p w14:paraId="09D11BF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0.03</w:t>
                  </w:r>
                </w:p>
              </w:tc>
              <w:tc>
                <w:tcPr>
                  <w:tcW w:w="488" w:type="pct"/>
                  <w:vMerge w:val="continue"/>
                  <w:vAlign w:val="center"/>
                </w:tcPr>
                <w:p w14:paraId="60E908B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1004" w:type="dxa"/>
                  <w:noWrap/>
                  <w:vAlign w:val="center"/>
                </w:tcPr>
                <w:p w14:paraId="02DF0BD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 xml:space="preserve">21 </w:t>
                  </w:r>
                </w:p>
              </w:tc>
              <w:tc>
                <w:tcPr>
                  <w:tcW w:w="1006" w:type="dxa"/>
                  <w:noWrap/>
                  <w:vAlign w:val="center"/>
                </w:tcPr>
                <w:p w14:paraId="2E8CEB6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0.03</w:t>
                  </w:r>
                </w:p>
              </w:tc>
              <w:tc>
                <w:tcPr>
                  <w:tcW w:w="487" w:type="pct"/>
                  <w:vAlign w:val="center"/>
                </w:tcPr>
                <w:p w14:paraId="6D6A1BC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35</w:t>
                  </w:r>
                </w:p>
              </w:tc>
              <w:tc>
                <w:tcPr>
                  <w:tcW w:w="776" w:type="pct"/>
                  <w:vMerge w:val="continue"/>
                  <w:vAlign w:val="center"/>
                </w:tcPr>
                <w:p w14:paraId="0E90C0B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29826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66" w:type="pct"/>
                  <w:vMerge w:val="continue"/>
                  <w:vAlign w:val="center"/>
                </w:tcPr>
                <w:p w14:paraId="6EAD90C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29" w:type="pct"/>
                  <w:noWrap/>
                  <w:vAlign w:val="center"/>
                </w:tcPr>
                <w:p w14:paraId="1524189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lang w:val="zh-CN"/>
                    </w:rPr>
                    <w:t>TN</w:t>
                  </w:r>
                </w:p>
              </w:tc>
              <w:tc>
                <w:tcPr>
                  <w:tcW w:w="1006" w:type="dxa"/>
                  <w:noWrap/>
                  <w:vAlign w:val="center"/>
                </w:tcPr>
                <w:p w14:paraId="4BA96F6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 xml:space="preserve">35 </w:t>
                  </w:r>
                </w:p>
              </w:tc>
              <w:tc>
                <w:tcPr>
                  <w:tcW w:w="1004" w:type="dxa"/>
                  <w:noWrap/>
                  <w:vAlign w:val="center"/>
                </w:tcPr>
                <w:p w14:paraId="516BBE1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rPr>
                  </w:pPr>
                  <w:r>
                    <w:rPr>
                      <w:rFonts w:hint="eastAsia" w:ascii="Times New Roman" w:hAnsi="Times New Roman" w:eastAsia="仿宋_GB2312" w:cs="Times New Roman"/>
                      <w:color w:val="auto"/>
                      <w:kern w:val="0"/>
                      <w:sz w:val="21"/>
                      <w:lang w:val="en-US" w:eastAsia="zh-CN"/>
                    </w:rPr>
                    <w:t>0.05</w:t>
                  </w:r>
                </w:p>
              </w:tc>
              <w:tc>
                <w:tcPr>
                  <w:tcW w:w="488" w:type="pct"/>
                  <w:vMerge w:val="continue"/>
                  <w:vAlign w:val="center"/>
                </w:tcPr>
                <w:p w14:paraId="3D7B42B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1004" w:type="dxa"/>
                  <w:noWrap/>
                  <w:vAlign w:val="center"/>
                </w:tcPr>
                <w:p w14:paraId="11DECEF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 xml:space="preserve">35 </w:t>
                  </w:r>
                </w:p>
              </w:tc>
              <w:tc>
                <w:tcPr>
                  <w:tcW w:w="1006" w:type="dxa"/>
                  <w:noWrap/>
                  <w:vAlign w:val="center"/>
                </w:tcPr>
                <w:p w14:paraId="5C44499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0.05</w:t>
                  </w:r>
                </w:p>
              </w:tc>
              <w:tc>
                <w:tcPr>
                  <w:tcW w:w="487" w:type="pct"/>
                  <w:vAlign w:val="center"/>
                </w:tcPr>
                <w:p w14:paraId="104C6ED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50</w:t>
                  </w:r>
                </w:p>
              </w:tc>
              <w:tc>
                <w:tcPr>
                  <w:tcW w:w="776" w:type="pct"/>
                  <w:vMerge w:val="continue"/>
                  <w:vAlign w:val="center"/>
                </w:tcPr>
                <w:p w14:paraId="3DECA7A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3C645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66" w:type="pct"/>
                  <w:vMerge w:val="continue"/>
                  <w:vAlign w:val="center"/>
                </w:tcPr>
                <w:p w14:paraId="3989C97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729" w:type="pct"/>
                  <w:noWrap/>
                  <w:vAlign w:val="center"/>
                </w:tcPr>
                <w:p w14:paraId="05BC4F7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lang w:val="zh-CN"/>
                    </w:rPr>
                    <w:t>TP</w:t>
                  </w:r>
                </w:p>
              </w:tc>
              <w:tc>
                <w:tcPr>
                  <w:tcW w:w="1006" w:type="dxa"/>
                  <w:noWrap/>
                  <w:vAlign w:val="center"/>
                </w:tcPr>
                <w:p w14:paraId="06C0362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 xml:space="preserve">1 </w:t>
                  </w:r>
                </w:p>
              </w:tc>
              <w:tc>
                <w:tcPr>
                  <w:tcW w:w="1004" w:type="dxa"/>
                  <w:noWrap/>
                  <w:vAlign w:val="center"/>
                </w:tcPr>
                <w:p w14:paraId="7BF45E5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rPr>
                  </w:pPr>
                  <w:r>
                    <w:rPr>
                      <w:rFonts w:hint="eastAsia" w:ascii="Times New Roman" w:hAnsi="Times New Roman" w:eastAsia="仿宋_GB2312" w:cs="Times New Roman"/>
                      <w:color w:val="auto"/>
                      <w:kern w:val="0"/>
                      <w:sz w:val="21"/>
                      <w:lang w:val="en-US" w:eastAsia="zh-CN"/>
                    </w:rPr>
                    <w:t>0.002</w:t>
                  </w:r>
                </w:p>
              </w:tc>
              <w:tc>
                <w:tcPr>
                  <w:tcW w:w="488" w:type="pct"/>
                  <w:vMerge w:val="continue"/>
                  <w:vAlign w:val="center"/>
                </w:tcPr>
                <w:p w14:paraId="67B4BE9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1004" w:type="dxa"/>
                  <w:noWrap/>
                  <w:vAlign w:val="center"/>
                </w:tcPr>
                <w:p w14:paraId="7A8CF931">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 xml:space="preserve">1 </w:t>
                  </w:r>
                </w:p>
              </w:tc>
              <w:tc>
                <w:tcPr>
                  <w:tcW w:w="1006" w:type="dxa"/>
                  <w:noWrap/>
                  <w:vAlign w:val="center"/>
                </w:tcPr>
                <w:p w14:paraId="2FBA011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0.002</w:t>
                  </w:r>
                </w:p>
              </w:tc>
              <w:tc>
                <w:tcPr>
                  <w:tcW w:w="487" w:type="pct"/>
                  <w:vAlign w:val="center"/>
                </w:tcPr>
                <w:p w14:paraId="4916971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c>
                <w:tcPr>
                  <w:tcW w:w="776" w:type="pct"/>
                  <w:vMerge w:val="continue"/>
                  <w:vAlign w:val="center"/>
                </w:tcPr>
                <w:p w14:paraId="61B378C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24097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66" w:type="pct"/>
                  <w:vMerge w:val="continue"/>
                  <w:vAlign w:val="center"/>
                </w:tcPr>
                <w:p w14:paraId="67D1636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c>
                <w:tcPr>
                  <w:tcW w:w="729" w:type="pct"/>
                  <w:noWrap/>
                  <w:vAlign w:val="center"/>
                </w:tcPr>
                <w:p w14:paraId="26F7941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lang w:val="zh-CN"/>
                    </w:rPr>
                    <w:t>盐分</w:t>
                  </w:r>
                </w:p>
              </w:tc>
              <w:tc>
                <w:tcPr>
                  <w:tcW w:w="1006" w:type="dxa"/>
                  <w:noWrap/>
                  <w:vAlign w:val="center"/>
                </w:tcPr>
                <w:p w14:paraId="0BB457C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 xml:space="preserve">651 </w:t>
                  </w:r>
                </w:p>
              </w:tc>
              <w:tc>
                <w:tcPr>
                  <w:tcW w:w="1004" w:type="dxa"/>
                  <w:noWrap/>
                  <w:vAlign w:val="center"/>
                </w:tcPr>
                <w:p w14:paraId="1E43193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ascii="Times New Roman" w:hAnsi="Times New Roman" w:eastAsia="仿宋_GB2312" w:cs="Times New Roman"/>
                      <w:color w:val="auto"/>
                      <w:kern w:val="0"/>
                      <w:sz w:val="21"/>
                      <w:lang w:val="en-US" w:eastAsia="zh-CN"/>
                    </w:rPr>
                    <w:t>0.935</w:t>
                  </w:r>
                </w:p>
              </w:tc>
              <w:tc>
                <w:tcPr>
                  <w:tcW w:w="488" w:type="pct"/>
                  <w:vMerge w:val="continue"/>
                  <w:vAlign w:val="center"/>
                </w:tcPr>
                <w:p w14:paraId="2A98012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p>
              </w:tc>
              <w:tc>
                <w:tcPr>
                  <w:tcW w:w="1004" w:type="dxa"/>
                  <w:noWrap/>
                  <w:vAlign w:val="center"/>
                </w:tcPr>
                <w:p w14:paraId="1782381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eastAsia" w:ascii="Times New Roman" w:hAnsi="Times New Roman" w:eastAsia="仿宋_GB2312" w:cs="Times New Roman"/>
                      <w:color w:val="auto"/>
                      <w:kern w:val="0"/>
                      <w:sz w:val="21"/>
                      <w:lang w:val="en-US" w:eastAsia="zh-CN"/>
                    </w:rPr>
                    <w:t xml:space="preserve">651 </w:t>
                  </w:r>
                </w:p>
              </w:tc>
              <w:tc>
                <w:tcPr>
                  <w:tcW w:w="1006" w:type="dxa"/>
                  <w:noWrap/>
                  <w:vAlign w:val="center"/>
                </w:tcPr>
                <w:p w14:paraId="6A47746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rPr>
                  </w:pPr>
                  <w:r>
                    <w:rPr>
                      <w:rFonts w:hint="eastAsia" w:ascii="Times New Roman" w:hAnsi="Times New Roman" w:eastAsia="仿宋_GB2312" w:cs="Times New Roman"/>
                      <w:color w:val="auto"/>
                      <w:kern w:val="0"/>
                      <w:sz w:val="21"/>
                      <w:lang w:val="en-US" w:eastAsia="zh-CN"/>
                    </w:rPr>
                    <w:t>0.935</w:t>
                  </w:r>
                </w:p>
              </w:tc>
              <w:tc>
                <w:tcPr>
                  <w:tcW w:w="487" w:type="pct"/>
                  <w:vAlign w:val="center"/>
                </w:tcPr>
                <w:p w14:paraId="67ABB23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2000</w:t>
                  </w:r>
                </w:p>
              </w:tc>
              <w:tc>
                <w:tcPr>
                  <w:tcW w:w="776" w:type="pct"/>
                  <w:vMerge w:val="continue"/>
                  <w:vAlign w:val="center"/>
                </w:tcPr>
                <w:p w14:paraId="67C74A4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bl>
          <w:p w14:paraId="6F2D895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本项目工艺废水、设备清洗废水、地面清洁废水、洗衣废水、循环冷却系统排水、废气喷淋废水、质检区废水经污水站处理后回用于循环冷却系统。</w:t>
            </w:r>
          </w:p>
          <w:p w14:paraId="6E3A4357">
            <w:pPr>
              <w:keepNext w:val="0"/>
              <w:keepLines w:val="0"/>
              <w:widowControl/>
              <w:suppressLineNumbers w:val="0"/>
              <w:spacing w:before="0" w:beforeAutospacing="0" w:after="0" w:afterAutospacing="0" w:line="500" w:lineRule="exact"/>
              <w:ind w:left="0" w:right="0" w:firstLine="2" w:firstLineChars="1"/>
              <w:jc w:val="center"/>
              <w:rPr>
                <w:rFonts w:hint="eastAsia" w:ascii="Times New Roman" w:hAnsi="Times New Roman" w:eastAsia="仿宋_GB2312" w:cs="Times New Roman"/>
                <w:b/>
                <w:bCs/>
                <w:color w:val="auto"/>
                <w:kern w:val="0"/>
                <w:sz w:val="22"/>
                <w:szCs w:val="22"/>
                <w:highlight w:val="none"/>
              </w:rPr>
            </w:pPr>
          </w:p>
          <w:p w14:paraId="57FFCE1E">
            <w:pPr>
              <w:pStyle w:val="2"/>
              <w:keepNext w:val="0"/>
              <w:keepLines w:val="0"/>
              <w:suppressLineNumbers w:val="0"/>
              <w:spacing w:beforeAutospacing="0" w:afterAutospacing="0"/>
              <w:ind w:left="0"/>
              <w:rPr>
                <w:rFonts w:hint="eastAsia" w:ascii="Times New Roman" w:hAnsi="Times New Roman" w:eastAsia="仿宋_GB2312" w:cs="Times New Roman"/>
                <w:b/>
                <w:bCs/>
                <w:color w:val="auto"/>
                <w:kern w:val="0"/>
                <w:sz w:val="22"/>
                <w:szCs w:val="22"/>
                <w:highlight w:val="none"/>
              </w:rPr>
            </w:pPr>
          </w:p>
          <w:p w14:paraId="04C1869F">
            <w:pPr>
              <w:pStyle w:val="3"/>
              <w:keepNext w:val="0"/>
              <w:keepLines w:val="0"/>
              <w:suppressLineNumbers w:val="0"/>
              <w:spacing w:before="0" w:beforeAutospacing="0" w:after="0" w:afterAutospacing="0"/>
              <w:ind w:right="0"/>
              <w:rPr>
                <w:rFonts w:hint="eastAsia" w:ascii="Times New Roman" w:hAnsi="Times New Roman" w:eastAsia="仿宋_GB2312" w:cs="Times New Roman"/>
                <w:b/>
                <w:bCs/>
                <w:color w:val="auto"/>
                <w:kern w:val="0"/>
                <w:sz w:val="22"/>
                <w:szCs w:val="22"/>
                <w:highlight w:val="none"/>
              </w:rPr>
            </w:pPr>
          </w:p>
          <w:p w14:paraId="2B1CD2AF">
            <w:pPr>
              <w:pStyle w:val="3"/>
              <w:keepNext w:val="0"/>
              <w:keepLines w:val="0"/>
              <w:suppressLineNumbers w:val="0"/>
              <w:spacing w:before="0" w:beforeAutospacing="0" w:after="0" w:afterAutospacing="0"/>
              <w:ind w:right="0"/>
              <w:rPr>
                <w:rFonts w:hint="eastAsia" w:ascii="Times New Roman" w:hAnsi="Times New Roman" w:eastAsia="仿宋_GB2312" w:cs="Times New Roman"/>
                <w:b/>
                <w:bCs/>
                <w:color w:val="auto"/>
                <w:kern w:val="0"/>
                <w:sz w:val="22"/>
                <w:szCs w:val="22"/>
                <w:highlight w:val="none"/>
              </w:rPr>
            </w:pPr>
          </w:p>
          <w:p w14:paraId="7782069D">
            <w:pPr>
              <w:pStyle w:val="3"/>
              <w:keepNext w:val="0"/>
              <w:keepLines w:val="0"/>
              <w:suppressLineNumbers w:val="0"/>
              <w:spacing w:before="0" w:beforeAutospacing="0" w:after="0" w:afterAutospacing="0"/>
              <w:ind w:right="0"/>
              <w:rPr>
                <w:rFonts w:hint="eastAsia" w:ascii="Times New Roman" w:hAnsi="Times New Roman" w:eastAsia="仿宋_GB2312" w:cs="Times New Roman"/>
                <w:b/>
                <w:bCs/>
                <w:color w:val="auto"/>
                <w:kern w:val="0"/>
                <w:sz w:val="22"/>
                <w:szCs w:val="22"/>
                <w:highlight w:val="none"/>
              </w:rPr>
            </w:pPr>
          </w:p>
          <w:p w14:paraId="35D5C395">
            <w:pPr>
              <w:keepNext w:val="0"/>
              <w:keepLines w:val="0"/>
              <w:widowControl/>
              <w:suppressLineNumbers w:val="0"/>
              <w:spacing w:before="0" w:beforeAutospacing="0" w:after="0" w:afterAutospacing="0" w:line="500" w:lineRule="exact"/>
              <w:ind w:left="0" w:right="0" w:firstLine="2" w:firstLineChars="1"/>
              <w:jc w:val="center"/>
              <w:rPr>
                <w:rFonts w:hint="default" w:ascii="Times New Roman" w:hAnsi="Times New Roman" w:eastAsia="仿宋_GB2312" w:cs="Times New Roman"/>
                <w:b/>
                <w:bCs/>
                <w:color w:val="auto"/>
                <w:kern w:val="0"/>
                <w:sz w:val="22"/>
                <w:szCs w:val="22"/>
                <w:highlight w:val="none"/>
              </w:rPr>
            </w:pPr>
            <w:r>
              <w:rPr>
                <w:rFonts w:hint="eastAsia" w:ascii="Times New Roman" w:hAnsi="Times New Roman" w:eastAsia="仿宋_GB2312" w:cs="Times New Roman"/>
                <w:b/>
                <w:bCs/>
                <w:color w:val="auto"/>
                <w:kern w:val="0"/>
                <w:sz w:val="22"/>
                <w:szCs w:val="22"/>
                <w:highlight w:val="none"/>
              </w:rPr>
              <w:t>表</w:t>
            </w:r>
            <w:r>
              <w:rPr>
                <w:rFonts w:hint="eastAsia" w:eastAsia="仿宋_GB2312" w:cs="Times New Roman"/>
                <w:b/>
                <w:bCs/>
                <w:color w:val="auto"/>
                <w:kern w:val="0"/>
                <w:sz w:val="22"/>
                <w:szCs w:val="22"/>
                <w:highlight w:val="none"/>
                <w:lang w:val="en-US" w:eastAsia="zh-CN"/>
              </w:rPr>
              <w:t>4-24</w:t>
            </w:r>
            <w:r>
              <w:rPr>
                <w:rFonts w:hint="default" w:ascii="Times New Roman" w:hAnsi="Times New Roman" w:eastAsia="仿宋_GB2312" w:cs="Times New Roman"/>
                <w:b/>
                <w:bCs/>
                <w:color w:val="auto"/>
                <w:kern w:val="0"/>
                <w:sz w:val="22"/>
                <w:szCs w:val="22"/>
                <w:highlight w:val="none"/>
              </w:rPr>
              <w:t xml:space="preserve">  </w:t>
            </w:r>
            <w:r>
              <w:rPr>
                <w:rFonts w:hint="eastAsia" w:ascii="Times New Roman" w:hAnsi="Times New Roman" w:eastAsia="仿宋_GB2312" w:cs="Times New Roman"/>
                <w:b/>
                <w:bCs/>
                <w:color w:val="auto"/>
                <w:kern w:val="0"/>
                <w:sz w:val="22"/>
                <w:szCs w:val="22"/>
                <w:highlight w:val="none"/>
              </w:rPr>
              <w:t>本项目回用水情况</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51"/>
              <w:gridCol w:w="1418"/>
              <w:gridCol w:w="1189"/>
              <w:gridCol w:w="1137"/>
              <w:gridCol w:w="968"/>
              <w:gridCol w:w="1003"/>
              <w:gridCol w:w="1129"/>
              <w:gridCol w:w="1104"/>
              <w:gridCol w:w="1297"/>
            </w:tblGrid>
            <w:tr w14:paraId="65093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0" w:type="pct"/>
                  <w:vMerge w:val="restart"/>
                  <w:vAlign w:val="center"/>
                </w:tcPr>
                <w:p w14:paraId="431A9A5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废水量(m</w:t>
                  </w:r>
                  <w:r>
                    <w:rPr>
                      <w:rFonts w:hint="default" w:ascii="Times New Roman" w:hAnsi="Times New Roman" w:eastAsia="仿宋_GB2312" w:cs="Times New Roman"/>
                      <w:b/>
                      <w:bCs/>
                      <w:color w:val="auto"/>
                      <w:kern w:val="0"/>
                      <w:sz w:val="21"/>
                      <w:vertAlign w:val="superscript"/>
                    </w:rPr>
                    <w:t>3</w:t>
                  </w:r>
                  <w:r>
                    <w:rPr>
                      <w:rFonts w:hint="default" w:ascii="Times New Roman" w:hAnsi="Times New Roman" w:eastAsia="仿宋_GB2312" w:cs="Times New Roman"/>
                      <w:b/>
                      <w:bCs/>
                      <w:color w:val="auto"/>
                      <w:kern w:val="0"/>
                      <w:sz w:val="21"/>
                    </w:rPr>
                    <w:t>/a)</w:t>
                  </w:r>
                </w:p>
              </w:tc>
              <w:tc>
                <w:tcPr>
                  <w:tcW w:w="688" w:type="pct"/>
                  <w:vMerge w:val="restart"/>
                  <w:vAlign w:val="center"/>
                </w:tcPr>
                <w:p w14:paraId="2A520A7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污染物名称</w:t>
                  </w:r>
                </w:p>
              </w:tc>
              <w:tc>
                <w:tcPr>
                  <w:tcW w:w="1129" w:type="pct"/>
                  <w:gridSpan w:val="2"/>
                  <w:vAlign w:val="center"/>
                </w:tcPr>
                <w:p w14:paraId="2DD1CFD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污染物产生情况</w:t>
                  </w:r>
                </w:p>
              </w:tc>
              <w:tc>
                <w:tcPr>
                  <w:tcW w:w="470" w:type="pct"/>
                  <w:vMerge w:val="restart"/>
                  <w:vAlign w:val="center"/>
                </w:tcPr>
                <w:p w14:paraId="31CFA039">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治理</w:t>
                  </w:r>
                </w:p>
                <w:p w14:paraId="44C8A9E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方式</w:t>
                  </w:r>
                </w:p>
              </w:tc>
              <w:tc>
                <w:tcPr>
                  <w:tcW w:w="1035" w:type="pct"/>
                  <w:gridSpan w:val="2"/>
                  <w:vAlign w:val="center"/>
                </w:tcPr>
                <w:p w14:paraId="0FA24D1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污染物回用情况</w:t>
                  </w:r>
                </w:p>
              </w:tc>
              <w:tc>
                <w:tcPr>
                  <w:tcW w:w="536" w:type="pct"/>
                  <w:vMerge w:val="restart"/>
                  <w:vAlign w:val="center"/>
                </w:tcPr>
                <w:p w14:paraId="149603B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回用标准(mg/L)</w:t>
                  </w:r>
                </w:p>
              </w:tc>
              <w:tc>
                <w:tcPr>
                  <w:tcW w:w="629" w:type="pct"/>
                  <w:vMerge w:val="restart"/>
                  <w:vAlign w:val="center"/>
                </w:tcPr>
                <w:p w14:paraId="2A57C51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去向</w:t>
                  </w:r>
                </w:p>
              </w:tc>
            </w:tr>
            <w:tr w14:paraId="16605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0" w:type="pct"/>
                  <w:vMerge w:val="continue"/>
                  <w:vAlign w:val="center"/>
                </w:tcPr>
                <w:p w14:paraId="39706E8D">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688" w:type="pct"/>
                  <w:vMerge w:val="continue"/>
                  <w:vAlign w:val="center"/>
                </w:tcPr>
                <w:p w14:paraId="53541BB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577" w:type="pct"/>
                  <w:vAlign w:val="center"/>
                </w:tcPr>
                <w:p w14:paraId="63F4C54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浓度</w:t>
                  </w:r>
                </w:p>
                <w:p w14:paraId="14251DD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lang w:val="zh-CN"/>
                    </w:rPr>
                    <w:t>(mg/L)</w:t>
                  </w:r>
                </w:p>
              </w:tc>
              <w:tc>
                <w:tcPr>
                  <w:tcW w:w="551" w:type="pct"/>
                  <w:vAlign w:val="center"/>
                </w:tcPr>
                <w:p w14:paraId="4CBD8996">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产生量</w:t>
                  </w:r>
                </w:p>
                <w:p w14:paraId="5CAA5BC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lang w:val="zh-CN"/>
                    </w:rPr>
                    <w:t>(t/a)</w:t>
                  </w:r>
                </w:p>
              </w:tc>
              <w:tc>
                <w:tcPr>
                  <w:tcW w:w="470" w:type="pct"/>
                  <w:vMerge w:val="continue"/>
                  <w:vAlign w:val="center"/>
                </w:tcPr>
                <w:p w14:paraId="4DCB1CF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487" w:type="pct"/>
                  <w:vAlign w:val="center"/>
                </w:tcPr>
                <w:p w14:paraId="40AAB6AF">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浓度(mg/L)</w:t>
                  </w:r>
                </w:p>
              </w:tc>
              <w:tc>
                <w:tcPr>
                  <w:tcW w:w="547" w:type="pct"/>
                  <w:vAlign w:val="center"/>
                </w:tcPr>
                <w:p w14:paraId="01DFC102">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r>
                    <w:rPr>
                      <w:rFonts w:hint="default" w:ascii="Times New Roman" w:hAnsi="Times New Roman" w:eastAsia="仿宋_GB2312" w:cs="Times New Roman"/>
                      <w:b/>
                      <w:bCs/>
                      <w:color w:val="auto"/>
                      <w:kern w:val="0"/>
                      <w:sz w:val="21"/>
                    </w:rPr>
                    <w:t>回用量(t/a)</w:t>
                  </w:r>
                </w:p>
              </w:tc>
              <w:tc>
                <w:tcPr>
                  <w:tcW w:w="536" w:type="pct"/>
                  <w:vMerge w:val="continue"/>
                  <w:vAlign w:val="center"/>
                </w:tcPr>
                <w:p w14:paraId="6A02E66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c>
                <w:tcPr>
                  <w:tcW w:w="629" w:type="pct"/>
                  <w:vMerge w:val="continue"/>
                  <w:vAlign w:val="center"/>
                </w:tcPr>
                <w:p w14:paraId="3EA647F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bCs/>
                      <w:color w:val="auto"/>
                      <w:kern w:val="0"/>
                      <w:sz w:val="21"/>
                    </w:rPr>
                  </w:pPr>
                </w:p>
              </w:tc>
            </w:tr>
            <w:tr w14:paraId="290C6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0" w:type="pct"/>
                  <w:vMerge w:val="restart"/>
                  <w:vAlign w:val="center"/>
                </w:tcPr>
                <w:p w14:paraId="7791B6A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回用水</w:t>
                  </w:r>
                  <w:r>
                    <w:rPr>
                      <w:rFonts w:hint="eastAsia" w:eastAsia="仿宋_GB2312" w:cs="Times New Roman"/>
                      <w:color w:val="auto"/>
                      <w:sz w:val="21"/>
                      <w:lang w:val="en-US" w:eastAsia="zh-CN"/>
                    </w:rPr>
                    <w:t>867.33</w:t>
                  </w:r>
                </w:p>
              </w:tc>
              <w:tc>
                <w:tcPr>
                  <w:tcW w:w="688" w:type="pct"/>
                  <w:noWrap/>
                  <w:vAlign w:val="center"/>
                </w:tcPr>
                <w:p w14:paraId="0C3D4FA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sz w:val="21"/>
                    </w:rPr>
                  </w:pPr>
                  <w:r>
                    <w:rPr>
                      <w:rFonts w:hint="default" w:ascii="Times New Roman" w:hAnsi="Times New Roman" w:eastAsia="仿宋_GB2312" w:cs="Times New Roman"/>
                      <w:b w:val="0"/>
                      <w:bCs w:val="0"/>
                      <w:color w:val="auto"/>
                      <w:sz w:val="21"/>
                    </w:rPr>
                    <w:t>COD</w:t>
                  </w:r>
                </w:p>
              </w:tc>
              <w:tc>
                <w:tcPr>
                  <w:tcW w:w="1168" w:type="dxa"/>
                  <w:noWrap/>
                  <w:vAlign w:val="center"/>
                </w:tcPr>
                <w:p w14:paraId="5364C884">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1946.1</w:t>
                  </w:r>
                </w:p>
              </w:tc>
              <w:tc>
                <w:tcPr>
                  <w:tcW w:w="1115" w:type="dxa"/>
                  <w:noWrap/>
                  <w:vAlign w:val="center"/>
                </w:tcPr>
                <w:p w14:paraId="4886B973">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1.6879</w:t>
                  </w:r>
                </w:p>
              </w:tc>
              <w:tc>
                <w:tcPr>
                  <w:tcW w:w="470" w:type="pct"/>
                  <w:vMerge w:val="restart"/>
                  <w:vAlign w:val="center"/>
                </w:tcPr>
                <w:p w14:paraId="7670146E">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highlight w:val="yellow"/>
                    </w:rPr>
                  </w:pPr>
                  <w:r>
                    <w:rPr>
                      <w:rFonts w:hint="default" w:ascii="Times New Roman" w:hAnsi="Times New Roman" w:eastAsia="仿宋_GB2312" w:cs="Times New Roman"/>
                      <w:b w:val="0"/>
                      <w:bCs w:val="0"/>
                      <w:color w:val="auto"/>
                      <w:sz w:val="21"/>
                    </w:rPr>
                    <w:t>预处理+生化处理+双效蒸发</w:t>
                  </w:r>
                </w:p>
              </w:tc>
              <w:tc>
                <w:tcPr>
                  <w:tcW w:w="985" w:type="dxa"/>
                  <w:noWrap/>
                  <w:vAlign w:val="center"/>
                </w:tcPr>
                <w:p w14:paraId="1A64F71F">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26.5 </w:t>
                  </w:r>
                </w:p>
              </w:tc>
              <w:tc>
                <w:tcPr>
                  <w:tcW w:w="1107" w:type="dxa"/>
                  <w:noWrap/>
                  <w:vAlign w:val="center"/>
                </w:tcPr>
                <w:p w14:paraId="7D3FDE80">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0.0230 </w:t>
                  </w:r>
                </w:p>
              </w:tc>
              <w:tc>
                <w:tcPr>
                  <w:tcW w:w="536" w:type="pct"/>
                  <w:vAlign w:val="center"/>
                </w:tcPr>
                <w:p w14:paraId="32122C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50</w:t>
                  </w:r>
                </w:p>
              </w:tc>
              <w:tc>
                <w:tcPr>
                  <w:tcW w:w="629" w:type="pct"/>
                  <w:vMerge w:val="restart"/>
                  <w:vAlign w:val="center"/>
                </w:tcPr>
                <w:p w14:paraId="7EBDE85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r>
                    <w:rPr>
                      <w:rFonts w:hint="default" w:ascii="Times New Roman" w:hAnsi="Times New Roman" w:eastAsia="仿宋_GB2312" w:cs="Times New Roman"/>
                      <w:color w:val="auto"/>
                      <w:kern w:val="0"/>
                      <w:sz w:val="21"/>
                    </w:rPr>
                    <w:t>污水站处理后回用至循环冷却系统</w:t>
                  </w:r>
                </w:p>
              </w:tc>
            </w:tr>
            <w:tr w14:paraId="08531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4" w:hRule="atLeast"/>
                <w:jc w:val="center"/>
              </w:trPr>
              <w:tc>
                <w:tcPr>
                  <w:tcW w:w="510" w:type="pct"/>
                  <w:vMerge w:val="continue"/>
                  <w:vAlign w:val="center"/>
                </w:tcPr>
                <w:p w14:paraId="31DED4A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88" w:type="pct"/>
                  <w:noWrap/>
                  <w:vAlign w:val="center"/>
                </w:tcPr>
                <w:p w14:paraId="3B00EB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sz w:val="21"/>
                    </w:rPr>
                  </w:pPr>
                  <w:r>
                    <w:rPr>
                      <w:rFonts w:hint="default" w:ascii="Times New Roman" w:hAnsi="Times New Roman" w:eastAsia="仿宋_GB2312" w:cs="Times New Roman"/>
                      <w:b w:val="0"/>
                      <w:bCs w:val="0"/>
                      <w:color w:val="auto"/>
                      <w:sz w:val="21"/>
                    </w:rPr>
                    <w:t>SS</w:t>
                  </w:r>
                </w:p>
              </w:tc>
              <w:tc>
                <w:tcPr>
                  <w:tcW w:w="1168" w:type="dxa"/>
                  <w:noWrap/>
                  <w:vAlign w:val="center"/>
                </w:tcPr>
                <w:p w14:paraId="636FEC7E">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151.5</w:t>
                  </w:r>
                </w:p>
              </w:tc>
              <w:tc>
                <w:tcPr>
                  <w:tcW w:w="1115" w:type="dxa"/>
                  <w:noWrap/>
                  <w:vAlign w:val="center"/>
                </w:tcPr>
                <w:p w14:paraId="67432D20">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0.1314</w:t>
                  </w:r>
                </w:p>
              </w:tc>
              <w:tc>
                <w:tcPr>
                  <w:tcW w:w="470" w:type="pct"/>
                  <w:vMerge w:val="continue"/>
                  <w:vAlign w:val="center"/>
                </w:tcPr>
                <w:p w14:paraId="3877339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highlight w:val="yellow"/>
                    </w:rPr>
                  </w:pPr>
                </w:p>
              </w:tc>
              <w:tc>
                <w:tcPr>
                  <w:tcW w:w="985" w:type="dxa"/>
                  <w:noWrap/>
                  <w:vAlign w:val="center"/>
                </w:tcPr>
                <w:p w14:paraId="09EB23A5">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22.7 </w:t>
                  </w:r>
                </w:p>
              </w:tc>
              <w:tc>
                <w:tcPr>
                  <w:tcW w:w="1107" w:type="dxa"/>
                  <w:noWrap/>
                  <w:vAlign w:val="center"/>
                </w:tcPr>
                <w:p w14:paraId="384F074A">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0.0197 </w:t>
                  </w:r>
                </w:p>
              </w:tc>
              <w:tc>
                <w:tcPr>
                  <w:tcW w:w="536" w:type="pct"/>
                  <w:vAlign w:val="center"/>
                </w:tcPr>
                <w:p w14:paraId="4185028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w:t>
                  </w:r>
                </w:p>
              </w:tc>
              <w:tc>
                <w:tcPr>
                  <w:tcW w:w="629" w:type="pct"/>
                  <w:vMerge w:val="continue"/>
                  <w:vAlign w:val="center"/>
                </w:tcPr>
                <w:p w14:paraId="136A6483">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7F89D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0" w:type="pct"/>
                  <w:vMerge w:val="continue"/>
                  <w:vAlign w:val="center"/>
                </w:tcPr>
                <w:p w14:paraId="23CC5A5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88" w:type="pct"/>
                  <w:noWrap/>
                  <w:vAlign w:val="center"/>
                </w:tcPr>
                <w:p w14:paraId="4715355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rPr>
                  </w:pPr>
                  <w:r>
                    <w:rPr>
                      <w:rFonts w:hint="default" w:ascii="Times New Roman" w:hAnsi="Times New Roman" w:eastAsia="仿宋_GB2312" w:cs="Times New Roman"/>
                      <w:b w:val="0"/>
                      <w:bCs w:val="0"/>
                      <w:color w:val="auto"/>
                      <w:sz w:val="21"/>
                    </w:rPr>
                    <w:t>NH</w:t>
                  </w:r>
                  <w:r>
                    <w:rPr>
                      <w:rFonts w:hint="default" w:ascii="Times New Roman" w:hAnsi="Times New Roman" w:eastAsia="仿宋_GB2312" w:cs="Times New Roman"/>
                      <w:b w:val="0"/>
                      <w:bCs w:val="0"/>
                      <w:color w:val="auto"/>
                      <w:sz w:val="21"/>
                      <w:vertAlign w:val="subscript"/>
                    </w:rPr>
                    <w:t>3</w:t>
                  </w:r>
                  <w:r>
                    <w:rPr>
                      <w:rFonts w:hint="default" w:ascii="Times New Roman" w:hAnsi="Times New Roman" w:eastAsia="仿宋_GB2312" w:cs="Times New Roman"/>
                      <w:b w:val="0"/>
                      <w:bCs w:val="0"/>
                      <w:color w:val="auto"/>
                      <w:sz w:val="21"/>
                    </w:rPr>
                    <w:t>-N</w:t>
                  </w:r>
                </w:p>
              </w:tc>
              <w:tc>
                <w:tcPr>
                  <w:tcW w:w="1168" w:type="dxa"/>
                  <w:noWrap/>
                  <w:vAlign w:val="center"/>
                </w:tcPr>
                <w:p w14:paraId="390D351A">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82.4</w:t>
                  </w:r>
                </w:p>
              </w:tc>
              <w:tc>
                <w:tcPr>
                  <w:tcW w:w="1115" w:type="dxa"/>
                  <w:noWrap/>
                  <w:vAlign w:val="center"/>
                </w:tcPr>
                <w:p w14:paraId="01534338">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0.0715</w:t>
                  </w:r>
                </w:p>
              </w:tc>
              <w:tc>
                <w:tcPr>
                  <w:tcW w:w="470" w:type="pct"/>
                  <w:vMerge w:val="continue"/>
                  <w:vAlign w:val="center"/>
                </w:tcPr>
                <w:p w14:paraId="12121CD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highlight w:val="yellow"/>
                    </w:rPr>
                  </w:pPr>
                </w:p>
              </w:tc>
              <w:tc>
                <w:tcPr>
                  <w:tcW w:w="985" w:type="dxa"/>
                  <w:noWrap/>
                  <w:vAlign w:val="center"/>
                </w:tcPr>
                <w:p w14:paraId="2343DB0C">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2.0 </w:t>
                  </w:r>
                </w:p>
              </w:tc>
              <w:tc>
                <w:tcPr>
                  <w:tcW w:w="1107" w:type="dxa"/>
                  <w:noWrap/>
                  <w:vAlign w:val="center"/>
                </w:tcPr>
                <w:p w14:paraId="0AD56D19">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0.0017 </w:t>
                  </w:r>
                </w:p>
              </w:tc>
              <w:tc>
                <w:tcPr>
                  <w:tcW w:w="536" w:type="pct"/>
                  <w:vAlign w:val="center"/>
                </w:tcPr>
                <w:p w14:paraId="43D8FFE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5</w:t>
                  </w:r>
                </w:p>
              </w:tc>
              <w:tc>
                <w:tcPr>
                  <w:tcW w:w="629" w:type="pct"/>
                  <w:vMerge w:val="continue"/>
                  <w:vAlign w:val="center"/>
                </w:tcPr>
                <w:p w14:paraId="50D4797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5DDCB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10" w:type="pct"/>
                  <w:vMerge w:val="continue"/>
                  <w:vAlign w:val="center"/>
                </w:tcPr>
                <w:p w14:paraId="7438A765">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88" w:type="pct"/>
                  <w:noWrap/>
                  <w:vAlign w:val="center"/>
                </w:tcPr>
                <w:p w14:paraId="70952C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lang w:val="zh-CN"/>
                    </w:rPr>
                  </w:pPr>
                  <w:r>
                    <w:rPr>
                      <w:rFonts w:hint="default" w:ascii="Times New Roman" w:hAnsi="Times New Roman" w:eastAsia="仿宋_GB2312" w:cs="Times New Roman"/>
                      <w:b w:val="0"/>
                      <w:bCs w:val="0"/>
                      <w:color w:val="auto"/>
                      <w:sz w:val="21"/>
                    </w:rPr>
                    <w:t>TN</w:t>
                  </w:r>
                </w:p>
              </w:tc>
              <w:tc>
                <w:tcPr>
                  <w:tcW w:w="1168" w:type="dxa"/>
                  <w:noWrap/>
                  <w:vAlign w:val="center"/>
                </w:tcPr>
                <w:p w14:paraId="26DD18C2">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99.8</w:t>
                  </w:r>
                </w:p>
              </w:tc>
              <w:tc>
                <w:tcPr>
                  <w:tcW w:w="1115" w:type="dxa"/>
                  <w:noWrap/>
                  <w:vAlign w:val="center"/>
                </w:tcPr>
                <w:p w14:paraId="783F78BA">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0.08656</w:t>
                  </w:r>
                </w:p>
              </w:tc>
              <w:tc>
                <w:tcPr>
                  <w:tcW w:w="470" w:type="pct"/>
                  <w:vMerge w:val="continue"/>
                  <w:vAlign w:val="center"/>
                </w:tcPr>
                <w:p w14:paraId="0388E410">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highlight w:val="yellow"/>
                    </w:rPr>
                  </w:pPr>
                </w:p>
              </w:tc>
              <w:tc>
                <w:tcPr>
                  <w:tcW w:w="985" w:type="dxa"/>
                  <w:noWrap/>
                  <w:vAlign w:val="center"/>
                </w:tcPr>
                <w:p w14:paraId="6F273B67">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2.4 </w:t>
                  </w:r>
                </w:p>
              </w:tc>
              <w:tc>
                <w:tcPr>
                  <w:tcW w:w="1107" w:type="dxa"/>
                  <w:noWrap/>
                  <w:vAlign w:val="center"/>
                </w:tcPr>
                <w:p w14:paraId="30A89021">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0.0021 </w:t>
                  </w:r>
                </w:p>
              </w:tc>
              <w:tc>
                <w:tcPr>
                  <w:tcW w:w="536" w:type="pct"/>
                  <w:vAlign w:val="center"/>
                </w:tcPr>
                <w:p w14:paraId="1634996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15</w:t>
                  </w:r>
                </w:p>
              </w:tc>
              <w:tc>
                <w:tcPr>
                  <w:tcW w:w="629" w:type="pct"/>
                  <w:vMerge w:val="continue"/>
                  <w:vAlign w:val="center"/>
                </w:tcPr>
                <w:p w14:paraId="5A2DB7B8">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77BA8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0" w:type="pct"/>
                  <w:vMerge w:val="continue"/>
                  <w:vAlign w:val="center"/>
                </w:tcPr>
                <w:p w14:paraId="2E2CBD14">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c>
                <w:tcPr>
                  <w:tcW w:w="688" w:type="pct"/>
                  <w:noWrap/>
                  <w:vAlign w:val="center"/>
                </w:tcPr>
                <w:p w14:paraId="3EF95A6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lang w:val="zh-CN"/>
                    </w:rPr>
                  </w:pPr>
                  <w:r>
                    <w:rPr>
                      <w:rFonts w:hint="default" w:ascii="Times New Roman" w:hAnsi="Times New Roman" w:eastAsia="仿宋_GB2312" w:cs="Times New Roman"/>
                      <w:b w:val="0"/>
                      <w:bCs w:val="0"/>
                      <w:color w:val="auto"/>
                      <w:sz w:val="21"/>
                    </w:rPr>
                    <w:t>TP</w:t>
                  </w:r>
                </w:p>
              </w:tc>
              <w:tc>
                <w:tcPr>
                  <w:tcW w:w="1168" w:type="dxa"/>
                  <w:noWrap/>
                  <w:vAlign w:val="center"/>
                </w:tcPr>
                <w:p w14:paraId="24713A17">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139.1</w:t>
                  </w:r>
                </w:p>
              </w:tc>
              <w:tc>
                <w:tcPr>
                  <w:tcW w:w="1115" w:type="dxa"/>
                  <w:noWrap/>
                  <w:vAlign w:val="center"/>
                </w:tcPr>
                <w:p w14:paraId="2390F0D5">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0.120644</w:t>
                  </w:r>
                </w:p>
              </w:tc>
              <w:tc>
                <w:tcPr>
                  <w:tcW w:w="470" w:type="pct"/>
                  <w:vMerge w:val="continue"/>
                  <w:vAlign w:val="center"/>
                </w:tcPr>
                <w:p w14:paraId="162804BB">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highlight w:val="yellow"/>
                    </w:rPr>
                  </w:pPr>
                </w:p>
              </w:tc>
              <w:tc>
                <w:tcPr>
                  <w:tcW w:w="985" w:type="dxa"/>
                  <w:noWrap/>
                  <w:vAlign w:val="center"/>
                </w:tcPr>
                <w:p w14:paraId="3B3577CF">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0.4 </w:t>
                  </w:r>
                </w:p>
              </w:tc>
              <w:tc>
                <w:tcPr>
                  <w:tcW w:w="1107" w:type="dxa"/>
                  <w:noWrap/>
                  <w:vAlign w:val="center"/>
                </w:tcPr>
                <w:p w14:paraId="1FECE9D6">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0.0003 </w:t>
                  </w:r>
                </w:p>
              </w:tc>
              <w:tc>
                <w:tcPr>
                  <w:tcW w:w="536" w:type="pct"/>
                  <w:vAlign w:val="center"/>
                </w:tcPr>
                <w:p w14:paraId="2FC0CEC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0.5</w:t>
                  </w:r>
                </w:p>
              </w:tc>
              <w:tc>
                <w:tcPr>
                  <w:tcW w:w="629" w:type="pct"/>
                  <w:vMerge w:val="continue"/>
                  <w:vAlign w:val="center"/>
                </w:tcPr>
                <w:p w14:paraId="465065B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r w14:paraId="2B13E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0" w:type="pct"/>
                  <w:vMerge w:val="continue"/>
                  <w:vAlign w:val="center"/>
                </w:tcPr>
                <w:p w14:paraId="1DB302A7">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c>
                <w:tcPr>
                  <w:tcW w:w="688" w:type="pct"/>
                  <w:noWrap/>
                  <w:vAlign w:val="center"/>
                </w:tcPr>
                <w:p w14:paraId="20DB3E0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highlight w:val="yellow"/>
                      <w:lang w:val="zh-CN"/>
                    </w:rPr>
                  </w:pPr>
                  <w:r>
                    <w:rPr>
                      <w:rFonts w:hint="default" w:ascii="Times New Roman" w:hAnsi="Times New Roman" w:eastAsia="仿宋_GB2312" w:cs="Times New Roman"/>
                      <w:b w:val="0"/>
                      <w:bCs w:val="0"/>
                      <w:color w:val="auto"/>
                      <w:sz w:val="21"/>
                      <w:highlight w:val="none"/>
                    </w:rPr>
                    <w:t>盐分</w:t>
                  </w:r>
                </w:p>
              </w:tc>
              <w:tc>
                <w:tcPr>
                  <w:tcW w:w="1168" w:type="dxa"/>
                  <w:noWrap/>
                  <w:vAlign w:val="center"/>
                </w:tcPr>
                <w:p w14:paraId="294D69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5727.9</w:t>
                  </w:r>
                </w:p>
              </w:tc>
              <w:tc>
                <w:tcPr>
                  <w:tcW w:w="1115" w:type="dxa"/>
                  <w:noWrap/>
                  <w:vAlign w:val="center"/>
                </w:tcPr>
                <w:p w14:paraId="180E86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4.968</w:t>
                  </w:r>
                </w:p>
              </w:tc>
              <w:tc>
                <w:tcPr>
                  <w:tcW w:w="470" w:type="pct"/>
                  <w:vMerge w:val="continue"/>
                  <w:vAlign w:val="center"/>
                </w:tcPr>
                <w:p w14:paraId="0F030D7C">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b w:val="0"/>
                      <w:bCs w:val="0"/>
                      <w:color w:val="auto"/>
                      <w:kern w:val="0"/>
                      <w:sz w:val="21"/>
                      <w:highlight w:val="yellow"/>
                    </w:rPr>
                  </w:pPr>
                </w:p>
              </w:tc>
              <w:tc>
                <w:tcPr>
                  <w:tcW w:w="985" w:type="dxa"/>
                  <w:noWrap/>
                  <w:vAlign w:val="center"/>
                </w:tcPr>
                <w:p w14:paraId="628A8FB0">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572.8 </w:t>
                  </w:r>
                </w:p>
              </w:tc>
              <w:tc>
                <w:tcPr>
                  <w:tcW w:w="1107" w:type="dxa"/>
                  <w:noWrap/>
                  <w:vAlign w:val="center"/>
                </w:tcPr>
                <w:p w14:paraId="32E70B3E">
                  <w:pPr>
                    <w:keepNext w:val="0"/>
                    <w:keepLines w:val="0"/>
                    <w:widowControl/>
                    <w:suppressLineNumbers w:val="0"/>
                    <w:spacing w:before="0" w:beforeAutospacing="0" w:after="0" w:afterAutospacing="0"/>
                    <w:ind w:left="0" w:right="0"/>
                    <w:jc w:val="center"/>
                    <w:textAlignment w:val="center"/>
                    <w:rPr>
                      <w:rFonts w:hint="default" w:eastAsia="仿宋_GB2312" w:cs="Times New Roman"/>
                      <w:b w:val="0"/>
                      <w:bCs w:val="0"/>
                      <w:color w:val="auto"/>
                      <w:sz w:val="21"/>
                      <w:lang w:val="zh-CN"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0.4968 </w:t>
                  </w:r>
                </w:p>
              </w:tc>
              <w:tc>
                <w:tcPr>
                  <w:tcW w:w="536" w:type="pct"/>
                  <w:vAlign w:val="center"/>
                </w:tcPr>
                <w:p w14:paraId="44A2616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1000</w:t>
                  </w:r>
                </w:p>
              </w:tc>
              <w:tc>
                <w:tcPr>
                  <w:tcW w:w="629" w:type="pct"/>
                  <w:vMerge w:val="continue"/>
                  <w:vAlign w:val="center"/>
                </w:tcPr>
                <w:p w14:paraId="22D4501A">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highlight w:val="yellow"/>
                    </w:rPr>
                  </w:pPr>
                </w:p>
              </w:tc>
            </w:tr>
          </w:tbl>
          <w:p w14:paraId="410A3F26">
            <w:pPr>
              <w:keepNext w:val="0"/>
              <w:keepLines w:val="0"/>
              <w:widowControl/>
              <w:suppressLineNumbers w:val="0"/>
              <w:adjustRightInd w:val="0"/>
              <w:snapToGrid w:val="0"/>
              <w:spacing w:before="0" w:beforeAutospacing="0" w:after="0" w:afterAutospacing="0" w:line="500" w:lineRule="exact"/>
              <w:ind w:left="0" w:right="0"/>
              <w:jc w:val="left"/>
              <w:rPr>
                <w:rFonts w:hint="default" w:eastAsia="仿宋_GB2312"/>
                <w:b/>
                <w:bCs/>
                <w:color w:val="auto"/>
                <w:sz w:val="24"/>
              </w:rPr>
            </w:pPr>
            <w:r>
              <w:rPr>
                <w:rFonts w:hint="default" w:eastAsia="仿宋_GB2312"/>
                <w:b/>
                <w:bCs/>
                <w:color w:val="auto"/>
                <w:sz w:val="24"/>
              </w:rPr>
              <w:t>三、固体环境影响和保护措施</w:t>
            </w:r>
          </w:p>
          <w:p w14:paraId="51A93F05">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default" w:eastAsia="仿宋_GB2312"/>
                <w:b/>
                <w:bCs/>
                <w:color w:val="auto"/>
                <w:sz w:val="24"/>
              </w:rPr>
              <w:t>1、产污环节及排放情况</w:t>
            </w:r>
          </w:p>
          <w:p w14:paraId="16FAFCC4">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sz w:val="24"/>
              </w:rPr>
            </w:pPr>
            <w:r>
              <w:rPr>
                <w:rFonts w:hint="default" w:eastAsia="仿宋_GB2312"/>
                <w:bCs/>
                <w:color w:val="auto"/>
                <w:sz w:val="24"/>
              </w:rPr>
              <w:t>根据本项目工程分析内容可知，本项目固废污染物产生情况如下。</w:t>
            </w:r>
          </w:p>
          <w:p w14:paraId="4FE31A97">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highlight w:val="none"/>
              </w:rPr>
            </w:pPr>
            <w:r>
              <w:rPr>
                <w:rFonts w:hint="default" w:eastAsia="仿宋_GB2312"/>
                <w:b/>
                <w:bCs/>
                <w:color w:val="auto"/>
                <w:kern w:val="0"/>
                <w:sz w:val="22"/>
                <w:szCs w:val="22"/>
                <w:highlight w:val="none"/>
              </w:rPr>
              <w:t>表4-</w:t>
            </w:r>
            <w:r>
              <w:rPr>
                <w:rFonts w:hint="eastAsia" w:eastAsia="仿宋_GB2312"/>
                <w:b/>
                <w:bCs/>
                <w:color w:val="auto"/>
                <w:kern w:val="0"/>
                <w:sz w:val="22"/>
                <w:szCs w:val="22"/>
                <w:highlight w:val="none"/>
                <w:lang w:val="en-US" w:eastAsia="zh-CN"/>
              </w:rPr>
              <w:t>25</w:t>
            </w:r>
            <w:r>
              <w:rPr>
                <w:rFonts w:hint="default" w:eastAsia="仿宋_GB2312"/>
                <w:b/>
                <w:bCs/>
                <w:color w:val="auto"/>
                <w:kern w:val="0"/>
                <w:sz w:val="22"/>
                <w:szCs w:val="22"/>
                <w:highlight w:val="none"/>
              </w:rPr>
              <w:t xml:space="preserve">  本项目固废污染物产生源强表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893"/>
              <w:gridCol w:w="1313"/>
              <w:gridCol w:w="794"/>
              <w:gridCol w:w="936"/>
              <w:gridCol w:w="635"/>
              <w:gridCol w:w="1111"/>
              <w:gridCol w:w="1012"/>
              <w:gridCol w:w="573"/>
              <w:gridCol w:w="871"/>
              <w:gridCol w:w="801"/>
            </w:tblGrid>
            <w:tr w14:paraId="6043E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660" w:type="pct"/>
                  <w:vAlign w:val="center"/>
                </w:tcPr>
                <w:p w14:paraId="3C58094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固废名称</w:t>
                  </w:r>
                </w:p>
              </w:tc>
              <w:tc>
                <w:tcPr>
                  <w:tcW w:w="433" w:type="pct"/>
                  <w:vAlign w:val="center"/>
                </w:tcPr>
                <w:p w14:paraId="33534DE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固废类别</w:t>
                  </w:r>
                </w:p>
              </w:tc>
              <w:tc>
                <w:tcPr>
                  <w:tcW w:w="637" w:type="pct"/>
                  <w:vAlign w:val="center"/>
                </w:tcPr>
                <w:p w14:paraId="0DB2739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固废代码</w:t>
                  </w:r>
                </w:p>
              </w:tc>
              <w:tc>
                <w:tcPr>
                  <w:tcW w:w="385" w:type="pct"/>
                  <w:vAlign w:val="center"/>
                </w:tcPr>
                <w:p w14:paraId="70CC0C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产生量(t/a)</w:t>
                  </w:r>
                </w:p>
              </w:tc>
              <w:tc>
                <w:tcPr>
                  <w:tcW w:w="454" w:type="pct"/>
                  <w:vAlign w:val="center"/>
                </w:tcPr>
                <w:p w14:paraId="4B4DB90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产生工序</w:t>
                  </w:r>
                </w:p>
              </w:tc>
              <w:tc>
                <w:tcPr>
                  <w:tcW w:w="308" w:type="pct"/>
                  <w:vAlign w:val="center"/>
                </w:tcPr>
                <w:p w14:paraId="0384875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形态</w:t>
                  </w:r>
                </w:p>
              </w:tc>
              <w:tc>
                <w:tcPr>
                  <w:tcW w:w="539" w:type="pct"/>
                  <w:vAlign w:val="center"/>
                </w:tcPr>
                <w:p w14:paraId="1AAE249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主要成分</w:t>
                  </w:r>
                </w:p>
              </w:tc>
              <w:tc>
                <w:tcPr>
                  <w:tcW w:w="491" w:type="pct"/>
                  <w:vAlign w:val="center"/>
                </w:tcPr>
                <w:p w14:paraId="1BDDBDC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有害成分</w:t>
                  </w:r>
                </w:p>
              </w:tc>
              <w:tc>
                <w:tcPr>
                  <w:tcW w:w="278" w:type="pct"/>
                  <w:vAlign w:val="center"/>
                </w:tcPr>
                <w:p w14:paraId="636FD4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产废周期</w:t>
                  </w:r>
                </w:p>
              </w:tc>
              <w:tc>
                <w:tcPr>
                  <w:tcW w:w="422" w:type="pct"/>
                  <w:vAlign w:val="center"/>
                </w:tcPr>
                <w:p w14:paraId="4475341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危险特性</w:t>
                  </w:r>
                </w:p>
              </w:tc>
              <w:tc>
                <w:tcPr>
                  <w:tcW w:w="388" w:type="pct"/>
                  <w:vAlign w:val="center"/>
                </w:tcPr>
                <w:p w14:paraId="11A8187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b/>
                      <w:bCs/>
                      <w:color w:val="auto"/>
                      <w:kern w:val="0"/>
                      <w:sz w:val="21"/>
                    </w:rPr>
                    <w:t>污染防治措施</w:t>
                  </w:r>
                </w:p>
              </w:tc>
            </w:tr>
            <w:tr w14:paraId="795EB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660" w:type="pct"/>
                  <w:vAlign w:val="center"/>
                </w:tcPr>
                <w:p w14:paraId="0EA630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沾染危险化学品的废包装材料</w:t>
                  </w:r>
                </w:p>
              </w:tc>
              <w:tc>
                <w:tcPr>
                  <w:tcW w:w="433" w:type="pct"/>
                  <w:vAlign w:val="center"/>
                </w:tcPr>
                <w:p w14:paraId="5D1DA8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110D95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6D33365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900-041-49</w:t>
                  </w:r>
                </w:p>
              </w:tc>
              <w:tc>
                <w:tcPr>
                  <w:tcW w:w="385" w:type="pct"/>
                  <w:vAlign w:val="center"/>
                </w:tcPr>
                <w:p w14:paraId="3B821B2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eastAsia" w:ascii="Times New Roman" w:hAnsi="Times New Roman" w:cs="Times New Roman"/>
                      <w:color w:val="auto"/>
                      <w:szCs w:val="21"/>
                      <w:lang w:val="en-US" w:eastAsia="zh-CN"/>
                    </w:rPr>
                    <w:t>0.</w:t>
                  </w: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702</w:t>
                  </w:r>
                </w:p>
              </w:tc>
              <w:tc>
                <w:tcPr>
                  <w:tcW w:w="454" w:type="pct"/>
                  <w:vAlign w:val="center"/>
                </w:tcPr>
                <w:p w14:paraId="3EB07D8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原料包装</w:t>
                  </w:r>
                </w:p>
              </w:tc>
              <w:tc>
                <w:tcPr>
                  <w:tcW w:w="308" w:type="pct"/>
                  <w:vAlign w:val="center"/>
                </w:tcPr>
                <w:p w14:paraId="2EF858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2544FA3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硫酸铵、氢氧化钠、磷酸二氢钾、磷酸氢二钾等</w:t>
                  </w:r>
                </w:p>
              </w:tc>
              <w:tc>
                <w:tcPr>
                  <w:tcW w:w="491" w:type="pct"/>
                  <w:vAlign w:val="center"/>
                </w:tcPr>
                <w:p w14:paraId="558D5E4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硫酸铵、氢氧化钠、磷酸二氢钾、磷酸氢二钾等</w:t>
                  </w:r>
                </w:p>
              </w:tc>
              <w:tc>
                <w:tcPr>
                  <w:tcW w:w="278" w:type="pct"/>
                  <w:vAlign w:val="center"/>
                </w:tcPr>
                <w:p w14:paraId="7AC7919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1d</w:t>
                  </w:r>
                </w:p>
              </w:tc>
              <w:tc>
                <w:tcPr>
                  <w:tcW w:w="422" w:type="pct"/>
                  <w:vAlign w:val="center"/>
                </w:tcPr>
                <w:p w14:paraId="1108CEF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T/In</w:t>
                  </w:r>
                </w:p>
              </w:tc>
              <w:tc>
                <w:tcPr>
                  <w:tcW w:w="388" w:type="pct"/>
                  <w:vMerge w:val="restart"/>
                  <w:vAlign w:val="center"/>
                </w:tcPr>
                <w:p w14:paraId="71D6A47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危废仓库中分类储存，定期送有资质单位处置</w:t>
                  </w:r>
                </w:p>
              </w:tc>
            </w:tr>
            <w:tr w14:paraId="3A1DC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60" w:type="pct"/>
                  <w:vAlign w:val="center"/>
                </w:tcPr>
                <w:p w14:paraId="61CFFC2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车间清洁废物</w:t>
                  </w:r>
                </w:p>
              </w:tc>
              <w:tc>
                <w:tcPr>
                  <w:tcW w:w="433" w:type="pct"/>
                  <w:vAlign w:val="center"/>
                </w:tcPr>
                <w:p w14:paraId="3161AF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455CFE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461FBC1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900-041-49</w:t>
                  </w:r>
                </w:p>
              </w:tc>
              <w:tc>
                <w:tcPr>
                  <w:tcW w:w="385" w:type="pct"/>
                  <w:vAlign w:val="center"/>
                </w:tcPr>
                <w:p w14:paraId="765D9C2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0.2</w:t>
                  </w:r>
                </w:p>
              </w:tc>
              <w:tc>
                <w:tcPr>
                  <w:tcW w:w="454" w:type="pct"/>
                  <w:vAlign w:val="center"/>
                </w:tcPr>
                <w:p w14:paraId="6F97009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车间、设备清洁</w:t>
                  </w:r>
                </w:p>
              </w:tc>
              <w:tc>
                <w:tcPr>
                  <w:tcW w:w="308" w:type="pct"/>
                  <w:vAlign w:val="center"/>
                </w:tcPr>
                <w:p w14:paraId="370D38F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4A3EE2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废拖把、废抹布、废手套等</w:t>
                  </w:r>
                </w:p>
              </w:tc>
              <w:tc>
                <w:tcPr>
                  <w:tcW w:w="491" w:type="pct"/>
                  <w:vAlign w:val="center"/>
                </w:tcPr>
                <w:p w14:paraId="1E7A1B4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有害杂质</w:t>
                  </w:r>
                </w:p>
              </w:tc>
              <w:tc>
                <w:tcPr>
                  <w:tcW w:w="278" w:type="pct"/>
                  <w:vAlign w:val="center"/>
                </w:tcPr>
                <w:p w14:paraId="584986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7d</w:t>
                  </w:r>
                </w:p>
              </w:tc>
              <w:tc>
                <w:tcPr>
                  <w:tcW w:w="422" w:type="pct"/>
                  <w:vAlign w:val="center"/>
                </w:tcPr>
                <w:p w14:paraId="52D10C2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T/In</w:t>
                  </w:r>
                </w:p>
              </w:tc>
              <w:tc>
                <w:tcPr>
                  <w:tcW w:w="388" w:type="pct"/>
                  <w:vMerge w:val="continue"/>
                  <w:vAlign w:val="center"/>
                </w:tcPr>
                <w:p w14:paraId="497C21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7D1F5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pct"/>
                  <w:vAlign w:val="center"/>
                </w:tcPr>
                <w:p w14:paraId="2DFE25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废矿物油</w:t>
                  </w:r>
                </w:p>
              </w:tc>
              <w:tc>
                <w:tcPr>
                  <w:tcW w:w="433" w:type="pct"/>
                  <w:vAlign w:val="center"/>
                </w:tcPr>
                <w:p w14:paraId="6112947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06496DF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62BD12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900-041-49</w:t>
                  </w:r>
                </w:p>
              </w:tc>
              <w:tc>
                <w:tcPr>
                  <w:tcW w:w="385" w:type="pct"/>
                  <w:vAlign w:val="center"/>
                </w:tcPr>
                <w:p w14:paraId="10429091">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eastAsia="zh-CN"/>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w:t>
                  </w:r>
                </w:p>
              </w:tc>
              <w:tc>
                <w:tcPr>
                  <w:tcW w:w="454" w:type="pct"/>
                  <w:vAlign w:val="center"/>
                </w:tcPr>
                <w:p w14:paraId="475CFAD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设备维修、保养</w:t>
                  </w:r>
                </w:p>
              </w:tc>
              <w:tc>
                <w:tcPr>
                  <w:tcW w:w="308" w:type="pct"/>
                  <w:vAlign w:val="center"/>
                </w:tcPr>
                <w:p w14:paraId="5EB0358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液态</w:t>
                  </w:r>
                </w:p>
              </w:tc>
              <w:tc>
                <w:tcPr>
                  <w:tcW w:w="539" w:type="pct"/>
                  <w:vAlign w:val="center"/>
                </w:tcPr>
                <w:p w14:paraId="7EEE0D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矿物油</w:t>
                  </w:r>
                </w:p>
              </w:tc>
              <w:tc>
                <w:tcPr>
                  <w:tcW w:w="491" w:type="pct"/>
                  <w:vAlign w:val="center"/>
                </w:tcPr>
                <w:p w14:paraId="70AA865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矿物油</w:t>
                  </w:r>
                </w:p>
              </w:tc>
              <w:tc>
                <w:tcPr>
                  <w:tcW w:w="278" w:type="pct"/>
                  <w:vAlign w:val="center"/>
                </w:tcPr>
                <w:p w14:paraId="7F1D300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1d</w:t>
                  </w:r>
                </w:p>
              </w:tc>
              <w:tc>
                <w:tcPr>
                  <w:tcW w:w="422" w:type="pct"/>
                  <w:vAlign w:val="center"/>
                </w:tcPr>
                <w:p w14:paraId="515B47C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T/In</w:t>
                  </w:r>
                </w:p>
              </w:tc>
              <w:tc>
                <w:tcPr>
                  <w:tcW w:w="388" w:type="pct"/>
                  <w:vMerge w:val="continue"/>
                  <w:vAlign w:val="center"/>
                </w:tcPr>
                <w:p w14:paraId="2E6399E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44D2B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60" w:type="pct"/>
                  <w:vAlign w:val="center"/>
                </w:tcPr>
                <w:p w14:paraId="65DDE21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废树脂</w:t>
                  </w:r>
                </w:p>
              </w:tc>
              <w:tc>
                <w:tcPr>
                  <w:tcW w:w="433" w:type="pct"/>
                  <w:vAlign w:val="center"/>
                </w:tcPr>
                <w:p w14:paraId="6A6D8D3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5ADE171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703F333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900-041-49</w:t>
                  </w:r>
                </w:p>
              </w:tc>
              <w:tc>
                <w:tcPr>
                  <w:tcW w:w="385" w:type="pct"/>
                  <w:vAlign w:val="center"/>
                </w:tcPr>
                <w:p w14:paraId="77062C8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0.37</w:t>
                  </w:r>
                </w:p>
              </w:tc>
              <w:tc>
                <w:tcPr>
                  <w:tcW w:w="454" w:type="pct"/>
                  <w:vAlign w:val="center"/>
                </w:tcPr>
                <w:p w14:paraId="6D8840C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脱色、离子交换层析</w:t>
                  </w:r>
                </w:p>
              </w:tc>
              <w:tc>
                <w:tcPr>
                  <w:tcW w:w="308" w:type="pct"/>
                  <w:vAlign w:val="center"/>
                </w:tcPr>
                <w:p w14:paraId="0ACD6AB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61BC610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树脂</w:t>
                  </w:r>
                </w:p>
              </w:tc>
              <w:tc>
                <w:tcPr>
                  <w:tcW w:w="491" w:type="pct"/>
                  <w:vAlign w:val="center"/>
                </w:tcPr>
                <w:p w14:paraId="0940C17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树脂</w:t>
                  </w:r>
                </w:p>
              </w:tc>
              <w:tc>
                <w:tcPr>
                  <w:tcW w:w="278" w:type="pct"/>
                  <w:vAlign w:val="center"/>
                </w:tcPr>
                <w:p w14:paraId="3AE349D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3a</w:t>
                  </w:r>
                </w:p>
              </w:tc>
              <w:tc>
                <w:tcPr>
                  <w:tcW w:w="422" w:type="pct"/>
                  <w:vAlign w:val="center"/>
                </w:tcPr>
                <w:p w14:paraId="2A326BA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T/In</w:t>
                  </w:r>
                </w:p>
              </w:tc>
              <w:tc>
                <w:tcPr>
                  <w:tcW w:w="388" w:type="pct"/>
                  <w:vMerge w:val="continue"/>
                  <w:vAlign w:val="center"/>
                </w:tcPr>
                <w:p w14:paraId="1121B1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5211D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60" w:type="pct"/>
                  <w:vAlign w:val="center"/>
                </w:tcPr>
                <w:p w14:paraId="391873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废陶瓷膜</w:t>
                  </w:r>
                </w:p>
              </w:tc>
              <w:tc>
                <w:tcPr>
                  <w:tcW w:w="433" w:type="pct"/>
                  <w:vAlign w:val="center"/>
                </w:tcPr>
                <w:p w14:paraId="6296FB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290786A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500765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900-041-49</w:t>
                  </w:r>
                </w:p>
              </w:tc>
              <w:tc>
                <w:tcPr>
                  <w:tcW w:w="385" w:type="pct"/>
                  <w:vAlign w:val="center"/>
                </w:tcPr>
                <w:p w14:paraId="1269D69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0.1</w:t>
                  </w:r>
                </w:p>
              </w:tc>
              <w:tc>
                <w:tcPr>
                  <w:tcW w:w="454" w:type="pct"/>
                  <w:vAlign w:val="center"/>
                </w:tcPr>
                <w:p w14:paraId="5D8053D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陶瓷膜过滤</w:t>
                  </w:r>
                </w:p>
              </w:tc>
              <w:tc>
                <w:tcPr>
                  <w:tcW w:w="308" w:type="pct"/>
                  <w:vAlign w:val="center"/>
                </w:tcPr>
                <w:p w14:paraId="546AAA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38A3B6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陶瓷膜</w:t>
                  </w:r>
                </w:p>
              </w:tc>
              <w:tc>
                <w:tcPr>
                  <w:tcW w:w="491" w:type="pct"/>
                  <w:vAlign w:val="center"/>
                </w:tcPr>
                <w:p w14:paraId="3B1340F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沾染的物料</w:t>
                  </w:r>
                </w:p>
              </w:tc>
              <w:tc>
                <w:tcPr>
                  <w:tcW w:w="278" w:type="pct"/>
                  <w:vAlign w:val="center"/>
                </w:tcPr>
                <w:p w14:paraId="467A8F5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3a</w:t>
                  </w:r>
                </w:p>
              </w:tc>
              <w:tc>
                <w:tcPr>
                  <w:tcW w:w="422" w:type="pct"/>
                  <w:vAlign w:val="center"/>
                </w:tcPr>
                <w:p w14:paraId="72FBB60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T/In</w:t>
                  </w:r>
                </w:p>
              </w:tc>
              <w:tc>
                <w:tcPr>
                  <w:tcW w:w="388" w:type="pct"/>
                  <w:vMerge w:val="continue"/>
                  <w:vAlign w:val="center"/>
                </w:tcPr>
                <w:p w14:paraId="4413021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5A994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0586A73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废超滤、纳滤膜</w:t>
                  </w:r>
                </w:p>
              </w:tc>
              <w:tc>
                <w:tcPr>
                  <w:tcW w:w="433" w:type="pct"/>
                  <w:vAlign w:val="center"/>
                </w:tcPr>
                <w:p w14:paraId="328D15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18E9753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5D74F1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900-041-49</w:t>
                  </w:r>
                </w:p>
              </w:tc>
              <w:tc>
                <w:tcPr>
                  <w:tcW w:w="385" w:type="pct"/>
                  <w:vAlign w:val="center"/>
                </w:tcPr>
                <w:p w14:paraId="78C150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0.2</w:t>
                  </w:r>
                </w:p>
              </w:tc>
              <w:tc>
                <w:tcPr>
                  <w:tcW w:w="454" w:type="pct"/>
                  <w:vAlign w:val="center"/>
                </w:tcPr>
                <w:p w14:paraId="3F20CC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超滤、纳滤膜过滤</w:t>
                  </w:r>
                </w:p>
              </w:tc>
              <w:tc>
                <w:tcPr>
                  <w:tcW w:w="308" w:type="pct"/>
                  <w:vAlign w:val="center"/>
                </w:tcPr>
                <w:p w14:paraId="5F82A9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211FFCE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超滤膜、纳滤膜</w:t>
                  </w:r>
                </w:p>
              </w:tc>
              <w:tc>
                <w:tcPr>
                  <w:tcW w:w="491" w:type="pct"/>
                  <w:vAlign w:val="center"/>
                </w:tcPr>
                <w:p w14:paraId="4DA558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沾染的物料</w:t>
                  </w:r>
                </w:p>
              </w:tc>
              <w:tc>
                <w:tcPr>
                  <w:tcW w:w="278" w:type="pct"/>
                  <w:vAlign w:val="center"/>
                </w:tcPr>
                <w:p w14:paraId="6EAB97F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1.5a</w:t>
                  </w:r>
                </w:p>
              </w:tc>
              <w:tc>
                <w:tcPr>
                  <w:tcW w:w="422" w:type="pct"/>
                  <w:vAlign w:val="center"/>
                </w:tcPr>
                <w:p w14:paraId="278343F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T/In</w:t>
                  </w:r>
                </w:p>
              </w:tc>
              <w:tc>
                <w:tcPr>
                  <w:tcW w:w="388" w:type="pct"/>
                  <w:vMerge w:val="continue"/>
                  <w:vAlign w:val="center"/>
                </w:tcPr>
                <w:p w14:paraId="051040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45A12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347837C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highlight w:val="none"/>
                    </w:rPr>
                    <w:t>废活性炭</w:t>
                  </w:r>
                </w:p>
              </w:tc>
              <w:tc>
                <w:tcPr>
                  <w:tcW w:w="433" w:type="pct"/>
                  <w:vAlign w:val="center"/>
                </w:tcPr>
                <w:p w14:paraId="2297E37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41EC3EA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04F60D4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900-039-49</w:t>
                  </w:r>
                </w:p>
              </w:tc>
              <w:tc>
                <w:tcPr>
                  <w:tcW w:w="385" w:type="pct"/>
                  <w:vAlign w:val="center"/>
                </w:tcPr>
                <w:p w14:paraId="5503A2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3.9</w:t>
                  </w:r>
                </w:p>
              </w:tc>
              <w:tc>
                <w:tcPr>
                  <w:tcW w:w="454" w:type="pct"/>
                  <w:vAlign w:val="center"/>
                </w:tcPr>
                <w:p w14:paraId="32BFEFA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废气处理</w:t>
                  </w:r>
                </w:p>
              </w:tc>
              <w:tc>
                <w:tcPr>
                  <w:tcW w:w="308" w:type="pct"/>
                  <w:vAlign w:val="center"/>
                </w:tcPr>
                <w:p w14:paraId="1292611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31117B0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活性炭</w:t>
                  </w:r>
                </w:p>
              </w:tc>
              <w:tc>
                <w:tcPr>
                  <w:tcW w:w="491" w:type="pct"/>
                  <w:vAlign w:val="center"/>
                </w:tcPr>
                <w:p w14:paraId="567575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活性炭</w:t>
                  </w:r>
                </w:p>
              </w:tc>
              <w:tc>
                <w:tcPr>
                  <w:tcW w:w="278" w:type="pct"/>
                  <w:vAlign w:val="center"/>
                </w:tcPr>
                <w:p w14:paraId="3451773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1a</w:t>
                  </w:r>
                </w:p>
              </w:tc>
              <w:tc>
                <w:tcPr>
                  <w:tcW w:w="422" w:type="pct"/>
                  <w:vAlign w:val="center"/>
                </w:tcPr>
                <w:p w14:paraId="0FA46C3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T/In</w:t>
                  </w:r>
                </w:p>
              </w:tc>
              <w:tc>
                <w:tcPr>
                  <w:tcW w:w="388" w:type="pct"/>
                  <w:vMerge w:val="continue"/>
                  <w:vAlign w:val="center"/>
                </w:tcPr>
                <w:p w14:paraId="7B8E26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08C6A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335C2FC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蒸发残渣</w:t>
                  </w:r>
                </w:p>
              </w:tc>
              <w:tc>
                <w:tcPr>
                  <w:tcW w:w="433" w:type="pct"/>
                  <w:vAlign w:val="center"/>
                </w:tcPr>
                <w:p w14:paraId="128AA0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7EE2F94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0F6A03C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900-042-49</w:t>
                  </w:r>
                </w:p>
              </w:tc>
              <w:tc>
                <w:tcPr>
                  <w:tcW w:w="385" w:type="pct"/>
                  <w:vAlign w:val="center"/>
                </w:tcPr>
                <w:p w14:paraId="283527D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4.9</w:t>
                  </w:r>
                </w:p>
              </w:tc>
              <w:tc>
                <w:tcPr>
                  <w:tcW w:w="454" w:type="pct"/>
                  <w:vAlign w:val="center"/>
                </w:tcPr>
                <w:p w14:paraId="4C5101E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废水处理</w:t>
                  </w:r>
                </w:p>
              </w:tc>
              <w:tc>
                <w:tcPr>
                  <w:tcW w:w="308" w:type="pct"/>
                  <w:vAlign w:val="center"/>
                </w:tcPr>
                <w:p w14:paraId="379C8E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6EFAB08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污盐</w:t>
                  </w:r>
                </w:p>
              </w:tc>
              <w:tc>
                <w:tcPr>
                  <w:tcW w:w="491" w:type="pct"/>
                  <w:vAlign w:val="center"/>
                </w:tcPr>
                <w:p w14:paraId="6D61987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污盐</w:t>
                  </w:r>
                </w:p>
              </w:tc>
              <w:tc>
                <w:tcPr>
                  <w:tcW w:w="278" w:type="pct"/>
                  <w:vAlign w:val="center"/>
                </w:tcPr>
                <w:p w14:paraId="2A0C4C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1d</w:t>
                  </w:r>
                </w:p>
              </w:tc>
              <w:tc>
                <w:tcPr>
                  <w:tcW w:w="422" w:type="pct"/>
                  <w:vAlign w:val="center"/>
                </w:tcPr>
                <w:p w14:paraId="4B8EF16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T/In</w:t>
                  </w:r>
                </w:p>
              </w:tc>
              <w:tc>
                <w:tcPr>
                  <w:tcW w:w="388" w:type="pct"/>
                  <w:vMerge w:val="continue"/>
                  <w:vAlign w:val="center"/>
                </w:tcPr>
                <w:p w14:paraId="033DBCC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10653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6A09949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污泥</w:t>
                  </w:r>
                </w:p>
              </w:tc>
              <w:tc>
                <w:tcPr>
                  <w:tcW w:w="433" w:type="pct"/>
                  <w:vAlign w:val="center"/>
                </w:tcPr>
                <w:p w14:paraId="6706C7A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69F3E0F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6D68378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900-042-49</w:t>
                  </w:r>
                </w:p>
              </w:tc>
              <w:tc>
                <w:tcPr>
                  <w:tcW w:w="385" w:type="pct"/>
                  <w:vAlign w:val="center"/>
                </w:tcPr>
                <w:p w14:paraId="3C2131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3</w:t>
                  </w:r>
                </w:p>
              </w:tc>
              <w:tc>
                <w:tcPr>
                  <w:tcW w:w="454" w:type="pct"/>
                  <w:vAlign w:val="center"/>
                </w:tcPr>
                <w:p w14:paraId="2A60D96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废水处理</w:t>
                  </w:r>
                </w:p>
              </w:tc>
              <w:tc>
                <w:tcPr>
                  <w:tcW w:w="308" w:type="pct"/>
                  <w:vAlign w:val="center"/>
                </w:tcPr>
                <w:p w14:paraId="43846D4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3B7DBE6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污泥</w:t>
                  </w:r>
                </w:p>
              </w:tc>
              <w:tc>
                <w:tcPr>
                  <w:tcW w:w="491" w:type="pct"/>
                  <w:vAlign w:val="center"/>
                </w:tcPr>
                <w:p w14:paraId="4F7797B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污泥</w:t>
                  </w:r>
                </w:p>
              </w:tc>
              <w:tc>
                <w:tcPr>
                  <w:tcW w:w="278" w:type="pct"/>
                  <w:vAlign w:val="center"/>
                </w:tcPr>
                <w:p w14:paraId="2DCDC4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1a</w:t>
                  </w:r>
                </w:p>
              </w:tc>
              <w:tc>
                <w:tcPr>
                  <w:tcW w:w="422" w:type="pct"/>
                  <w:vAlign w:val="center"/>
                </w:tcPr>
                <w:p w14:paraId="3CF5567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w:t>
                  </w:r>
                </w:p>
              </w:tc>
              <w:tc>
                <w:tcPr>
                  <w:tcW w:w="388" w:type="pct"/>
                  <w:vMerge w:val="continue"/>
                  <w:vAlign w:val="center"/>
                </w:tcPr>
                <w:p w14:paraId="40BB437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25F7A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0" w:type="pct"/>
                  <w:vAlign w:val="center"/>
                </w:tcPr>
                <w:p w14:paraId="72DC6DB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质检区废物</w:t>
                  </w:r>
                </w:p>
              </w:tc>
              <w:tc>
                <w:tcPr>
                  <w:tcW w:w="433" w:type="pct"/>
                  <w:vAlign w:val="center"/>
                </w:tcPr>
                <w:p w14:paraId="4C655F9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危险废物</w:t>
                  </w:r>
                </w:p>
              </w:tc>
              <w:tc>
                <w:tcPr>
                  <w:tcW w:w="637" w:type="pct"/>
                  <w:vAlign w:val="center"/>
                </w:tcPr>
                <w:p w14:paraId="438412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HW49</w:t>
                  </w:r>
                </w:p>
                <w:p w14:paraId="7DDA50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900-047-49</w:t>
                  </w:r>
                </w:p>
              </w:tc>
              <w:tc>
                <w:tcPr>
                  <w:tcW w:w="385" w:type="pct"/>
                  <w:vAlign w:val="center"/>
                </w:tcPr>
                <w:p w14:paraId="2A24E8F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0.5</w:t>
                  </w:r>
                </w:p>
              </w:tc>
              <w:tc>
                <w:tcPr>
                  <w:tcW w:w="454" w:type="pct"/>
                  <w:vAlign w:val="center"/>
                </w:tcPr>
                <w:p w14:paraId="759250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质检</w:t>
                  </w:r>
                </w:p>
              </w:tc>
              <w:tc>
                <w:tcPr>
                  <w:tcW w:w="308" w:type="pct"/>
                  <w:vAlign w:val="center"/>
                </w:tcPr>
                <w:p w14:paraId="7E2E98E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固态/液态</w:t>
                  </w:r>
                </w:p>
              </w:tc>
              <w:tc>
                <w:tcPr>
                  <w:tcW w:w="539" w:type="pct"/>
                  <w:vAlign w:val="center"/>
                </w:tcPr>
                <w:p w14:paraId="36D9D1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废样品、废溶剂、检测废液、试剂瓶、实验用品等</w:t>
                  </w:r>
                </w:p>
              </w:tc>
              <w:tc>
                <w:tcPr>
                  <w:tcW w:w="491" w:type="pct"/>
                  <w:vAlign w:val="center"/>
                </w:tcPr>
                <w:p w14:paraId="7F4E69B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沾染的物料</w:t>
                  </w:r>
                </w:p>
              </w:tc>
              <w:tc>
                <w:tcPr>
                  <w:tcW w:w="278" w:type="pct"/>
                  <w:vAlign w:val="center"/>
                </w:tcPr>
                <w:p w14:paraId="798950E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1d</w:t>
                  </w:r>
                </w:p>
              </w:tc>
              <w:tc>
                <w:tcPr>
                  <w:tcW w:w="422" w:type="pct"/>
                  <w:vAlign w:val="center"/>
                </w:tcPr>
                <w:p w14:paraId="5E0BABA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T/C/I/R</w:t>
                  </w:r>
                </w:p>
              </w:tc>
              <w:tc>
                <w:tcPr>
                  <w:tcW w:w="388" w:type="pct"/>
                  <w:vMerge w:val="continue"/>
                  <w:vAlign w:val="center"/>
                </w:tcPr>
                <w:p w14:paraId="470F1ED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542D7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660" w:type="pct"/>
                  <w:vAlign w:val="center"/>
                </w:tcPr>
                <w:p w14:paraId="3A7C22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未沾染危险废物的废包装材料</w:t>
                  </w:r>
                </w:p>
              </w:tc>
              <w:tc>
                <w:tcPr>
                  <w:tcW w:w="433" w:type="pct"/>
                  <w:vAlign w:val="center"/>
                </w:tcPr>
                <w:p w14:paraId="2D59CD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5D10AFB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SW59</w:t>
                  </w:r>
                </w:p>
                <w:p w14:paraId="72B70F8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900-099-S59</w:t>
                  </w:r>
                </w:p>
              </w:tc>
              <w:tc>
                <w:tcPr>
                  <w:tcW w:w="385" w:type="pct"/>
                  <w:vAlign w:val="center"/>
                </w:tcPr>
                <w:p w14:paraId="068382E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0.53</w:t>
                  </w:r>
                </w:p>
              </w:tc>
              <w:tc>
                <w:tcPr>
                  <w:tcW w:w="454" w:type="pct"/>
                  <w:vAlign w:val="center"/>
                </w:tcPr>
                <w:p w14:paraId="500CF3E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原料包装</w:t>
                  </w:r>
                </w:p>
              </w:tc>
              <w:tc>
                <w:tcPr>
                  <w:tcW w:w="308" w:type="pct"/>
                  <w:vAlign w:val="center"/>
                </w:tcPr>
                <w:p w14:paraId="061A05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0EE67A2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包装桶、内衬袋</w:t>
                  </w:r>
                </w:p>
              </w:tc>
              <w:tc>
                <w:tcPr>
                  <w:tcW w:w="491" w:type="pct"/>
                  <w:vAlign w:val="center"/>
                </w:tcPr>
                <w:p w14:paraId="5AD7BD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酵母粉、L-组氨酸、蛋白胨等</w:t>
                  </w:r>
                </w:p>
              </w:tc>
              <w:tc>
                <w:tcPr>
                  <w:tcW w:w="278" w:type="pct"/>
                  <w:vAlign w:val="center"/>
                </w:tcPr>
                <w:p w14:paraId="1B327E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1d</w:t>
                  </w:r>
                </w:p>
              </w:tc>
              <w:tc>
                <w:tcPr>
                  <w:tcW w:w="422" w:type="pct"/>
                  <w:vAlign w:val="center"/>
                </w:tcPr>
                <w:p w14:paraId="6A86DE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8" w:type="pct"/>
                  <w:vMerge w:val="restart"/>
                  <w:vAlign w:val="center"/>
                </w:tcPr>
                <w:p w14:paraId="4D031A5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委外处置</w:t>
                  </w:r>
                </w:p>
              </w:tc>
            </w:tr>
            <w:tr w14:paraId="532D0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66D747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浓缩菌液</w:t>
                  </w:r>
                </w:p>
              </w:tc>
              <w:tc>
                <w:tcPr>
                  <w:tcW w:w="433" w:type="pct"/>
                  <w:vAlign w:val="center"/>
                </w:tcPr>
                <w:p w14:paraId="137F2EF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6EDD695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SW59</w:t>
                  </w:r>
                </w:p>
                <w:p w14:paraId="2BBF173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900-099-S59</w:t>
                  </w:r>
                </w:p>
              </w:tc>
              <w:tc>
                <w:tcPr>
                  <w:tcW w:w="385" w:type="pct"/>
                  <w:vAlign w:val="center"/>
                </w:tcPr>
                <w:p w14:paraId="6C2DFDE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10.872</w:t>
                  </w:r>
                </w:p>
              </w:tc>
              <w:tc>
                <w:tcPr>
                  <w:tcW w:w="454" w:type="pct"/>
                  <w:vAlign w:val="center"/>
                </w:tcPr>
                <w:p w14:paraId="6830F96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陶瓷膜过滤</w:t>
                  </w:r>
                </w:p>
              </w:tc>
              <w:tc>
                <w:tcPr>
                  <w:tcW w:w="308" w:type="pct"/>
                  <w:vAlign w:val="center"/>
                </w:tcPr>
                <w:p w14:paraId="67DB6D9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液态</w:t>
                  </w:r>
                </w:p>
              </w:tc>
              <w:tc>
                <w:tcPr>
                  <w:tcW w:w="539" w:type="pct"/>
                  <w:vAlign w:val="center"/>
                </w:tcPr>
                <w:p w14:paraId="524415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细胞残渣等</w:t>
                  </w:r>
                </w:p>
              </w:tc>
              <w:tc>
                <w:tcPr>
                  <w:tcW w:w="491" w:type="pct"/>
                  <w:vAlign w:val="center"/>
                </w:tcPr>
                <w:p w14:paraId="1B6FAF4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细胞残渣</w:t>
                  </w:r>
                </w:p>
              </w:tc>
              <w:tc>
                <w:tcPr>
                  <w:tcW w:w="278" w:type="pct"/>
                  <w:vAlign w:val="center"/>
                </w:tcPr>
                <w:p w14:paraId="0CBF4D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2d</w:t>
                  </w:r>
                </w:p>
              </w:tc>
              <w:tc>
                <w:tcPr>
                  <w:tcW w:w="422" w:type="pct"/>
                  <w:vAlign w:val="center"/>
                </w:tcPr>
                <w:p w14:paraId="1EB480D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8" w:type="pct"/>
                  <w:vMerge w:val="continue"/>
                  <w:vAlign w:val="center"/>
                </w:tcPr>
                <w:p w14:paraId="5F953C2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37C16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328D39E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废活性炭</w:t>
                  </w:r>
                </w:p>
              </w:tc>
              <w:tc>
                <w:tcPr>
                  <w:tcW w:w="433" w:type="pct"/>
                  <w:vAlign w:val="center"/>
                </w:tcPr>
                <w:p w14:paraId="4ADA4D9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38E89C8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SW59</w:t>
                  </w:r>
                </w:p>
                <w:p w14:paraId="241E9A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900-008-S59</w:t>
                  </w:r>
                </w:p>
              </w:tc>
              <w:tc>
                <w:tcPr>
                  <w:tcW w:w="385" w:type="pct"/>
                  <w:vAlign w:val="center"/>
                </w:tcPr>
                <w:p w14:paraId="1B8C22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0.8</w:t>
                  </w:r>
                </w:p>
              </w:tc>
              <w:tc>
                <w:tcPr>
                  <w:tcW w:w="454" w:type="pct"/>
                  <w:vAlign w:val="center"/>
                </w:tcPr>
                <w:p w14:paraId="4BA595D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纯水制备</w:t>
                  </w:r>
                </w:p>
              </w:tc>
              <w:tc>
                <w:tcPr>
                  <w:tcW w:w="308" w:type="pct"/>
                  <w:vAlign w:val="center"/>
                </w:tcPr>
                <w:p w14:paraId="47902B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00D9D05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活性炭</w:t>
                  </w:r>
                </w:p>
              </w:tc>
              <w:tc>
                <w:tcPr>
                  <w:tcW w:w="491" w:type="pct"/>
                  <w:vAlign w:val="center"/>
                </w:tcPr>
                <w:p w14:paraId="1393E1C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278" w:type="pct"/>
                  <w:vAlign w:val="center"/>
                </w:tcPr>
                <w:p w14:paraId="263A7EA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1a</w:t>
                  </w:r>
                </w:p>
              </w:tc>
              <w:tc>
                <w:tcPr>
                  <w:tcW w:w="422" w:type="pct"/>
                  <w:vAlign w:val="center"/>
                </w:tcPr>
                <w:p w14:paraId="479D064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8" w:type="pct"/>
                  <w:vMerge w:val="continue"/>
                  <w:vAlign w:val="center"/>
                </w:tcPr>
                <w:p w14:paraId="411436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015A9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22E3D65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滤膜</w:t>
                  </w:r>
                </w:p>
              </w:tc>
              <w:tc>
                <w:tcPr>
                  <w:tcW w:w="433" w:type="pct"/>
                  <w:vAlign w:val="center"/>
                </w:tcPr>
                <w:p w14:paraId="73D0139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274AD11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SW59</w:t>
                  </w:r>
                </w:p>
                <w:p w14:paraId="224402A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900-009-S59</w:t>
                  </w:r>
                </w:p>
              </w:tc>
              <w:tc>
                <w:tcPr>
                  <w:tcW w:w="385" w:type="pct"/>
                  <w:vAlign w:val="center"/>
                </w:tcPr>
                <w:p w14:paraId="26BD8C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0.6</w:t>
                  </w:r>
                </w:p>
              </w:tc>
              <w:tc>
                <w:tcPr>
                  <w:tcW w:w="454" w:type="pct"/>
                  <w:vAlign w:val="center"/>
                </w:tcPr>
                <w:p w14:paraId="621E98B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纯水制备</w:t>
                  </w:r>
                </w:p>
              </w:tc>
              <w:tc>
                <w:tcPr>
                  <w:tcW w:w="308" w:type="pct"/>
                  <w:vAlign w:val="center"/>
                </w:tcPr>
                <w:p w14:paraId="347FE9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0A55323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滤膜</w:t>
                  </w:r>
                </w:p>
              </w:tc>
              <w:tc>
                <w:tcPr>
                  <w:tcW w:w="491" w:type="pct"/>
                  <w:vAlign w:val="center"/>
                </w:tcPr>
                <w:p w14:paraId="704176A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278" w:type="pct"/>
                  <w:vAlign w:val="center"/>
                </w:tcPr>
                <w:p w14:paraId="7469CC2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1a</w:t>
                  </w:r>
                </w:p>
              </w:tc>
              <w:tc>
                <w:tcPr>
                  <w:tcW w:w="422" w:type="pct"/>
                  <w:vAlign w:val="center"/>
                </w:tcPr>
                <w:p w14:paraId="18B5248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8" w:type="pct"/>
                  <w:vMerge w:val="continue"/>
                  <w:vAlign w:val="center"/>
                </w:tcPr>
                <w:p w14:paraId="14FC0BA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4D6A8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1377672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废滤芯</w:t>
                  </w:r>
                </w:p>
              </w:tc>
              <w:tc>
                <w:tcPr>
                  <w:tcW w:w="433" w:type="pct"/>
                  <w:vAlign w:val="center"/>
                </w:tcPr>
                <w:p w14:paraId="0748551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12D7E4D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SW59</w:t>
                  </w:r>
                </w:p>
                <w:p w14:paraId="06E7236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900-009-S59</w:t>
                  </w:r>
                </w:p>
              </w:tc>
              <w:tc>
                <w:tcPr>
                  <w:tcW w:w="385" w:type="pct"/>
                  <w:vAlign w:val="center"/>
                </w:tcPr>
                <w:p w14:paraId="5A98BFF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0.5</w:t>
                  </w:r>
                </w:p>
              </w:tc>
              <w:tc>
                <w:tcPr>
                  <w:tcW w:w="454" w:type="pct"/>
                  <w:vAlign w:val="center"/>
                </w:tcPr>
                <w:p w14:paraId="66212DC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纯水制备</w:t>
                  </w:r>
                </w:p>
              </w:tc>
              <w:tc>
                <w:tcPr>
                  <w:tcW w:w="308" w:type="pct"/>
                  <w:vAlign w:val="center"/>
                </w:tcPr>
                <w:p w14:paraId="0EF504D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27F1448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微米滤芯</w:t>
                  </w:r>
                </w:p>
              </w:tc>
              <w:tc>
                <w:tcPr>
                  <w:tcW w:w="491" w:type="pct"/>
                  <w:vAlign w:val="center"/>
                </w:tcPr>
                <w:p w14:paraId="223DB7D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278" w:type="pct"/>
                  <w:vAlign w:val="center"/>
                </w:tcPr>
                <w:p w14:paraId="2F9EF5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1a</w:t>
                  </w:r>
                </w:p>
              </w:tc>
              <w:tc>
                <w:tcPr>
                  <w:tcW w:w="422" w:type="pct"/>
                  <w:vAlign w:val="center"/>
                </w:tcPr>
                <w:p w14:paraId="46A88E7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8" w:type="pct"/>
                  <w:vMerge w:val="continue"/>
                  <w:vAlign w:val="center"/>
                </w:tcPr>
                <w:p w14:paraId="7296556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1BEE2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4836648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废离子交换树脂</w:t>
                  </w:r>
                </w:p>
              </w:tc>
              <w:tc>
                <w:tcPr>
                  <w:tcW w:w="433" w:type="pct"/>
                  <w:vAlign w:val="center"/>
                </w:tcPr>
                <w:p w14:paraId="0ECB4D7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1632218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SW59</w:t>
                  </w:r>
                </w:p>
                <w:p w14:paraId="18E334B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900-008-S59</w:t>
                  </w:r>
                </w:p>
              </w:tc>
              <w:tc>
                <w:tcPr>
                  <w:tcW w:w="385" w:type="pct"/>
                  <w:vAlign w:val="center"/>
                </w:tcPr>
                <w:p w14:paraId="5BC74A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0.8</w:t>
                  </w:r>
                </w:p>
              </w:tc>
              <w:tc>
                <w:tcPr>
                  <w:tcW w:w="454" w:type="pct"/>
                  <w:vAlign w:val="center"/>
                </w:tcPr>
                <w:p w14:paraId="4740339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纯水制备</w:t>
                  </w:r>
                </w:p>
              </w:tc>
              <w:tc>
                <w:tcPr>
                  <w:tcW w:w="308" w:type="pct"/>
                  <w:vAlign w:val="center"/>
                </w:tcPr>
                <w:p w14:paraId="687CFE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59B7752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离子交换树脂</w:t>
                  </w:r>
                </w:p>
              </w:tc>
              <w:tc>
                <w:tcPr>
                  <w:tcW w:w="491" w:type="pct"/>
                  <w:vAlign w:val="center"/>
                </w:tcPr>
                <w:p w14:paraId="50FA908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278" w:type="pct"/>
                  <w:vAlign w:val="center"/>
                </w:tcPr>
                <w:p w14:paraId="7946E80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1a</w:t>
                  </w:r>
                </w:p>
              </w:tc>
              <w:tc>
                <w:tcPr>
                  <w:tcW w:w="422" w:type="pct"/>
                  <w:vAlign w:val="center"/>
                </w:tcPr>
                <w:p w14:paraId="72ED2CA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8" w:type="pct"/>
                  <w:vMerge w:val="continue"/>
                  <w:vAlign w:val="center"/>
                </w:tcPr>
                <w:p w14:paraId="1039C33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2AF6E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58BA29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废胶囊</w:t>
                  </w:r>
                </w:p>
              </w:tc>
              <w:tc>
                <w:tcPr>
                  <w:tcW w:w="433" w:type="pct"/>
                  <w:vAlign w:val="center"/>
                </w:tcPr>
                <w:p w14:paraId="6CB7527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5147BC6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SW59</w:t>
                  </w:r>
                </w:p>
                <w:p w14:paraId="1030805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900-099-S59</w:t>
                  </w:r>
                </w:p>
              </w:tc>
              <w:tc>
                <w:tcPr>
                  <w:tcW w:w="385" w:type="pct"/>
                  <w:vAlign w:val="center"/>
                </w:tcPr>
                <w:p w14:paraId="0AE927A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0.039</w:t>
                  </w:r>
                </w:p>
              </w:tc>
              <w:tc>
                <w:tcPr>
                  <w:tcW w:w="454" w:type="pct"/>
                  <w:vAlign w:val="center"/>
                </w:tcPr>
                <w:p w14:paraId="0E88F2F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胶囊装载</w:t>
                  </w:r>
                </w:p>
              </w:tc>
              <w:tc>
                <w:tcPr>
                  <w:tcW w:w="308" w:type="pct"/>
                  <w:vAlign w:val="center"/>
                </w:tcPr>
                <w:p w14:paraId="557D2CD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50C8F88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植物胶囊壳</w:t>
                  </w:r>
                </w:p>
              </w:tc>
              <w:tc>
                <w:tcPr>
                  <w:tcW w:w="491" w:type="pct"/>
                  <w:vAlign w:val="center"/>
                </w:tcPr>
                <w:p w14:paraId="595BE3A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胶囊壳</w:t>
                  </w:r>
                </w:p>
              </w:tc>
              <w:tc>
                <w:tcPr>
                  <w:tcW w:w="278" w:type="pct"/>
                  <w:vAlign w:val="center"/>
                </w:tcPr>
                <w:p w14:paraId="400EFD6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1d</w:t>
                  </w:r>
                </w:p>
              </w:tc>
              <w:tc>
                <w:tcPr>
                  <w:tcW w:w="422" w:type="pct"/>
                  <w:vAlign w:val="center"/>
                </w:tcPr>
                <w:p w14:paraId="6361329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8" w:type="pct"/>
                  <w:vMerge w:val="continue"/>
                  <w:vAlign w:val="center"/>
                </w:tcPr>
                <w:p w14:paraId="6E2B511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22C7B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02A042FF">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eastAsia="zh-CN"/>
                    </w:rPr>
                  </w:pPr>
                  <w:r>
                    <w:rPr>
                      <w:rFonts w:hint="eastAsia" w:eastAsia="仿宋_GB2312" w:cs="Times New Roman"/>
                      <w:color w:val="auto"/>
                      <w:kern w:val="0"/>
                      <w:sz w:val="21"/>
                      <w:lang w:eastAsia="zh-CN"/>
                    </w:rPr>
                    <w:t>离心废渣</w:t>
                  </w:r>
                </w:p>
              </w:tc>
              <w:tc>
                <w:tcPr>
                  <w:tcW w:w="433" w:type="pct"/>
                  <w:vAlign w:val="center"/>
                </w:tcPr>
                <w:p w14:paraId="49A0EB8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6B8DA97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SW59</w:t>
                  </w:r>
                </w:p>
                <w:p w14:paraId="6EE712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900-099-S59</w:t>
                  </w:r>
                </w:p>
              </w:tc>
              <w:tc>
                <w:tcPr>
                  <w:tcW w:w="385" w:type="pct"/>
                  <w:vAlign w:val="center"/>
                </w:tcPr>
                <w:p w14:paraId="579898B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0.36</w:t>
                  </w:r>
                </w:p>
              </w:tc>
              <w:tc>
                <w:tcPr>
                  <w:tcW w:w="454" w:type="pct"/>
                  <w:vAlign w:val="center"/>
                </w:tcPr>
                <w:p w14:paraId="76712917">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eastAsia="zh-CN"/>
                    </w:rPr>
                  </w:pPr>
                  <w:r>
                    <w:rPr>
                      <w:rFonts w:hint="eastAsia" w:eastAsia="仿宋_GB2312" w:cs="Times New Roman"/>
                      <w:color w:val="auto"/>
                      <w:kern w:val="0"/>
                      <w:sz w:val="21"/>
                      <w:lang w:eastAsia="zh-CN"/>
                    </w:rPr>
                    <w:t>离心</w:t>
                  </w:r>
                </w:p>
              </w:tc>
              <w:tc>
                <w:tcPr>
                  <w:tcW w:w="308" w:type="pct"/>
                  <w:vAlign w:val="center"/>
                </w:tcPr>
                <w:p w14:paraId="428B8D4A">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eastAsia="zh-CN"/>
                    </w:rPr>
                  </w:pPr>
                  <w:r>
                    <w:rPr>
                      <w:rFonts w:hint="eastAsia" w:eastAsia="仿宋_GB2312" w:cs="Times New Roman"/>
                      <w:color w:val="auto"/>
                      <w:kern w:val="0"/>
                      <w:sz w:val="21"/>
                      <w:lang w:eastAsia="zh-CN"/>
                    </w:rPr>
                    <w:t>液态</w:t>
                  </w:r>
                </w:p>
              </w:tc>
              <w:tc>
                <w:tcPr>
                  <w:tcW w:w="539" w:type="pct"/>
                  <w:vAlign w:val="center"/>
                </w:tcPr>
                <w:p w14:paraId="1652F1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细胞残渣等</w:t>
                  </w:r>
                </w:p>
              </w:tc>
              <w:tc>
                <w:tcPr>
                  <w:tcW w:w="491" w:type="pct"/>
                  <w:vAlign w:val="center"/>
                </w:tcPr>
                <w:p w14:paraId="676B5DA3">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val="en-US" w:eastAsia="zh-CN"/>
                    </w:rPr>
                  </w:pPr>
                  <w:r>
                    <w:rPr>
                      <w:rFonts w:hint="default" w:ascii="Times New Roman" w:hAnsi="Times New Roman" w:eastAsia="仿宋_GB2312" w:cs="Times New Roman"/>
                      <w:color w:val="auto"/>
                      <w:kern w:val="0"/>
                      <w:sz w:val="21"/>
                    </w:rPr>
                    <w:t>细胞残渣</w:t>
                  </w:r>
                </w:p>
              </w:tc>
              <w:tc>
                <w:tcPr>
                  <w:tcW w:w="278" w:type="pct"/>
                  <w:vAlign w:val="center"/>
                </w:tcPr>
                <w:p w14:paraId="58B3203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1a</w:t>
                  </w:r>
                </w:p>
              </w:tc>
              <w:tc>
                <w:tcPr>
                  <w:tcW w:w="422" w:type="pct"/>
                  <w:vAlign w:val="center"/>
                </w:tcPr>
                <w:p w14:paraId="45F94C0B">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kern w:val="0"/>
                      <w:sz w:val="21"/>
                      <w:lang w:val="en-US" w:eastAsia="zh-CN"/>
                    </w:rPr>
                  </w:pPr>
                  <w:r>
                    <w:rPr>
                      <w:rFonts w:hint="eastAsia" w:eastAsia="仿宋_GB2312" w:cs="Times New Roman"/>
                      <w:color w:val="auto"/>
                      <w:kern w:val="0"/>
                      <w:sz w:val="21"/>
                      <w:lang w:val="en-US" w:eastAsia="zh-CN"/>
                    </w:rPr>
                    <w:t>/</w:t>
                  </w:r>
                </w:p>
              </w:tc>
              <w:tc>
                <w:tcPr>
                  <w:tcW w:w="388" w:type="pct"/>
                  <w:vMerge w:val="continue"/>
                  <w:vAlign w:val="center"/>
                </w:tcPr>
                <w:p w14:paraId="09B16C2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p>
              </w:tc>
            </w:tr>
            <w:tr w14:paraId="2122B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0" w:type="pct"/>
                  <w:vAlign w:val="center"/>
                </w:tcPr>
                <w:p w14:paraId="5CD2DDA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生活垃圾</w:t>
                  </w:r>
                </w:p>
              </w:tc>
              <w:tc>
                <w:tcPr>
                  <w:tcW w:w="433" w:type="pct"/>
                  <w:vAlign w:val="center"/>
                </w:tcPr>
                <w:p w14:paraId="60ECC1C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一般固废</w:t>
                  </w:r>
                </w:p>
              </w:tc>
              <w:tc>
                <w:tcPr>
                  <w:tcW w:w="637" w:type="pct"/>
                  <w:vAlign w:val="center"/>
                </w:tcPr>
                <w:p w14:paraId="64CD88C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5" w:type="pct"/>
                  <w:vAlign w:val="center"/>
                </w:tcPr>
                <w:p w14:paraId="532F3C9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4.8</w:t>
                  </w:r>
                </w:p>
              </w:tc>
              <w:tc>
                <w:tcPr>
                  <w:tcW w:w="454" w:type="pct"/>
                  <w:vAlign w:val="center"/>
                </w:tcPr>
                <w:p w14:paraId="02BD08E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员工生活</w:t>
                  </w:r>
                </w:p>
              </w:tc>
              <w:tc>
                <w:tcPr>
                  <w:tcW w:w="308" w:type="pct"/>
                  <w:vAlign w:val="center"/>
                </w:tcPr>
                <w:p w14:paraId="331C77F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固态</w:t>
                  </w:r>
                </w:p>
              </w:tc>
              <w:tc>
                <w:tcPr>
                  <w:tcW w:w="539" w:type="pct"/>
                  <w:vAlign w:val="center"/>
                </w:tcPr>
                <w:p w14:paraId="6CC6A4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生活垃圾</w:t>
                  </w:r>
                </w:p>
              </w:tc>
              <w:tc>
                <w:tcPr>
                  <w:tcW w:w="491" w:type="pct"/>
                  <w:vAlign w:val="center"/>
                </w:tcPr>
                <w:p w14:paraId="2EC8F69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278" w:type="pct"/>
                  <w:vAlign w:val="center"/>
                </w:tcPr>
                <w:p w14:paraId="369CA8E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1d</w:t>
                  </w:r>
                </w:p>
              </w:tc>
              <w:tc>
                <w:tcPr>
                  <w:tcW w:w="422" w:type="pct"/>
                  <w:vAlign w:val="center"/>
                </w:tcPr>
                <w:p w14:paraId="63C775D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388" w:type="pct"/>
                  <w:vAlign w:val="center"/>
                </w:tcPr>
                <w:p w14:paraId="692DC38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环卫部门清运</w:t>
                  </w:r>
                </w:p>
              </w:tc>
            </w:tr>
          </w:tbl>
          <w:p w14:paraId="2706C060">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default" w:eastAsia="仿宋_GB2312"/>
                <w:b/>
                <w:bCs/>
                <w:color w:val="auto"/>
                <w:sz w:val="24"/>
              </w:rPr>
              <w:t>2、污染防治措施</w:t>
            </w:r>
          </w:p>
          <w:p w14:paraId="5CA9582B">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szCs w:val="24"/>
                <w:lang w:val="en-US"/>
              </w:rPr>
            </w:pPr>
            <w:r>
              <w:rPr>
                <w:rFonts w:hint="eastAsia" w:ascii="Times New Roman" w:hAnsi="Times New Roman" w:eastAsia="仿宋_GB2312" w:cs="仿宋_GB2312"/>
                <w:b/>
                <w:bCs/>
                <w:color w:val="auto"/>
                <w:kern w:val="2"/>
                <w:sz w:val="24"/>
                <w:szCs w:val="24"/>
                <w:lang w:val="en-US" w:eastAsia="zh-CN" w:bidi="ar"/>
              </w:rPr>
              <w:t>（</w:t>
            </w:r>
            <w:r>
              <w:rPr>
                <w:rFonts w:hint="default" w:ascii="Times New Roman" w:hAnsi="Times New Roman" w:eastAsia="仿宋_GB2312" w:cs="Times New Roman"/>
                <w:b/>
                <w:bCs/>
                <w:color w:val="auto"/>
                <w:kern w:val="2"/>
                <w:sz w:val="24"/>
                <w:szCs w:val="24"/>
                <w:lang w:val="en-US" w:eastAsia="zh-CN" w:bidi="ar"/>
              </w:rPr>
              <w:t>1</w:t>
            </w:r>
            <w:r>
              <w:rPr>
                <w:rFonts w:hint="eastAsia" w:ascii="Times New Roman" w:hAnsi="Times New Roman" w:eastAsia="仿宋_GB2312" w:cs="仿宋_GB2312"/>
                <w:b/>
                <w:bCs/>
                <w:color w:val="auto"/>
                <w:kern w:val="2"/>
                <w:sz w:val="24"/>
                <w:szCs w:val="24"/>
                <w:lang w:val="en-US" w:eastAsia="zh-CN" w:bidi="ar"/>
              </w:rPr>
              <w:t>）生活垃圾</w:t>
            </w:r>
          </w:p>
          <w:p w14:paraId="6BDEE91F">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kern w:val="44"/>
                <w:sz w:val="24"/>
                <w:szCs w:val="24"/>
                <w:lang w:val="en-US"/>
              </w:rPr>
            </w:pPr>
            <w:r>
              <w:rPr>
                <w:rFonts w:hint="eastAsia" w:ascii="Times New Roman" w:hAnsi="Times New Roman" w:eastAsia="仿宋_GB2312" w:cs="仿宋_GB2312"/>
                <w:color w:val="auto"/>
                <w:kern w:val="2"/>
                <w:sz w:val="24"/>
                <w:szCs w:val="24"/>
                <w:lang w:val="en-US" w:eastAsia="zh-CN" w:bidi="ar"/>
              </w:rPr>
              <w:t>生活垃圾由环卫部门</w:t>
            </w:r>
            <w:r>
              <w:rPr>
                <w:rFonts w:hint="eastAsia" w:ascii="Times New Roman" w:hAnsi="Times New Roman" w:eastAsia="仿宋_GB2312" w:cs="仿宋_GB2312"/>
                <w:bCs/>
                <w:color w:val="auto"/>
                <w:kern w:val="0"/>
                <w:sz w:val="24"/>
                <w:szCs w:val="24"/>
                <w:lang w:val="en-US" w:eastAsia="zh-CN" w:bidi="ar"/>
              </w:rPr>
              <w:t>统一收集处理</w:t>
            </w:r>
            <w:r>
              <w:rPr>
                <w:rFonts w:hint="eastAsia" w:ascii="Times New Roman" w:hAnsi="Times New Roman" w:eastAsia="仿宋_GB2312" w:cs="仿宋_GB2312"/>
                <w:color w:val="auto"/>
                <w:kern w:val="2"/>
                <w:sz w:val="24"/>
                <w:szCs w:val="24"/>
                <w:lang w:val="en-US" w:eastAsia="zh-CN" w:bidi="ar"/>
              </w:rPr>
              <w:t>。</w:t>
            </w:r>
          </w:p>
          <w:p w14:paraId="0CDDE0A7">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szCs w:val="24"/>
                <w:lang w:val="en-US"/>
              </w:rPr>
            </w:pPr>
            <w:r>
              <w:rPr>
                <w:rFonts w:hint="eastAsia" w:ascii="Times New Roman" w:hAnsi="Times New Roman" w:eastAsia="仿宋_GB2312" w:cs="仿宋_GB2312"/>
                <w:b/>
                <w:bCs/>
                <w:color w:val="auto"/>
                <w:kern w:val="2"/>
                <w:sz w:val="24"/>
                <w:szCs w:val="24"/>
                <w:lang w:val="en-US" w:eastAsia="zh-CN" w:bidi="ar"/>
              </w:rPr>
              <w:t>（</w:t>
            </w:r>
            <w:r>
              <w:rPr>
                <w:rFonts w:hint="default" w:ascii="Times New Roman" w:hAnsi="Times New Roman" w:eastAsia="仿宋_GB2312" w:cs="Times New Roman"/>
                <w:b/>
                <w:bCs/>
                <w:color w:val="auto"/>
                <w:kern w:val="2"/>
                <w:sz w:val="24"/>
                <w:szCs w:val="24"/>
                <w:lang w:val="en-US" w:eastAsia="zh-CN" w:bidi="ar"/>
              </w:rPr>
              <w:t>2</w:t>
            </w:r>
            <w:r>
              <w:rPr>
                <w:rFonts w:hint="eastAsia" w:ascii="Times New Roman" w:hAnsi="Times New Roman" w:eastAsia="仿宋_GB2312" w:cs="仿宋_GB2312"/>
                <w:b/>
                <w:bCs/>
                <w:color w:val="auto"/>
                <w:kern w:val="2"/>
                <w:sz w:val="24"/>
                <w:szCs w:val="24"/>
                <w:lang w:val="en-US" w:eastAsia="zh-CN" w:bidi="ar"/>
              </w:rPr>
              <w:t>）危险固废</w:t>
            </w:r>
          </w:p>
          <w:p w14:paraId="01756E71">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szCs w:val="24"/>
                <w:lang w:val="en-US"/>
              </w:rPr>
            </w:pPr>
            <w:r>
              <w:rPr>
                <w:rFonts w:hint="default" w:ascii="Times New Roman" w:hAnsi="Times New Roman" w:eastAsia="仿宋_GB2312" w:cs="Times New Roman"/>
                <w:b/>
                <w:bCs/>
                <w:color w:val="auto"/>
                <w:kern w:val="2"/>
                <w:sz w:val="24"/>
                <w:szCs w:val="24"/>
                <w:lang w:val="en-US" w:eastAsia="zh-CN" w:bidi="ar"/>
              </w:rPr>
              <w:t>1</w:t>
            </w:r>
            <w:r>
              <w:rPr>
                <w:rFonts w:hint="eastAsia" w:ascii="Times New Roman" w:hAnsi="Times New Roman" w:eastAsia="仿宋_GB2312" w:cs="仿宋_GB2312"/>
                <w:b/>
                <w:bCs/>
                <w:color w:val="auto"/>
                <w:kern w:val="2"/>
                <w:sz w:val="24"/>
                <w:szCs w:val="24"/>
                <w:lang w:val="en-US" w:eastAsia="zh-CN" w:bidi="ar"/>
              </w:rPr>
              <w:t>）收集过程污染防治措施</w:t>
            </w:r>
          </w:p>
          <w:p w14:paraId="3A08E76F">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本项目各环节产生的危险废物经桶装或袋装收集后，利用叉车或推车送至危废仓库。选择的包装容器材质满足强度要求，避免使用破损或强度不高的包装容器，禁止将不相容（相互反应）的危险废物在同一容器内混装。无法装入常用容器的危险废物可用防漏胶袋等盛装。包装容器上应贴上标签，包括危险废物名称、产生环节、产生量、危废编码等信息，方便入库统计。</w:t>
            </w:r>
          </w:p>
          <w:p w14:paraId="6AA8B1BB">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szCs w:val="24"/>
                <w:lang w:val="en-US"/>
              </w:rPr>
            </w:pPr>
            <w:r>
              <w:rPr>
                <w:rFonts w:hint="default" w:ascii="Times New Roman" w:hAnsi="Times New Roman" w:eastAsia="仿宋_GB2312" w:cs="Times New Roman"/>
                <w:b/>
                <w:bCs/>
                <w:color w:val="auto"/>
                <w:kern w:val="2"/>
                <w:sz w:val="24"/>
                <w:szCs w:val="24"/>
                <w:lang w:val="en-US" w:eastAsia="zh-CN" w:bidi="ar"/>
              </w:rPr>
              <w:t>2</w:t>
            </w:r>
            <w:r>
              <w:rPr>
                <w:rFonts w:hint="eastAsia" w:ascii="Times New Roman" w:hAnsi="Times New Roman" w:eastAsia="仿宋_GB2312" w:cs="仿宋_GB2312"/>
                <w:b/>
                <w:bCs/>
                <w:color w:val="auto"/>
                <w:kern w:val="2"/>
                <w:sz w:val="24"/>
                <w:szCs w:val="24"/>
                <w:lang w:val="en-US" w:eastAsia="zh-CN" w:bidi="ar"/>
              </w:rPr>
              <w:t>）贮存场所污染防治措施</w:t>
            </w:r>
          </w:p>
          <w:p w14:paraId="138E389B">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①危废仓库贮存能力分析</w:t>
            </w:r>
          </w:p>
          <w:p w14:paraId="2A345AD0">
            <w:pPr>
              <w:keepNext w:val="0"/>
              <w:keepLines w:val="0"/>
              <w:widowControl/>
              <w:suppressLineNumbers w:val="0"/>
              <w:adjustRightInd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企业危废库占地面积为</w:t>
            </w:r>
            <w:r>
              <w:rPr>
                <w:rFonts w:hint="eastAsia" w:eastAsia="仿宋_GB2312"/>
                <w:color w:val="auto"/>
                <w:sz w:val="24"/>
                <w:lang w:val="en-US" w:eastAsia="zh-CN"/>
              </w:rPr>
              <w:t>4</w:t>
            </w:r>
            <w:r>
              <w:rPr>
                <w:rFonts w:hint="default" w:eastAsia="仿宋_GB2312"/>
                <w:color w:val="auto"/>
                <w:sz w:val="24"/>
              </w:rPr>
              <w:t>m</w:t>
            </w:r>
            <w:r>
              <w:rPr>
                <w:rFonts w:hint="default" w:eastAsia="仿宋_GB2312"/>
                <w:color w:val="auto"/>
                <w:sz w:val="24"/>
                <w:vertAlign w:val="superscript"/>
              </w:rPr>
              <w:t>2</w:t>
            </w:r>
            <w:r>
              <w:rPr>
                <w:rFonts w:hint="default" w:eastAsia="仿宋_GB2312"/>
                <w:color w:val="auto"/>
                <w:sz w:val="24"/>
              </w:rPr>
              <w:t>，本项目考虑分类堆放的危废之间设置间距</w:t>
            </w:r>
            <w:r>
              <w:rPr>
                <w:rFonts w:hint="eastAsia" w:eastAsia="仿宋_GB2312"/>
                <w:color w:val="auto"/>
                <w:sz w:val="24"/>
                <w:lang w:val="en-US" w:eastAsia="zh-CN"/>
              </w:rPr>
              <w:t>25</w:t>
            </w:r>
            <w:r>
              <w:rPr>
                <w:rFonts w:hint="default" w:eastAsia="仿宋_GB2312"/>
                <w:color w:val="auto"/>
                <w:sz w:val="24"/>
              </w:rPr>
              <w:t>cm，另外库房内需设置一定的人行通道，实际堆放有效面积约为</w:t>
            </w:r>
            <w:r>
              <w:rPr>
                <w:rFonts w:hint="eastAsia" w:eastAsia="仿宋_GB2312"/>
                <w:color w:val="auto"/>
                <w:sz w:val="24"/>
                <w:lang w:val="en-US" w:eastAsia="zh-CN"/>
              </w:rPr>
              <w:t>3.2</w:t>
            </w:r>
            <w:r>
              <w:rPr>
                <w:rFonts w:hint="default" w:eastAsia="仿宋_GB2312"/>
                <w:color w:val="auto"/>
                <w:sz w:val="24"/>
              </w:rPr>
              <w:t>m</w:t>
            </w:r>
            <w:r>
              <w:rPr>
                <w:rFonts w:hint="default" w:eastAsia="仿宋_GB2312"/>
                <w:color w:val="auto"/>
                <w:sz w:val="24"/>
                <w:vertAlign w:val="superscript"/>
              </w:rPr>
              <w:t>2</w:t>
            </w:r>
            <w:r>
              <w:rPr>
                <w:rFonts w:hint="default" w:eastAsia="仿宋_GB2312"/>
                <w:color w:val="auto"/>
                <w:sz w:val="24"/>
              </w:rPr>
              <w:t>，类比同类行业危废仓库存储状况，仓库贮存容量约为</w:t>
            </w:r>
            <w:r>
              <w:rPr>
                <w:rFonts w:hint="eastAsia" w:eastAsia="仿宋_GB2312"/>
                <w:color w:val="auto"/>
                <w:sz w:val="24"/>
                <w:lang w:val="en-US" w:eastAsia="zh-CN"/>
              </w:rPr>
              <w:t>5</w:t>
            </w:r>
            <w:r>
              <w:rPr>
                <w:rFonts w:hint="default" w:eastAsia="仿宋_GB2312"/>
                <w:color w:val="auto"/>
                <w:sz w:val="24"/>
              </w:rPr>
              <w:t>t/m</w:t>
            </w:r>
            <w:r>
              <w:rPr>
                <w:rFonts w:hint="default" w:eastAsia="仿宋_GB2312"/>
                <w:color w:val="auto"/>
                <w:sz w:val="24"/>
                <w:vertAlign w:val="superscript"/>
              </w:rPr>
              <w:t>2</w:t>
            </w:r>
            <w:r>
              <w:rPr>
                <w:rFonts w:hint="default" w:eastAsia="仿宋_GB2312"/>
                <w:color w:val="auto"/>
                <w:sz w:val="24"/>
              </w:rPr>
              <w:t>，则该危废库内最大存储量为</w:t>
            </w:r>
            <w:r>
              <w:rPr>
                <w:rFonts w:hint="eastAsia" w:eastAsia="仿宋_GB2312"/>
                <w:color w:val="auto"/>
                <w:sz w:val="24"/>
                <w:lang w:val="en-US" w:eastAsia="zh-CN"/>
              </w:rPr>
              <w:t>16</w:t>
            </w:r>
            <w:r>
              <w:rPr>
                <w:rFonts w:hint="default" w:eastAsia="仿宋_GB2312"/>
                <w:color w:val="auto"/>
                <w:sz w:val="24"/>
              </w:rPr>
              <w:t>t。企业危废产生量约</w:t>
            </w:r>
            <w:r>
              <w:rPr>
                <w:rFonts w:hint="eastAsia" w:eastAsia="仿宋_GB2312"/>
                <w:color w:val="auto"/>
                <w:sz w:val="24"/>
                <w:highlight w:val="none"/>
                <w:lang w:val="en-US" w:eastAsia="zh-CN"/>
              </w:rPr>
              <w:t>14.04</w:t>
            </w:r>
            <w:r>
              <w:rPr>
                <w:rFonts w:hint="default" w:eastAsia="仿宋_GB2312"/>
                <w:color w:val="auto"/>
                <w:sz w:val="24"/>
                <w:highlight w:val="none"/>
              </w:rPr>
              <w:t>t</w:t>
            </w:r>
            <w:r>
              <w:rPr>
                <w:rFonts w:hint="default" w:eastAsia="仿宋_GB2312"/>
                <w:color w:val="auto"/>
                <w:sz w:val="24"/>
              </w:rPr>
              <w:t>/a，因此，危废仓库能够满足全厂危废的贮存需求。企业应按照相关规范要求及时转运各类危废，控制危废在厂内贮存时间小于90天，即厂内</w:t>
            </w:r>
            <w:r>
              <w:rPr>
                <w:rFonts w:hint="eastAsia" w:eastAsia="仿宋_GB2312"/>
                <w:color w:val="auto"/>
                <w:sz w:val="24"/>
              </w:rPr>
              <w:t>危险废物</w:t>
            </w:r>
            <w:r>
              <w:rPr>
                <w:rFonts w:hint="default" w:eastAsia="仿宋_GB2312"/>
                <w:color w:val="auto"/>
                <w:sz w:val="24"/>
              </w:rPr>
              <w:t>每年至少转运4次。</w:t>
            </w:r>
          </w:p>
          <w:p w14:paraId="5FD346AC">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②危险废物贮存容器</w:t>
            </w:r>
          </w:p>
          <w:p w14:paraId="3DE0AD1C">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本项目固态危废袋装，液态、半固态危废装桶后送危废仓库暂存，包装容器材质满足强度要求，包装好的危险废物分类堆放于场内。包装桶内留有较大空间，容器顶部与液体表面之间保留</w:t>
            </w:r>
            <w:r>
              <w:rPr>
                <w:rFonts w:hint="default" w:ascii="Times New Roman" w:hAnsi="Times New Roman" w:eastAsia="仿宋_GB2312" w:cs="Times New Roman"/>
                <w:color w:val="auto"/>
                <w:kern w:val="2"/>
                <w:sz w:val="24"/>
                <w:szCs w:val="24"/>
                <w:lang w:val="en-US" w:eastAsia="zh-CN" w:bidi="ar"/>
              </w:rPr>
              <w:t>100mm</w:t>
            </w:r>
            <w:r>
              <w:rPr>
                <w:rFonts w:hint="eastAsia" w:ascii="Times New Roman" w:hAnsi="Times New Roman" w:eastAsia="仿宋_GB2312" w:cs="仿宋_GB2312"/>
                <w:color w:val="auto"/>
                <w:kern w:val="2"/>
                <w:sz w:val="24"/>
                <w:szCs w:val="24"/>
                <w:lang w:val="en-US" w:eastAsia="zh-CN" w:bidi="ar"/>
              </w:rPr>
              <w:t>以上的空间，并粘贴符合要求的标签，并完整填写标签信息。</w:t>
            </w:r>
          </w:p>
          <w:p w14:paraId="0767F442">
            <w:pPr>
              <w:keepNext w:val="0"/>
              <w:keepLines w:val="0"/>
              <w:widowControl w:val="0"/>
              <w:suppressLineNumbers w:val="0"/>
              <w:adjustRightInd w:val="0"/>
              <w:snapToGrid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③危险废物的堆放</w:t>
            </w:r>
          </w:p>
          <w:p w14:paraId="39CA0A86">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按照危险废物的种类和特性进行分区分类堆放。贮存场所周边已设置径流疏导系统收集雨水；贮存场所内已做好</w:t>
            </w:r>
            <w:r>
              <w:rPr>
                <w:rFonts w:hint="default" w:ascii="Times New Roman" w:hAnsi="Times New Roman" w:eastAsia="仿宋_GB2312" w:cs="Times New Roman"/>
                <w:color w:val="auto"/>
                <w:kern w:val="2"/>
                <w:sz w:val="24"/>
                <w:szCs w:val="24"/>
                <w:lang w:val="en-US" w:eastAsia="zh-CN" w:bidi="ar"/>
              </w:rPr>
              <w:t>“</w:t>
            </w:r>
            <w:r>
              <w:rPr>
                <w:rFonts w:hint="eastAsia" w:ascii="Times New Roman" w:hAnsi="Times New Roman" w:eastAsia="仿宋_GB2312" w:cs="仿宋_GB2312"/>
                <w:color w:val="auto"/>
                <w:kern w:val="2"/>
                <w:sz w:val="24"/>
                <w:szCs w:val="24"/>
                <w:lang w:val="en-US" w:eastAsia="zh-CN" w:bidi="ar"/>
              </w:rPr>
              <w:t>三防</w:t>
            </w:r>
            <w:r>
              <w:rPr>
                <w:rFonts w:hint="default" w:ascii="Times New Roman" w:hAnsi="Times New Roman" w:eastAsia="仿宋_GB2312" w:cs="Times New Roman"/>
                <w:color w:val="auto"/>
                <w:kern w:val="2"/>
                <w:sz w:val="24"/>
                <w:szCs w:val="24"/>
                <w:lang w:val="en-US" w:eastAsia="zh-CN" w:bidi="ar"/>
              </w:rPr>
              <w:t>”</w:t>
            </w:r>
            <w:r>
              <w:rPr>
                <w:rFonts w:hint="eastAsia" w:ascii="Times New Roman" w:hAnsi="Times New Roman" w:eastAsia="仿宋_GB2312" w:cs="仿宋_GB2312"/>
                <w:color w:val="auto"/>
                <w:kern w:val="2"/>
                <w:sz w:val="24"/>
                <w:szCs w:val="24"/>
                <w:lang w:val="en-US" w:eastAsia="zh-CN" w:bidi="ar"/>
              </w:rPr>
              <w:t>（防扬散、防流失、防渗漏）和防腐措施。</w:t>
            </w:r>
          </w:p>
          <w:p w14:paraId="694DB92D">
            <w:pPr>
              <w:keepNext w:val="0"/>
              <w:keepLines w:val="0"/>
              <w:widowControl w:val="0"/>
              <w:suppressLineNumbers w:val="0"/>
              <w:adjustRightInd w:val="0"/>
              <w:snapToGrid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④危险废物的运行与管理</w:t>
            </w:r>
          </w:p>
          <w:p w14:paraId="1DE4D7BE">
            <w:pPr>
              <w:keepNext w:val="0"/>
              <w:keepLines w:val="0"/>
              <w:widowControl w:val="0"/>
              <w:suppressLineNumbers w:val="0"/>
              <w:adjustRightInd w:val="0"/>
              <w:snapToGrid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公司委派专职人员管理，作好危险废物情况的记录，记录上注明危险废物的名称、来源、数量、特性和包装容器的类别、入库日期、存放库位、废物出库日期及接收单位名称；危险废物转移时，按有关规定签订危险废物转移单，并需得到有关生态环境主管部门的批准；制定危险废物管理计划，内容齐全，详细描述危险废物的产生环节、种类、危害特性、产生量、利用处置方式，并报环保部门备案；定期对所贮存的危险废物包装容器及贮存设施进行检查，发现破损及时采取措施清理更换；企业应按照相关规范要求及时转运各类危废，控制危废在厂内贮存时间小于</w:t>
            </w:r>
            <w:r>
              <w:rPr>
                <w:rFonts w:hint="default" w:ascii="Times New Roman" w:hAnsi="Times New Roman" w:eastAsia="仿宋_GB2312" w:cs="Times New Roman"/>
                <w:color w:val="auto"/>
                <w:kern w:val="2"/>
                <w:sz w:val="24"/>
                <w:szCs w:val="24"/>
                <w:lang w:val="en-US" w:eastAsia="zh-CN" w:bidi="ar"/>
              </w:rPr>
              <w:t>90</w:t>
            </w:r>
            <w:r>
              <w:rPr>
                <w:rFonts w:hint="eastAsia" w:ascii="Times New Roman" w:hAnsi="Times New Roman" w:eastAsia="仿宋_GB2312" w:cs="仿宋_GB2312"/>
                <w:color w:val="auto"/>
                <w:kern w:val="2"/>
                <w:sz w:val="24"/>
                <w:szCs w:val="24"/>
                <w:lang w:val="en-US" w:eastAsia="zh-CN" w:bidi="ar"/>
              </w:rPr>
              <w:t>天，即厂内危险固废每年至少转运</w:t>
            </w:r>
            <w:r>
              <w:rPr>
                <w:rFonts w:hint="default" w:ascii="Times New Roman" w:hAnsi="Times New Roman" w:eastAsia="仿宋_GB2312" w:cs="Times New Roman"/>
                <w:color w:val="auto"/>
                <w:kern w:val="2"/>
                <w:sz w:val="24"/>
                <w:szCs w:val="24"/>
                <w:lang w:val="en-US" w:eastAsia="zh-CN" w:bidi="ar"/>
              </w:rPr>
              <w:t>4</w:t>
            </w:r>
            <w:r>
              <w:rPr>
                <w:rFonts w:hint="eastAsia" w:ascii="Times New Roman" w:hAnsi="Times New Roman" w:eastAsia="仿宋_GB2312" w:cs="仿宋_GB2312"/>
                <w:color w:val="auto"/>
                <w:kern w:val="2"/>
                <w:sz w:val="24"/>
                <w:szCs w:val="24"/>
                <w:lang w:val="en-US" w:eastAsia="zh-CN" w:bidi="ar"/>
              </w:rPr>
              <w:t>次。</w:t>
            </w:r>
          </w:p>
          <w:p w14:paraId="3954C6BC">
            <w:pPr>
              <w:keepNext w:val="0"/>
              <w:keepLines w:val="0"/>
              <w:widowControl w:val="0"/>
              <w:suppressLineNumbers w:val="0"/>
              <w:adjustRightInd w:val="0"/>
              <w:snapToGrid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⑤贮存设施的安全防护与监测</w:t>
            </w:r>
          </w:p>
          <w:p w14:paraId="096EF07F">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本项目厂内危废暂存场按照《危险废物贮存污染控制标准》（</w:t>
            </w:r>
            <w:r>
              <w:rPr>
                <w:rFonts w:hint="default" w:ascii="Times New Roman" w:hAnsi="Times New Roman" w:eastAsia="仿宋_GB2312" w:cs="Times New Roman"/>
                <w:color w:val="auto"/>
                <w:kern w:val="2"/>
                <w:sz w:val="24"/>
                <w:szCs w:val="24"/>
                <w:lang w:val="en-US" w:eastAsia="zh-CN" w:bidi="ar"/>
              </w:rPr>
              <w:t>GB18597-2023</w:t>
            </w:r>
            <w:r>
              <w:rPr>
                <w:rFonts w:hint="eastAsia" w:ascii="Times New Roman" w:hAnsi="Times New Roman" w:eastAsia="仿宋_GB2312" w:cs="仿宋_GB2312"/>
                <w:color w:val="auto"/>
                <w:kern w:val="2"/>
                <w:sz w:val="24"/>
                <w:szCs w:val="24"/>
                <w:lang w:val="en-US" w:eastAsia="zh-CN" w:bidi="ar"/>
              </w:rPr>
              <w:t>）、《省生态环境厅关于进一步加强危险废物污染防治工作的实施意见》（苏环办</w:t>
            </w:r>
            <w:r>
              <w:rPr>
                <w:rFonts w:hint="default" w:ascii="Times New Roman" w:hAnsi="Times New Roman" w:eastAsia="仿宋_GB2312" w:cs="Times New Roman"/>
                <w:color w:val="auto"/>
                <w:kern w:val="2"/>
                <w:sz w:val="24"/>
                <w:szCs w:val="24"/>
                <w:lang w:val="en-US" w:eastAsia="zh-CN" w:bidi="ar"/>
              </w:rPr>
              <w:t>[2019]327</w:t>
            </w:r>
            <w:r>
              <w:rPr>
                <w:rFonts w:hint="eastAsia" w:ascii="Times New Roman" w:hAnsi="Times New Roman" w:eastAsia="仿宋_GB2312" w:cs="仿宋_GB2312"/>
                <w:color w:val="auto"/>
                <w:kern w:val="2"/>
                <w:sz w:val="24"/>
                <w:szCs w:val="24"/>
                <w:lang w:val="en-US" w:eastAsia="zh-CN" w:bidi="ar"/>
              </w:rPr>
              <w:t>号）、《省生态环境厅关于印发江苏省危险废物贮存规范化管理专项整治行动方案的通知》（苏环办</w:t>
            </w:r>
            <w:r>
              <w:rPr>
                <w:rFonts w:hint="default" w:ascii="Times New Roman" w:hAnsi="Times New Roman" w:eastAsia="仿宋_GB2312" w:cs="Times New Roman"/>
                <w:color w:val="auto"/>
                <w:kern w:val="2"/>
                <w:sz w:val="24"/>
                <w:szCs w:val="24"/>
                <w:lang w:val="en-US" w:eastAsia="zh-CN" w:bidi="ar"/>
              </w:rPr>
              <w:t>[2019]149</w:t>
            </w:r>
            <w:r>
              <w:rPr>
                <w:rFonts w:hint="eastAsia" w:ascii="Times New Roman" w:hAnsi="Times New Roman" w:eastAsia="仿宋_GB2312" w:cs="仿宋_GB2312"/>
                <w:color w:val="auto"/>
                <w:kern w:val="2"/>
                <w:sz w:val="24"/>
                <w:szCs w:val="24"/>
                <w:lang w:val="en-US" w:eastAsia="zh-CN" w:bidi="ar"/>
              </w:rPr>
              <w:t>号）、《危险废物识别标志设置技术规范》</w:t>
            </w:r>
            <w:r>
              <w:rPr>
                <w:rFonts w:hint="default" w:ascii="Times New Roman" w:hAnsi="Times New Roman" w:eastAsia="仿宋_GB2312" w:cs="Times New Roman"/>
                <w:color w:val="auto"/>
                <w:kern w:val="2"/>
                <w:sz w:val="24"/>
                <w:szCs w:val="24"/>
                <w:lang w:val="en-US" w:eastAsia="zh-CN" w:bidi="ar"/>
              </w:rPr>
              <w:t xml:space="preserve"> </w:t>
            </w:r>
            <w:r>
              <w:rPr>
                <w:rFonts w:hint="eastAsia" w:ascii="Times New Roman" w:hAnsi="Times New Roman" w:eastAsia="仿宋_GB2312" w:cs="仿宋_GB2312"/>
                <w:color w:val="auto"/>
                <w:kern w:val="2"/>
                <w:sz w:val="24"/>
                <w:szCs w:val="24"/>
                <w:lang w:val="en-US" w:eastAsia="zh-CN" w:bidi="ar"/>
              </w:rPr>
              <w:t>（</w:t>
            </w:r>
            <w:r>
              <w:rPr>
                <w:rFonts w:hint="default" w:ascii="Times New Roman" w:hAnsi="Times New Roman" w:eastAsia="仿宋_GB2312" w:cs="Times New Roman"/>
                <w:color w:val="auto"/>
                <w:kern w:val="2"/>
                <w:sz w:val="24"/>
                <w:szCs w:val="24"/>
                <w:lang w:val="en-US" w:eastAsia="zh-CN" w:bidi="ar"/>
              </w:rPr>
              <w:t>HJ 1276-2022</w:t>
            </w:r>
            <w:r>
              <w:rPr>
                <w:rFonts w:hint="eastAsia" w:ascii="Times New Roman" w:hAnsi="Times New Roman" w:eastAsia="仿宋_GB2312" w:cs="仿宋_GB2312"/>
                <w:color w:val="auto"/>
                <w:kern w:val="2"/>
                <w:sz w:val="24"/>
                <w:szCs w:val="24"/>
                <w:lang w:val="en-US" w:eastAsia="zh-CN" w:bidi="ar"/>
              </w:rPr>
              <w:t>）等相关要求落实相应的污染防治措施。危废仓库为密闭房式结构，已设置警示标志牌；在危废仓库内部和外部进行防腐处理，设置防止液体流散的盛漏设施、</w:t>
            </w:r>
            <w:r>
              <w:rPr>
                <w:rFonts w:hint="eastAsia" w:ascii="Times New Roman" w:hAnsi="Times New Roman" w:eastAsia="仿宋_GB2312" w:cs="仿宋_GB2312"/>
                <w:color w:val="auto"/>
                <w:kern w:val="2"/>
                <w:sz w:val="24"/>
                <w:szCs w:val="28"/>
                <w:lang w:val="en-US" w:eastAsia="zh-CN" w:bidi="ar"/>
              </w:rPr>
              <w:t>废气收集处理系统和消防、安全照明、报警监视系统等措施，</w:t>
            </w:r>
            <w:r>
              <w:rPr>
                <w:rFonts w:hint="eastAsia" w:ascii="Times New Roman" w:hAnsi="Times New Roman" w:eastAsia="仿宋_GB2312" w:cs="仿宋_GB2312"/>
                <w:color w:val="auto"/>
                <w:kern w:val="2"/>
                <w:sz w:val="24"/>
                <w:szCs w:val="24"/>
                <w:lang w:val="en-US" w:eastAsia="zh-CN" w:bidi="ar"/>
              </w:rPr>
              <w:t>并设有应急防护设施如黄沙、灭火器等；堆场内清理的泄漏物同样作为危废妥善处理。</w:t>
            </w:r>
          </w:p>
          <w:p w14:paraId="4A7DB73B">
            <w:pPr>
              <w:keepNext w:val="0"/>
              <w:keepLines w:val="0"/>
              <w:widowControl w:val="0"/>
              <w:suppressLineNumbers w:val="0"/>
              <w:spacing w:before="0" w:beforeAutospacing="0" w:after="0" w:afterAutospacing="0" w:line="500" w:lineRule="exact"/>
              <w:ind w:left="0" w:right="0" w:firstLine="482" w:firstLineChars="200"/>
              <w:jc w:val="both"/>
              <w:rPr>
                <w:rFonts w:hint="default" w:eastAsia="仿宋_GB2312"/>
                <w:b/>
                <w:bCs/>
                <w:color w:val="auto"/>
                <w:sz w:val="24"/>
                <w:szCs w:val="24"/>
                <w:lang w:val="en-US"/>
              </w:rPr>
            </w:pPr>
            <w:r>
              <w:rPr>
                <w:rFonts w:hint="default" w:ascii="Times New Roman" w:hAnsi="Times New Roman" w:eastAsia="仿宋_GB2312" w:cs="Times New Roman"/>
                <w:b/>
                <w:bCs/>
                <w:color w:val="auto"/>
                <w:kern w:val="2"/>
                <w:sz w:val="24"/>
                <w:szCs w:val="24"/>
                <w:lang w:val="en-US" w:eastAsia="zh-CN" w:bidi="ar"/>
              </w:rPr>
              <w:t>3</w:t>
            </w:r>
            <w:r>
              <w:rPr>
                <w:rFonts w:hint="eastAsia" w:ascii="Times New Roman" w:hAnsi="Times New Roman" w:eastAsia="仿宋_GB2312" w:cs="仿宋_GB2312"/>
                <w:b/>
                <w:bCs/>
                <w:color w:val="auto"/>
                <w:kern w:val="2"/>
                <w:sz w:val="24"/>
                <w:szCs w:val="24"/>
                <w:lang w:val="en-US" w:eastAsia="zh-CN" w:bidi="ar"/>
              </w:rPr>
              <w:t>）运输过程污染防治措施</w:t>
            </w:r>
          </w:p>
          <w:p w14:paraId="2AF66E9D">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危险废物在运输中应做到以下几点：</w:t>
            </w:r>
          </w:p>
          <w:p w14:paraId="500E17D4">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①危险废物的运输车辆须经主管单位检查，并持有有关单位签发的许可证，负责运输的司机应通过培训，持有证明文件。</w:t>
            </w:r>
          </w:p>
          <w:p w14:paraId="33E770FF">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②承载危险废物的车辆须有明显的标志或适当的危险标识，以引起注意。</w:t>
            </w:r>
          </w:p>
          <w:p w14:paraId="795AB513">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③装载危险废物的车辆在公路上行驶时，需持有运输许可证，其上应注明废物来源、性质和运往地点。</w:t>
            </w:r>
          </w:p>
          <w:p w14:paraId="0018B1BD">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④组织危险废物的运输单位，事先需做好周密的运输计划和行驶路线，其中包括有效的废物泄漏情况下的应急措施。</w:t>
            </w:r>
          </w:p>
          <w:p w14:paraId="24CF7902">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⑤加强对运输车司机的管理要求，不仅确保运输过程的安全，在车辆经过河流及市镇村庄时做到主动减速慢行，减少事故风险。</w:t>
            </w:r>
          </w:p>
          <w:p w14:paraId="2B1B90B8">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⑥运输车辆严格按照指定的运输路线行驶。</w:t>
            </w:r>
          </w:p>
          <w:p w14:paraId="68223086">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⑦装车完毕，再车辆启动前，逐个检查盛装废液容器是否有漏点，容器盖是否盖严等，杜绝容器泄漏造成的污染。</w:t>
            </w:r>
          </w:p>
          <w:p w14:paraId="4F668B5F">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⑧运输过程中，应严格控制车速，避免紧急制动、急加速等，防止因上述操作造成容器间发生碰撞引起的容器破损或容器盖失位等引起的废液泄漏。</w:t>
            </w:r>
          </w:p>
          <w:p w14:paraId="2A8EB566">
            <w:pPr>
              <w:keepNext w:val="0"/>
              <w:keepLines w:val="0"/>
              <w:widowControl w:val="0"/>
              <w:suppressLineNumbers w:val="0"/>
              <w:spacing w:before="0" w:beforeAutospacing="0" w:after="0" w:afterAutospacing="0" w:line="500" w:lineRule="exact"/>
              <w:ind w:left="0" w:right="0" w:firstLine="482" w:firstLineChars="200"/>
              <w:jc w:val="both"/>
              <w:rPr>
                <w:rFonts w:hint="default" w:eastAsia="仿宋_GB2312"/>
                <w:b/>
                <w:bCs/>
                <w:color w:val="auto"/>
                <w:sz w:val="24"/>
                <w:szCs w:val="24"/>
                <w:lang w:val="en-US"/>
              </w:rPr>
            </w:pPr>
            <w:r>
              <w:rPr>
                <w:rFonts w:hint="default" w:ascii="Times New Roman" w:hAnsi="Times New Roman" w:eastAsia="仿宋_GB2312" w:cs="Times New Roman"/>
                <w:b/>
                <w:bCs/>
                <w:color w:val="auto"/>
                <w:kern w:val="2"/>
                <w:sz w:val="24"/>
                <w:szCs w:val="24"/>
                <w:lang w:val="en-US" w:eastAsia="zh-CN" w:bidi="ar"/>
              </w:rPr>
              <w:t>4</w:t>
            </w:r>
            <w:r>
              <w:rPr>
                <w:rFonts w:hint="eastAsia" w:ascii="Times New Roman" w:hAnsi="Times New Roman" w:eastAsia="仿宋_GB2312" w:cs="仿宋_GB2312"/>
                <w:b/>
                <w:bCs/>
                <w:color w:val="auto"/>
                <w:kern w:val="2"/>
                <w:sz w:val="24"/>
                <w:szCs w:val="24"/>
                <w:lang w:val="en-US" w:eastAsia="zh-CN" w:bidi="ar"/>
              </w:rPr>
              <w:t>）委外处置污染防治措施</w:t>
            </w:r>
          </w:p>
          <w:p w14:paraId="77598F32">
            <w:pPr>
              <w:keepNext w:val="0"/>
              <w:keepLines w:val="0"/>
              <w:widowControl w:val="0"/>
              <w:suppressLineNumbers w:val="0"/>
              <w:spacing w:before="0" w:beforeAutospacing="0" w:after="0" w:afterAutospacing="0" w:line="500" w:lineRule="exact"/>
              <w:ind w:left="0" w:right="0" w:firstLine="480" w:firstLineChars="200"/>
              <w:jc w:val="both"/>
              <w:rPr>
                <w:rFonts w:hint="default" w:eastAsia="仿宋_GB2312"/>
                <w:color w:val="auto"/>
                <w:sz w:val="24"/>
                <w:szCs w:val="24"/>
                <w:highlight w:val="none"/>
                <w:lang w:val="en-US"/>
              </w:rPr>
            </w:pPr>
            <w:r>
              <w:rPr>
                <w:rFonts w:hint="eastAsia" w:ascii="Times New Roman" w:hAnsi="Times New Roman" w:eastAsia="仿宋_GB2312" w:cs="仿宋_GB2312"/>
                <w:bCs/>
                <w:color w:val="auto"/>
                <w:kern w:val="0"/>
                <w:sz w:val="24"/>
                <w:szCs w:val="24"/>
                <w:highlight w:val="none"/>
                <w:lang w:val="en-US" w:eastAsia="zh-CN" w:bidi="ar"/>
              </w:rPr>
              <w:t>本项目产生的</w:t>
            </w:r>
            <w:r>
              <w:rPr>
                <w:rFonts w:hint="eastAsia" w:eastAsia="仿宋_GB2312" w:cs="仿宋_GB2312"/>
                <w:bCs/>
                <w:color w:val="auto"/>
                <w:kern w:val="0"/>
                <w:sz w:val="24"/>
                <w:szCs w:val="24"/>
                <w:highlight w:val="none"/>
                <w:lang w:val="en-US" w:eastAsia="zh-CN" w:bidi="ar"/>
              </w:rPr>
              <w:t>离心废渣、</w:t>
            </w:r>
            <w:r>
              <w:rPr>
                <w:rFonts w:hint="default" w:eastAsia="仿宋_GB2312"/>
                <w:bCs/>
                <w:color w:val="auto"/>
                <w:kern w:val="0"/>
                <w:sz w:val="24"/>
                <w:highlight w:val="none"/>
              </w:rPr>
              <w:t>过滤残渣</w:t>
            </w:r>
            <w:r>
              <w:rPr>
                <w:rFonts w:hint="eastAsia" w:eastAsia="仿宋_GB2312"/>
                <w:bCs/>
                <w:color w:val="auto"/>
                <w:kern w:val="0"/>
                <w:sz w:val="24"/>
                <w:highlight w:val="none"/>
              </w:rPr>
              <w:t>（含废滤袋）</w:t>
            </w:r>
            <w:r>
              <w:rPr>
                <w:rFonts w:hint="default" w:eastAsia="仿宋_GB2312"/>
                <w:bCs/>
                <w:color w:val="auto"/>
                <w:kern w:val="0"/>
                <w:sz w:val="24"/>
                <w:highlight w:val="none"/>
              </w:rPr>
              <w:t>、过滤废液、废活性炭、包装袋/桶、</w:t>
            </w:r>
            <w:r>
              <w:rPr>
                <w:rFonts w:hint="eastAsia" w:eastAsia="仿宋_GB2312"/>
                <w:bCs/>
                <w:color w:val="auto"/>
                <w:kern w:val="0"/>
                <w:sz w:val="24"/>
                <w:highlight w:val="none"/>
              </w:rPr>
              <w:t>捕集</w:t>
            </w:r>
            <w:r>
              <w:rPr>
                <w:rFonts w:hint="default" w:eastAsia="仿宋_GB2312"/>
                <w:bCs/>
                <w:color w:val="auto"/>
                <w:kern w:val="0"/>
                <w:sz w:val="24"/>
                <w:highlight w:val="none"/>
              </w:rPr>
              <w:t>粉尘、废布袋、清洁废物、废矿物油</w:t>
            </w:r>
            <w:r>
              <w:rPr>
                <w:rFonts w:hint="eastAsia" w:eastAsia="仿宋_GB2312"/>
                <w:bCs/>
                <w:color w:val="auto"/>
                <w:kern w:val="0"/>
                <w:sz w:val="24"/>
                <w:highlight w:val="none"/>
                <w:lang w:eastAsia="zh-CN"/>
              </w:rPr>
              <w:t>、冷凝废液、拖把清洗废液</w:t>
            </w:r>
            <w:r>
              <w:rPr>
                <w:rFonts w:hint="eastAsia" w:ascii="Times New Roman" w:hAnsi="Times New Roman" w:eastAsia="仿宋_GB2312" w:cs="仿宋_GB2312"/>
                <w:color w:val="auto"/>
                <w:kern w:val="2"/>
                <w:sz w:val="24"/>
                <w:szCs w:val="24"/>
                <w:highlight w:val="none"/>
                <w:lang w:val="en-US" w:eastAsia="zh-CN" w:bidi="ar"/>
              </w:rPr>
              <w:t>等</w:t>
            </w:r>
            <w:r>
              <w:rPr>
                <w:rFonts w:hint="eastAsia" w:ascii="Times New Roman" w:hAnsi="Times New Roman" w:eastAsia="仿宋_GB2312" w:cs="仿宋_GB2312"/>
                <w:bCs/>
                <w:color w:val="auto"/>
                <w:kern w:val="0"/>
                <w:sz w:val="24"/>
                <w:szCs w:val="24"/>
                <w:highlight w:val="none"/>
                <w:lang w:val="en-US" w:eastAsia="zh-CN" w:bidi="ar"/>
              </w:rPr>
              <w:t>均作为危险废物委托有资质单位处置。</w:t>
            </w:r>
          </w:p>
          <w:p w14:paraId="45AAE383">
            <w:pPr>
              <w:keepNext w:val="0"/>
              <w:keepLines w:val="0"/>
              <w:widowControl/>
              <w:suppressLineNumbers w:val="0"/>
              <w:adjustRightInd w:val="0"/>
              <w:snapToGrid w:val="0"/>
              <w:spacing w:before="0" w:beforeAutospacing="0" w:after="0" w:afterAutospacing="0" w:line="460" w:lineRule="exact"/>
              <w:ind w:left="0" w:right="0" w:firstLine="482" w:firstLineChars="200"/>
              <w:jc w:val="left"/>
              <w:rPr>
                <w:rFonts w:hint="default" w:eastAsia="仿宋_GB2312"/>
                <w:b/>
                <w:color w:val="auto"/>
                <w:kern w:val="0"/>
                <w:sz w:val="24"/>
              </w:rPr>
            </w:pPr>
            <w:r>
              <w:rPr>
                <w:rFonts w:hint="default" w:eastAsia="仿宋_GB2312"/>
                <w:b/>
                <w:color w:val="auto"/>
                <w:kern w:val="0"/>
                <w:sz w:val="24"/>
              </w:rPr>
              <w:t>3、环境影响分析</w:t>
            </w:r>
          </w:p>
          <w:p w14:paraId="700856A4">
            <w:pPr>
              <w:keepNext w:val="0"/>
              <w:keepLines w:val="0"/>
              <w:widowControl/>
              <w:suppressLineNumbers w:val="0"/>
              <w:adjustRightInd w:val="0"/>
              <w:snapToGrid w:val="0"/>
              <w:spacing w:before="0" w:beforeAutospacing="0" w:after="0" w:afterAutospacing="0" w:line="460" w:lineRule="exact"/>
              <w:ind w:left="0" w:right="0" w:firstLine="480" w:firstLineChars="200"/>
              <w:jc w:val="left"/>
              <w:rPr>
                <w:rFonts w:hint="default" w:eastAsia="仿宋_GB2312"/>
                <w:bCs/>
                <w:color w:val="auto"/>
                <w:kern w:val="0"/>
                <w:sz w:val="24"/>
              </w:rPr>
            </w:pPr>
            <w:r>
              <w:rPr>
                <w:rFonts w:hint="default" w:eastAsia="仿宋_GB2312"/>
                <w:bCs/>
                <w:color w:val="auto"/>
                <w:kern w:val="0"/>
                <w:sz w:val="24"/>
              </w:rPr>
              <w:t>本项目危险废物委托有资质单位处置，生活垃圾由环卫部门统一收集处理，固废处理处置率100%，不直接排入外环境，对周围环境无直接影响。</w:t>
            </w:r>
          </w:p>
          <w:p w14:paraId="07A1FB5D">
            <w:pPr>
              <w:keepNext w:val="0"/>
              <w:keepLines w:val="0"/>
              <w:suppressLineNumbers w:val="0"/>
              <w:tabs>
                <w:tab w:val="left" w:pos="585"/>
                <w:tab w:val="left" w:pos="850"/>
                <w:tab w:val="left" w:pos="1275"/>
                <w:tab w:val="left" w:pos="1700"/>
                <w:tab w:val="left" w:pos="2130"/>
                <w:tab w:val="left" w:pos="2550"/>
                <w:tab w:val="left" w:pos="3195"/>
                <w:tab w:val="left" w:pos="3400"/>
                <w:tab w:val="left" w:pos="3825"/>
                <w:tab w:val="left" w:pos="4250"/>
                <w:tab w:val="left" w:pos="4890"/>
              </w:tabs>
              <w:spacing w:before="0" w:beforeAutospacing="0" w:after="0" w:afterAutospacing="0" w:line="500" w:lineRule="exact"/>
              <w:ind w:left="0" w:right="0"/>
              <w:rPr>
                <w:rFonts w:hint="default" w:eastAsia="仿宋_GB2312"/>
                <w:b/>
                <w:color w:val="auto"/>
                <w:sz w:val="24"/>
              </w:rPr>
            </w:pPr>
            <w:r>
              <w:rPr>
                <w:rFonts w:hint="default" w:eastAsia="仿宋_GB2312"/>
                <w:b/>
                <w:color w:val="auto"/>
                <w:sz w:val="24"/>
              </w:rPr>
              <w:t>四、噪声</w:t>
            </w:r>
          </w:p>
          <w:p w14:paraId="597E7698">
            <w:pPr>
              <w:keepNext w:val="0"/>
              <w:keepLines w:val="0"/>
              <w:suppressLineNumbers w:val="0"/>
              <w:tabs>
                <w:tab w:val="left" w:pos="585"/>
                <w:tab w:val="left" w:pos="850"/>
                <w:tab w:val="left" w:pos="1275"/>
                <w:tab w:val="left" w:pos="1700"/>
                <w:tab w:val="left" w:pos="2130"/>
                <w:tab w:val="left" w:pos="2550"/>
                <w:tab w:val="left" w:pos="3195"/>
                <w:tab w:val="left" w:pos="3400"/>
                <w:tab w:val="left" w:pos="3825"/>
                <w:tab w:val="left" w:pos="4250"/>
                <w:tab w:val="left" w:pos="4890"/>
              </w:tabs>
              <w:spacing w:before="0" w:beforeAutospacing="0" w:after="0" w:afterAutospacing="0" w:line="500" w:lineRule="exact"/>
              <w:ind w:left="0" w:right="0" w:firstLine="482" w:firstLineChars="200"/>
              <w:rPr>
                <w:rFonts w:hint="default" w:eastAsia="仿宋_GB2312"/>
                <w:b/>
                <w:color w:val="auto"/>
                <w:sz w:val="24"/>
              </w:rPr>
            </w:pPr>
            <w:r>
              <w:rPr>
                <w:rFonts w:hint="default" w:eastAsia="仿宋_GB2312"/>
                <w:b/>
                <w:color w:val="auto"/>
                <w:sz w:val="24"/>
              </w:rPr>
              <w:t>1、产污环节</w:t>
            </w:r>
          </w:p>
          <w:p w14:paraId="79963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eastAsia="仿宋_GB2312"/>
                <w:bCs/>
                <w:color w:val="auto"/>
                <w:sz w:val="24"/>
              </w:rPr>
            </w:pPr>
            <w:r>
              <w:rPr>
                <w:rFonts w:hint="default" w:eastAsia="仿宋_GB2312"/>
                <w:bCs/>
                <w:color w:val="auto"/>
                <w:sz w:val="24"/>
              </w:rPr>
              <w:t>本项目噪声源以机械性噪声及空气噪声为主，主要噪声源设备为引风机、冷却塔、空压机组和制冷机组。本项目主要噪声污染源产生及降噪措施情况见下表。</w:t>
            </w:r>
          </w:p>
          <w:p w14:paraId="3650DF1D">
            <w:pPr>
              <w:keepNext w:val="0"/>
              <w:keepLines w:val="0"/>
              <w:widowControl/>
              <w:suppressLineNumbers w:val="0"/>
              <w:spacing w:before="0" w:beforeAutospacing="0" w:after="0" w:afterAutospacing="0" w:line="500" w:lineRule="exact"/>
              <w:ind w:left="0" w:right="0" w:firstLine="2" w:firstLineChars="1"/>
              <w:jc w:val="center"/>
              <w:rPr>
                <w:rFonts w:hint="eastAsia" w:eastAsia="仿宋_GB2312"/>
                <w:b/>
                <w:bCs/>
                <w:color w:val="auto"/>
                <w:kern w:val="0"/>
                <w:sz w:val="22"/>
                <w:szCs w:val="22"/>
                <w:lang w:val="en-US" w:eastAsia="zh-CN"/>
              </w:rPr>
            </w:pPr>
            <w:r>
              <w:rPr>
                <w:rFonts w:hint="default" w:eastAsia="仿宋_GB2312"/>
                <w:b/>
                <w:bCs/>
                <w:color w:val="auto"/>
                <w:kern w:val="0"/>
                <w:sz w:val="22"/>
                <w:szCs w:val="22"/>
              </w:rPr>
              <w:t>表4-</w:t>
            </w:r>
            <w:r>
              <w:rPr>
                <w:rFonts w:hint="eastAsia" w:eastAsia="仿宋_GB2312"/>
                <w:b/>
                <w:bCs/>
                <w:color w:val="auto"/>
                <w:kern w:val="0"/>
                <w:sz w:val="22"/>
                <w:szCs w:val="22"/>
                <w:lang w:val="en-US" w:eastAsia="zh-CN"/>
              </w:rPr>
              <w:t>26</w:t>
            </w:r>
            <w:r>
              <w:rPr>
                <w:rFonts w:hint="default" w:eastAsia="仿宋_GB2312"/>
                <w:b/>
                <w:bCs/>
                <w:color w:val="auto"/>
                <w:kern w:val="0"/>
                <w:sz w:val="22"/>
                <w:szCs w:val="22"/>
              </w:rPr>
              <w:t xml:space="preserve">  本项目噪声产生情况</w:t>
            </w:r>
            <w:r>
              <w:rPr>
                <w:rFonts w:hint="eastAsia" w:eastAsia="仿宋_GB2312"/>
                <w:b/>
                <w:bCs/>
                <w:color w:val="auto"/>
                <w:kern w:val="0"/>
                <w:sz w:val="22"/>
                <w:szCs w:val="22"/>
                <w:lang w:eastAsia="zh-CN"/>
              </w:rPr>
              <w:t>（室外）</w:t>
            </w:r>
          </w:p>
          <w:tbl>
            <w:tblPr>
              <w:tblStyle w:val="167"/>
              <w:tblW w:w="50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79"/>
              <w:gridCol w:w="1586"/>
              <w:gridCol w:w="1601"/>
              <w:gridCol w:w="1014"/>
              <w:gridCol w:w="700"/>
              <w:gridCol w:w="731"/>
              <w:gridCol w:w="932"/>
              <w:gridCol w:w="932"/>
              <w:gridCol w:w="1490"/>
              <w:gridCol w:w="806"/>
            </w:tblGrid>
            <w:tr w14:paraId="15D8B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4" w:type="pct"/>
                  <w:vMerge w:val="restart"/>
                  <w:vAlign w:val="center"/>
                </w:tcPr>
                <w:p w14:paraId="32CA6F0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序号</w:t>
                  </w:r>
                </w:p>
              </w:tc>
              <w:tc>
                <w:tcPr>
                  <w:tcW w:w="757" w:type="pct"/>
                  <w:vMerge w:val="restart"/>
                  <w:vAlign w:val="center"/>
                </w:tcPr>
                <w:p w14:paraId="02615CA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声源名称</w:t>
                  </w:r>
                </w:p>
              </w:tc>
              <w:tc>
                <w:tcPr>
                  <w:tcW w:w="764" w:type="pct"/>
                  <w:vMerge w:val="restart"/>
                  <w:vAlign w:val="center"/>
                </w:tcPr>
                <w:p w14:paraId="5AD3D99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型号</w:t>
                  </w:r>
                </w:p>
              </w:tc>
              <w:tc>
                <w:tcPr>
                  <w:tcW w:w="484" w:type="pct"/>
                  <w:vMerge w:val="restart"/>
                  <w:vAlign w:val="center"/>
                </w:tcPr>
                <w:p w14:paraId="77F5281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设备</w:t>
                  </w:r>
                </w:p>
                <w:p w14:paraId="287001B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台数</w:t>
                  </w:r>
                </w:p>
              </w:tc>
              <w:tc>
                <w:tcPr>
                  <w:tcW w:w="1128" w:type="pct"/>
                  <w:gridSpan w:val="3"/>
                  <w:vAlign w:val="center"/>
                </w:tcPr>
                <w:p w14:paraId="1B6EA42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空间相对位置</w:t>
                  </w:r>
                  <w:r>
                    <w:rPr>
                      <w:rFonts w:hint="default" w:ascii="Times New Roman" w:hAnsi="Times New Roman"/>
                      <w:color w:val="auto"/>
                      <w:szCs w:val="24"/>
                    </w:rPr>
                    <w:t>*</w:t>
                  </w:r>
                  <w:r>
                    <w:rPr>
                      <w:rFonts w:hint="eastAsia" w:ascii="Times New Roman" w:hAnsi="Times New Roman"/>
                      <w:b/>
                      <w:bCs/>
                      <w:color w:val="auto"/>
                    </w:rPr>
                    <w:t>/m</w:t>
                  </w:r>
                </w:p>
              </w:tc>
              <w:tc>
                <w:tcPr>
                  <w:tcW w:w="445" w:type="pct"/>
                  <w:vMerge w:val="restart"/>
                  <w:vAlign w:val="center"/>
                </w:tcPr>
                <w:p w14:paraId="1C1CC87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声源源强d</w:t>
                  </w:r>
                  <w:r>
                    <w:rPr>
                      <w:rFonts w:hint="default" w:ascii="Times New Roman" w:hAnsi="Times New Roman"/>
                      <w:b/>
                      <w:bCs/>
                      <w:color w:val="auto"/>
                    </w:rPr>
                    <w:t>B</w:t>
                  </w:r>
                  <w:r>
                    <w:rPr>
                      <w:rFonts w:hint="eastAsia" w:ascii="Times New Roman" w:hAnsi="Times New Roman"/>
                      <w:b/>
                      <w:bCs/>
                      <w:color w:val="auto"/>
                    </w:rPr>
                    <w:t>(A)</w:t>
                  </w:r>
                </w:p>
              </w:tc>
              <w:tc>
                <w:tcPr>
                  <w:tcW w:w="711" w:type="pct"/>
                  <w:vMerge w:val="restart"/>
                  <w:vAlign w:val="center"/>
                </w:tcPr>
                <w:p w14:paraId="617B4DC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w:t>
                  </w:r>
                </w:p>
                <w:p w14:paraId="3B66192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控制措施</w:t>
                  </w:r>
                </w:p>
              </w:tc>
              <w:tc>
                <w:tcPr>
                  <w:tcW w:w="384" w:type="pct"/>
                  <w:vMerge w:val="restart"/>
                  <w:vAlign w:val="center"/>
                </w:tcPr>
                <w:p w14:paraId="3AE656E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运行</w:t>
                  </w:r>
                </w:p>
                <w:p w14:paraId="535B8A4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时段</w:t>
                  </w:r>
                </w:p>
              </w:tc>
            </w:tr>
            <w:tr w14:paraId="0B147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34" w:hRule="atLeast"/>
                <w:jc w:val="center"/>
              </w:trPr>
              <w:tc>
                <w:tcPr>
                  <w:tcW w:w="324" w:type="pct"/>
                  <w:vMerge w:val="continue"/>
                  <w:vAlign w:val="center"/>
                </w:tcPr>
                <w:p w14:paraId="4524617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757" w:type="pct"/>
                  <w:vMerge w:val="continue"/>
                  <w:vAlign w:val="center"/>
                </w:tcPr>
                <w:p w14:paraId="4FB4661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764" w:type="pct"/>
                  <w:vMerge w:val="continue"/>
                  <w:vAlign w:val="center"/>
                </w:tcPr>
                <w:p w14:paraId="45EE52A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484" w:type="pct"/>
                  <w:vMerge w:val="continue"/>
                  <w:vAlign w:val="center"/>
                </w:tcPr>
                <w:p w14:paraId="33DC57B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34" w:type="pct"/>
                  <w:vAlign w:val="center"/>
                </w:tcPr>
                <w:p w14:paraId="13FA2E4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X</w:t>
                  </w:r>
                </w:p>
              </w:tc>
              <w:tc>
                <w:tcPr>
                  <w:tcW w:w="349" w:type="pct"/>
                  <w:vAlign w:val="center"/>
                </w:tcPr>
                <w:p w14:paraId="454DBAF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Y</w:t>
                  </w:r>
                </w:p>
              </w:tc>
              <w:tc>
                <w:tcPr>
                  <w:tcW w:w="444" w:type="pct"/>
                  <w:vAlign w:val="center"/>
                </w:tcPr>
                <w:p w14:paraId="7A560E7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Z</w:t>
                  </w:r>
                </w:p>
              </w:tc>
              <w:tc>
                <w:tcPr>
                  <w:tcW w:w="445" w:type="pct"/>
                  <w:vMerge w:val="continue"/>
                  <w:vAlign w:val="center"/>
                </w:tcPr>
                <w:p w14:paraId="7788DBB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711" w:type="pct"/>
                  <w:vMerge w:val="continue"/>
                  <w:vAlign w:val="center"/>
                </w:tcPr>
                <w:p w14:paraId="43DC6A1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84" w:type="pct"/>
                  <w:vMerge w:val="continue"/>
                  <w:vAlign w:val="center"/>
                </w:tcPr>
                <w:p w14:paraId="1111998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r>
            <w:tr w14:paraId="247AF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4" w:type="pct"/>
                  <w:vAlign w:val="center"/>
                </w:tcPr>
                <w:p w14:paraId="00E8FAF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p>
              </w:tc>
              <w:tc>
                <w:tcPr>
                  <w:tcW w:w="757" w:type="pct"/>
                  <w:vAlign w:val="center"/>
                </w:tcPr>
                <w:p w14:paraId="1A77D5D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引风机</w:t>
                  </w:r>
                </w:p>
              </w:tc>
              <w:tc>
                <w:tcPr>
                  <w:tcW w:w="764" w:type="pct"/>
                  <w:vAlign w:val="center"/>
                </w:tcPr>
                <w:p w14:paraId="08CB3AA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color w:val="auto"/>
                    </w:rPr>
                  </w:pPr>
                  <w:r>
                    <w:rPr>
                      <w:rFonts w:hint="eastAsia" w:ascii="Times New Roman" w:hAnsi="Times New Roman"/>
                      <w:color w:val="auto"/>
                      <w:lang w:val="en-US"/>
                    </w:rPr>
                    <w:t>40</w:t>
                  </w:r>
                  <w:r>
                    <w:rPr>
                      <w:rFonts w:hint="default" w:ascii="Times New Roman" w:hAnsi="Times New Roman"/>
                      <w:color w:val="auto"/>
                    </w:rPr>
                    <w:t>00m</w:t>
                  </w:r>
                  <w:r>
                    <w:rPr>
                      <w:rFonts w:hint="default" w:ascii="Times New Roman" w:hAnsi="Times New Roman"/>
                      <w:color w:val="auto"/>
                      <w:vertAlign w:val="superscript"/>
                    </w:rPr>
                    <w:t>3</w:t>
                  </w:r>
                  <w:r>
                    <w:rPr>
                      <w:rFonts w:hint="default" w:ascii="Times New Roman" w:hAnsi="Times New Roman"/>
                      <w:color w:val="auto"/>
                    </w:rPr>
                    <w:t>/h</w:t>
                  </w:r>
                </w:p>
              </w:tc>
              <w:tc>
                <w:tcPr>
                  <w:tcW w:w="484" w:type="pct"/>
                  <w:vAlign w:val="center"/>
                </w:tcPr>
                <w:p w14:paraId="0549EDC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1</w:t>
                  </w:r>
                </w:p>
              </w:tc>
              <w:tc>
                <w:tcPr>
                  <w:tcW w:w="334" w:type="pct"/>
                  <w:vAlign w:val="center"/>
                </w:tcPr>
                <w:p w14:paraId="35703D0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40</w:t>
                  </w:r>
                </w:p>
              </w:tc>
              <w:tc>
                <w:tcPr>
                  <w:tcW w:w="349" w:type="pct"/>
                  <w:vAlign w:val="center"/>
                </w:tcPr>
                <w:p w14:paraId="002DEFF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17</w:t>
                  </w:r>
                </w:p>
              </w:tc>
              <w:tc>
                <w:tcPr>
                  <w:tcW w:w="444" w:type="pct"/>
                  <w:vAlign w:val="center"/>
                </w:tcPr>
                <w:p w14:paraId="3054F30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445" w:type="pct"/>
                  <w:vAlign w:val="center"/>
                </w:tcPr>
                <w:p w14:paraId="3072534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85</w:t>
                  </w:r>
                </w:p>
              </w:tc>
              <w:tc>
                <w:tcPr>
                  <w:tcW w:w="711" w:type="pct"/>
                  <w:vAlign w:val="center"/>
                </w:tcPr>
                <w:p w14:paraId="3BA2BF3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减振、</w:t>
                  </w:r>
                  <w:r>
                    <w:rPr>
                      <w:rFonts w:hint="eastAsia" w:ascii="Times New Roman" w:hAnsi="Times New Roman"/>
                      <w:color w:val="auto"/>
                      <w:lang w:val="en-US"/>
                    </w:rPr>
                    <w:t>隔声</w:t>
                  </w:r>
                </w:p>
              </w:tc>
              <w:tc>
                <w:tcPr>
                  <w:tcW w:w="384" w:type="pct"/>
                  <w:vAlign w:val="center"/>
                </w:tcPr>
                <w:p w14:paraId="25D8FA7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r w14:paraId="581E9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4" w:type="pct"/>
                  <w:vAlign w:val="center"/>
                </w:tcPr>
                <w:p w14:paraId="2C07B84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w:t>
                  </w:r>
                </w:p>
              </w:tc>
              <w:tc>
                <w:tcPr>
                  <w:tcW w:w="757" w:type="pct"/>
                  <w:vAlign w:val="center"/>
                </w:tcPr>
                <w:p w14:paraId="513C91D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引风机</w:t>
                  </w:r>
                </w:p>
              </w:tc>
              <w:tc>
                <w:tcPr>
                  <w:tcW w:w="764" w:type="pct"/>
                  <w:vAlign w:val="center"/>
                </w:tcPr>
                <w:p w14:paraId="444010E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w:t>
                  </w:r>
                  <w:r>
                    <w:rPr>
                      <w:rFonts w:hint="default" w:ascii="Times New Roman" w:hAnsi="Times New Roman"/>
                      <w:color w:val="auto"/>
                    </w:rPr>
                    <w:t>500m</w:t>
                  </w:r>
                  <w:r>
                    <w:rPr>
                      <w:rFonts w:hint="default" w:ascii="Times New Roman" w:hAnsi="Times New Roman"/>
                      <w:color w:val="auto"/>
                      <w:vertAlign w:val="superscript"/>
                    </w:rPr>
                    <w:t>3</w:t>
                  </w:r>
                  <w:r>
                    <w:rPr>
                      <w:rFonts w:hint="default" w:ascii="Times New Roman" w:hAnsi="Times New Roman"/>
                      <w:color w:val="auto"/>
                    </w:rPr>
                    <w:t>/h</w:t>
                  </w:r>
                </w:p>
              </w:tc>
              <w:tc>
                <w:tcPr>
                  <w:tcW w:w="484" w:type="pct"/>
                  <w:vAlign w:val="center"/>
                </w:tcPr>
                <w:p w14:paraId="3ACA368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w:t>
                  </w:r>
                </w:p>
              </w:tc>
              <w:tc>
                <w:tcPr>
                  <w:tcW w:w="334" w:type="pct"/>
                  <w:vAlign w:val="center"/>
                </w:tcPr>
                <w:p w14:paraId="33CC820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9</w:t>
                  </w:r>
                </w:p>
              </w:tc>
              <w:tc>
                <w:tcPr>
                  <w:tcW w:w="349" w:type="pct"/>
                  <w:vAlign w:val="center"/>
                </w:tcPr>
                <w:p w14:paraId="28479BD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15</w:t>
                  </w:r>
                </w:p>
              </w:tc>
              <w:tc>
                <w:tcPr>
                  <w:tcW w:w="444" w:type="pct"/>
                  <w:vAlign w:val="center"/>
                </w:tcPr>
                <w:p w14:paraId="1E6690C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445" w:type="pct"/>
                  <w:vAlign w:val="center"/>
                </w:tcPr>
                <w:p w14:paraId="3FCC57D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85</w:t>
                  </w:r>
                </w:p>
              </w:tc>
              <w:tc>
                <w:tcPr>
                  <w:tcW w:w="711" w:type="pct"/>
                  <w:vAlign w:val="center"/>
                </w:tcPr>
                <w:p w14:paraId="3ADB24B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减振、</w:t>
                  </w:r>
                  <w:r>
                    <w:rPr>
                      <w:rFonts w:hint="eastAsia" w:ascii="Times New Roman" w:hAnsi="Times New Roman"/>
                      <w:color w:val="auto"/>
                      <w:lang w:val="en-US"/>
                    </w:rPr>
                    <w:t>隔声</w:t>
                  </w:r>
                </w:p>
              </w:tc>
              <w:tc>
                <w:tcPr>
                  <w:tcW w:w="384" w:type="pct"/>
                  <w:vAlign w:val="center"/>
                </w:tcPr>
                <w:p w14:paraId="6F2DB29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r w14:paraId="24358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4" w:type="pct"/>
                  <w:vAlign w:val="center"/>
                </w:tcPr>
                <w:p w14:paraId="73CF887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3</w:t>
                  </w:r>
                </w:p>
              </w:tc>
              <w:tc>
                <w:tcPr>
                  <w:tcW w:w="757" w:type="pct"/>
                  <w:vAlign w:val="center"/>
                </w:tcPr>
                <w:p w14:paraId="286B1BC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引风机</w:t>
                  </w:r>
                </w:p>
              </w:tc>
              <w:tc>
                <w:tcPr>
                  <w:tcW w:w="764" w:type="pct"/>
                  <w:vAlign w:val="center"/>
                </w:tcPr>
                <w:p w14:paraId="10E1E98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color w:val="auto"/>
                      <w:lang w:val="en-US"/>
                    </w:rPr>
                  </w:pPr>
                  <w:r>
                    <w:rPr>
                      <w:rFonts w:hint="eastAsia" w:ascii="Times New Roman" w:hAnsi="Times New Roman"/>
                      <w:color w:val="auto"/>
                      <w:lang w:val="en-US"/>
                    </w:rPr>
                    <w:t>1000</w:t>
                  </w:r>
                  <w:r>
                    <w:rPr>
                      <w:rFonts w:hint="default" w:ascii="Times New Roman" w:hAnsi="Times New Roman"/>
                      <w:color w:val="auto"/>
                    </w:rPr>
                    <w:t>m</w:t>
                  </w:r>
                  <w:r>
                    <w:rPr>
                      <w:rFonts w:hint="default" w:ascii="Times New Roman" w:hAnsi="Times New Roman"/>
                      <w:color w:val="auto"/>
                      <w:vertAlign w:val="superscript"/>
                    </w:rPr>
                    <w:t>3</w:t>
                  </w:r>
                  <w:r>
                    <w:rPr>
                      <w:rFonts w:hint="default" w:ascii="Times New Roman" w:hAnsi="Times New Roman"/>
                      <w:color w:val="auto"/>
                    </w:rPr>
                    <w:t>/h</w:t>
                  </w:r>
                </w:p>
              </w:tc>
              <w:tc>
                <w:tcPr>
                  <w:tcW w:w="484" w:type="pct"/>
                  <w:vAlign w:val="center"/>
                </w:tcPr>
                <w:p w14:paraId="4519A8E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w:t>
                  </w:r>
                </w:p>
              </w:tc>
              <w:tc>
                <w:tcPr>
                  <w:tcW w:w="334" w:type="pct"/>
                  <w:vAlign w:val="center"/>
                </w:tcPr>
                <w:p w14:paraId="4547AFD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6</w:t>
                  </w:r>
                </w:p>
              </w:tc>
              <w:tc>
                <w:tcPr>
                  <w:tcW w:w="349" w:type="pct"/>
                  <w:vAlign w:val="center"/>
                </w:tcPr>
                <w:p w14:paraId="6653840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30</w:t>
                  </w:r>
                </w:p>
              </w:tc>
              <w:tc>
                <w:tcPr>
                  <w:tcW w:w="444" w:type="pct"/>
                  <w:vAlign w:val="center"/>
                </w:tcPr>
                <w:p w14:paraId="600B745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445" w:type="pct"/>
                  <w:vAlign w:val="center"/>
                </w:tcPr>
                <w:p w14:paraId="40DD7D8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85</w:t>
                  </w:r>
                </w:p>
              </w:tc>
              <w:tc>
                <w:tcPr>
                  <w:tcW w:w="711" w:type="pct"/>
                  <w:vAlign w:val="center"/>
                </w:tcPr>
                <w:p w14:paraId="5ACD8E5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减振、</w:t>
                  </w:r>
                  <w:r>
                    <w:rPr>
                      <w:rFonts w:hint="eastAsia" w:ascii="Times New Roman" w:hAnsi="Times New Roman"/>
                      <w:color w:val="auto"/>
                      <w:lang w:val="en-US"/>
                    </w:rPr>
                    <w:t>隔声</w:t>
                  </w:r>
                </w:p>
              </w:tc>
              <w:tc>
                <w:tcPr>
                  <w:tcW w:w="384" w:type="pct"/>
                  <w:vAlign w:val="center"/>
                </w:tcPr>
                <w:p w14:paraId="5277E17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r w14:paraId="6355D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4" w:type="pct"/>
                  <w:vAlign w:val="center"/>
                </w:tcPr>
                <w:p w14:paraId="30E371B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4</w:t>
                  </w:r>
                </w:p>
              </w:tc>
              <w:tc>
                <w:tcPr>
                  <w:tcW w:w="757" w:type="pct"/>
                  <w:vAlign w:val="center"/>
                </w:tcPr>
                <w:p w14:paraId="3A09179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冷却塔</w:t>
                  </w:r>
                </w:p>
              </w:tc>
              <w:tc>
                <w:tcPr>
                  <w:tcW w:w="764" w:type="pct"/>
                  <w:vAlign w:val="center"/>
                </w:tcPr>
                <w:p w14:paraId="4498212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r>
                    <w:rPr>
                      <w:rFonts w:hint="default" w:ascii="Times New Roman" w:hAnsi="Times New Roman"/>
                      <w:color w:val="auto"/>
                    </w:rPr>
                    <w:t>5</w:t>
                  </w:r>
                  <w:r>
                    <w:rPr>
                      <w:rFonts w:hint="eastAsia" w:ascii="Times New Roman" w:hAnsi="Times New Roman"/>
                      <w:color w:val="auto"/>
                    </w:rPr>
                    <w:t>m</w:t>
                  </w:r>
                  <w:r>
                    <w:rPr>
                      <w:rFonts w:hint="eastAsia" w:ascii="Times New Roman" w:hAnsi="Times New Roman"/>
                      <w:color w:val="auto"/>
                      <w:vertAlign w:val="superscript"/>
                    </w:rPr>
                    <w:t>3</w:t>
                  </w:r>
                  <w:r>
                    <w:rPr>
                      <w:rFonts w:hint="eastAsia" w:ascii="Times New Roman" w:hAnsi="Times New Roman"/>
                      <w:color w:val="auto"/>
                    </w:rPr>
                    <w:t>/h</w:t>
                  </w:r>
                </w:p>
              </w:tc>
              <w:tc>
                <w:tcPr>
                  <w:tcW w:w="484" w:type="pct"/>
                  <w:vAlign w:val="center"/>
                </w:tcPr>
                <w:p w14:paraId="1ACC820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p>
              </w:tc>
              <w:tc>
                <w:tcPr>
                  <w:tcW w:w="334" w:type="pct"/>
                  <w:vAlign w:val="center"/>
                </w:tcPr>
                <w:p w14:paraId="1362C66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r>
                    <w:rPr>
                      <w:rFonts w:hint="default" w:ascii="Times New Roman" w:hAnsi="Times New Roman"/>
                      <w:color w:val="auto"/>
                    </w:rPr>
                    <w:t>0</w:t>
                  </w:r>
                </w:p>
              </w:tc>
              <w:tc>
                <w:tcPr>
                  <w:tcW w:w="349" w:type="pct"/>
                  <w:vAlign w:val="center"/>
                </w:tcPr>
                <w:p w14:paraId="2C7640E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w:t>
                  </w:r>
                  <w:r>
                    <w:rPr>
                      <w:rFonts w:hint="default" w:ascii="Times New Roman" w:hAnsi="Times New Roman"/>
                      <w:color w:val="auto"/>
                    </w:rPr>
                    <w:t>5</w:t>
                  </w:r>
                </w:p>
              </w:tc>
              <w:tc>
                <w:tcPr>
                  <w:tcW w:w="444" w:type="pct"/>
                  <w:vAlign w:val="center"/>
                </w:tcPr>
                <w:p w14:paraId="62C1DC0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445" w:type="pct"/>
                  <w:vAlign w:val="center"/>
                </w:tcPr>
                <w:p w14:paraId="02706D2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85</w:t>
                  </w:r>
                </w:p>
              </w:tc>
              <w:tc>
                <w:tcPr>
                  <w:tcW w:w="711" w:type="pct"/>
                  <w:vAlign w:val="center"/>
                </w:tcPr>
                <w:p w14:paraId="742A26A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减振、</w:t>
                  </w:r>
                  <w:r>
                    <w:rPr>
                      <w:rFonts w:hint="eastAsia" w:ascii="Times New Roman" w:hAnsi="Times New Roman"/>
                      <w:color w:val="auto"/>
                      <w:lang w:val="en-US"/>
                    </w:rPr>
                    <w:t>隔声</w:t>
                  </w:r>
                </w:p>
              </w:tc>
              <w:tc>
                <w:tcPr>
                  <w:tcW w:w="384" w:type="pct"/>
                  <w:vAlign w:val="center"/>
                </w:tcPr>
                <w:p w14:paraId="39D95BC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r w14:paraId="29338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4" w:type="pct"/>
                  <w:vAlign w:val="center"/>
                </w:tcPr>
                <w:p w14:paraId="060A910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w:t>
                  </w:r>
                </w:p>
              </w:tc>
              <w:tc>
                <w:tcPr>
                  <w:tcW w:w="757" w:type="pct"/>
                  <w:vAlign w:val="center"/>
                </w:tcPr>
                <w:p w14:paraId="37F5E53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空压机组</w:t>
                  </w:r>
                </w:p>
              </w:tc>
              <w:tc>
                <w:tcPr>
                  <w:tcW w:w="764" w:type="pct"/>
                  <w:vAlign w:val="center"/>
                </w:tcPr>
                <w:p w14:paraId="7B2F28B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w:t>
                  </w:r>
                  <w:r>
                    <w:rPr>
                      <w:rFonts w:hint="default" w:ascii="Times New Roman" w:hAnsi="Times New Roman"/>
                      <w:color w:val="auto"/>
                    </w:rPr>
                    <w:t>.8</w:t>
                  </w:r>
                  <w:r>
                    <w:rPr>
                      <w:rFonts w:hint="eastAsia" w:ascii="Times New Roman" w:hAnsi="Times New Roman"/>
                      <w:color w:val="auto"/>
                    </w:rPr>
                    <w:t>m</w:t>
                  </w:r>
                  <w:r>
                    <w:rPr>
                      <w:rFonts w:hint="eastAsia" w:ascii="Times New Roman" w:hAnsi="Times New Roman"/>
                      <w:color w:val="auto"/>
                      <w:vertAlign w:val="superscript"/>
                    </w:rPr>
                    <w:t>3</w:t>
                  </w:r>
                  <w:r>
                    <w:rPr>
                      <w:rFonts w:hint="eastAsia" w:ascii="Times New Roman" w:hAnsi="Times New Roman"/>
                      <w:color w:val="auto"/>
                    </w:rPr>
                    <w:t>/min</w:t>
                  </w:r>
                </w:p>
              </w:tc>
              <w:tc>
                <w:tcPr>
                  <w:tcW w:w="484" w:type="pct"/>
                  <w:vAlign w:val="center"/>
                </w:tcPr>
                <w:p w14:paraId="6511A38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1</w:t>
                  </w:r>
                </w:p>
              </w:tc>
              <w:tc>
                <w:tcPr>
                  <w:tcW w:w="334" w:type="pct"/>
                  <w:vAlign w:val="center"/>
                </w:tcPr>
                <w:p w14:paraId="26C8E78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1</w:t>
                  </w:r>
                  <w:r>
                    <w:rPr>
                      <w:rFonts w:hint="default" w:ascii="Times New Roman" w:hAnsi="Times New Roman"/>
                      <w:color w:val="auto"/>
                    </w:rPr>
                    <w:t>4</w:t>
                  </w:r>
                </w:p>
              </w:tc>
              <w:tc>
                <w:tcPr>
                  <w:tcW w:w="349" w:type="pct"/>
                  <w:vAlign w:val="center"/>
                </w:tcPr>
                <w:p w14:paraId="3DFDF1A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2</w:t>
                  </w:r>
                  <w:r>
                    <w:rPr>
                      <w:rFonts w:hint="default" w:ascii="Times New Roman" w:hAnsi="Times New Roman"/>
                      <w:color w:val="auto"/>
                    </w:rPr>
                    <w:t>5</w:t>
                  </w:r>
                </w:p>
              </w:tc>
              <w:tc>
                <w:tcPr>
                  <w:tcW w:w="444" w:type="pct"/>
                  <w:vAlign w:val="center"/>
                </w:tcPr>
                <w:p w14:paraId="4459F29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445" w:type="pct"/>
                  <w:vAlign w:val="center"/>
                </w:tcPr>
                <w:p w14:paraId="03A3527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default" w:ascii="Times New Roman" w:hAnsi="Times New Roman"/>
                      <w:color w:val="auto"/>
                    </w:rPr>
                    <w:t>80</w:t>
                  </w:r>
                </w:p>
              </w:tc>
              <w:tc>
                <w:tcPr>
                  <w:tcW w:w="711" w:type="pct"/>
                  <w:vAlign w:val="center"/>
                </w:tcPr>
                <w:p w14:paraId="4C0B3C3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减振、</w:t>
                  </w:r>
                  <w:r>
                    <w:rPr>
                      <w:rFonts w:hint="eastAsia" w:ascii="Times New Roman" w:hAnsi="Times New Roman"/>
                      <w:color w:val="auto"/>
                      <w:lang w:val="en-US"/>
                    </w:rPr>
                    <w:t>隔声</w:t>
                  </w:r>
                </w:p>
              </w:tc>
              <w:tc>
                <w:tcPr>
                  <w:tcW w:w="384" w:type="pct"/>
                  <w:vAlign w:val="center"/>
                </w:tcPr>
                <w:p w14:paraId="3B77C3C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全天</w:t>
                  </w:r>
                </w:p>
              </w:tc>
            </w:tr>
          </w:tbl>
          <w:p w14:paraId="507B8360">
            <w:pPr>
              <w:keepNext w:val="0"/>
              <w:keepLines w:val="0"/>
              <w:suppressLineNumbers w:val="0"/>
              <w:snapToGrid w:val="0"/>
              <w:spacing w:before="0" w:beforeAutospacing="0" w:after="0" w:afterAutospacing="0"/>
              <w:ind w:left="0" w:right="0"/>
              <w:rPr>
                <w:rFonts w:hint="default" w:eastAsia="仿宋_GB2312"/>
                <w:color w:val="auto"/>
                <w:szCs w:val="21"/>
              </w:rPr>
            </w:pPr>
            <w:r>
              <w:rPr>
                <w:rFonts w:hint="default" w:eastAsia="仿宋_GB2312"/>
                <w:color w:val="auto"/>
                <w:szCs w:val="21"/>
              </w:rPr>
              <w:t>备注：以车间西南角为原点建立模型坐标系，取东西向为X坐标轴、南北向为Y坐标轴。</w:t>
            </w:r>
          </w:p>
          <w:p w14:paraId="69C4964F">
            <w:pPr>
              <w:keepNext w:val="0"/>
              <w:keepLines w:val="0"/>
              <w:widowControl w:val="0"/>
              <w:suppressLineNumbers w:val="0"/>
              <w:spacing w:before="0" w:beforeAutospacing="0" w:after="0" w:afterAutospacing="0"/>
              <w:ind w:left="0" w:right="0"/>
              <w:jc w:val="center"/>
              <w:rPr>
                <w:rFonts w:hint="default" w:ascii="Times New Roman" w:hAnsi="Times New Roman"/>
                <w:b/>
                <w:bCs/>
                <w:color w:val="auto"/>
                <w:sz w:val="24"/>
                <w:szCs w:val="24"/>
              </w:rPr>
            </w:pPr>
            <w:r>
              <w:rPr>
                <w:rFonts w:hint="eastAsia" w:eastAsia="仿宋_GB2312"/>
                <w:b/>
                <w:color w:val="auto"/>
                <w:sz w:val="22"/>
                <w:szCs w:val="22"/>
              </w:rPr>
              <w:t>表</w:t>
            </w:r>
            <w:r>
              <w:rPr>
                <w:rFonts w:hint="eastAsia" w:eastAsia="仿宋_GB2312"/>
                <w:b/>
                <w:color w:val="auto"/>
                <w:sz w:val="22"/>
                <w:szCs w:val="22"/>
                <w:lang w:val="en-US" w:eastAsia="zh-CN"/>
              </w:rPr>
              <w:t>4-27</w:t>
            </w:r>
            <w:r>
              <w:rPr>
                <w:rFonts w:hint="default" w:eastAsia="仿宋_GB2312"/>
                <w:b/>
                <w:color w:val="auto"/>
                <w:sz w:val="22"/>
                <w:szCs w:val="22"/>
              </w:rPr>
              <w:t xml:space="preserve"> </w:t>
            </w:r>
            <w:r>
              <w:rPr>
                <w:rFonts w:hint="eastAsia" w:eastAsia="仿宋_GB2312"/>
                <w:b/>
                <w:color w:val="auto"/>
                <w:sz w:val="22"/>
                <w:szCs w:val="22"/>
              </w:rPr>
              <w:t>本项目噪声污染源产生概况（室内源）</w:t>
            </w:r>
          </w:p>
          <w:tbl>
            <w:tblPr>
              <w:tblStyle w:val="167"/>
              <w:tblW w:w="98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829"/>
              <w:gridCol w:w="941"/>
              <w:gridCol w:w="929"/>
              <w:gridCol w:w="329"/>
              <w:gridCol w:w="324"/>
              <w:gridCol w:w="324"/>
              <w:gridCol w:w="381"/>
              <w:gridCol w:w="663"/>
              <w:gridCol w:w="534"/>
              <w:gridCol w:w="599"/>
              <w:gridCol w:w="873"/>
              <w:gridCol w:w="688"/>
              <w:gridCol w:w="721"/>
              <w:gridCol w:w="491"/>
              <w:gridCol w:w="1176"/>
            </w:tblGrid>
            <w:tr w14:paraId="3D9EB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pct"/>
                  <w:vMerge w:val="restart"/>
                  <w:vAlign w:val="center"/>
                </w:tcPr>
                <w:p w14:paraId="1521618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建筑物名称</w:t>
                  </w:r>
                </w:p>
              </w:tc>
              <w:tc>
                <w:tcPr>
                  <w:tcW w:w="480" w:type="pct"/>
                  <w:vMerge w:val="restart"/>
                  <w:vAlign w:val="center"/>
                </w:tcPr>
                <w:p w14:paraId="6A2EDA2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声源名称</w:t>
                  </w:r>
                </w:p>
              </w:tc>
              <w:tc>
                <w:tcPr>
                  <w:tcW w:w="473" w:type="pct"/>
                  <w:vMerge w:val="restart"/>
                  <w:vAlign w:val="center"/>
                </w:tcPr>
                <w:p w14:paraId="3BDEF2F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型号</w:t>
                  </w:r>
                </w:p>
              </w:tc>
              <w:tc>
                <w:tcPr>
                  <w:tcW w:w="168" w:type="pct"/>
                  <w:vMerge w:val="restart"/>
                  <w:vAlign w:val="center"/>
                </w:tcPr>
                <w:p w14:paraId="1650EB1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设备</w:t>
                  </w:r>
                </w:p>
                <w:p w14:paraId="3D90A21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台数</w:t>
                  </w:r>
                </w:p>
              </w:tc>
              <w:tc>
                <w:tcPr>
                  <w:tcW w:w="524" w:type="pct"/>
                  <w:gridSpan w:val="3"/>
                  <w:vAlign w:val="center"/>
                </w:tcPr>
                <w:p w14:paraId="7E7A0E8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空间相对位置/m</w:t>
                  </w:r>
                </w:p>
              </w:tc>
              <w:tc>
                <w:tcPr>
                  <w:tcW w:w="338" w:type="pct"/>
                  <w:vMerge w:val="restart"/>
                  <w:vAlign w:val="center"/>
                </w:tcPr>
                <w:p w14:paraId="2C0DB0B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声源源强d</w:t>
                  </w:r>
                  <w:r>
                    <w:rPr>
                      <w:rFonts w:hint="default" w:ascii="Times New Roman" w:hAnsi="Times New Roman"/>
                      <w:b/>
                      <w:bCs/>
                      <w:color w:val="auto"/>
                    </w:rPr>
                    <w:t>B</w:t>
                  </w:r>
                  <w:r>
                    <w:rPr>
                      <w:rFonts w:hint="eastAsia" w:ascii="Times New Roman" w:hAnsi="Times New Roman"/>
                      <w:b/>
                      <w:bCs/>
                      <w:color w:val="auto"/>
                    </w:rPr>
                    <w:t>(A)</w:t>
                  </w:r>
                </w:p>
              </w:tc>
              <w:tc>
                <w:tcPr>
                  <w:tcW w:w="272" w:type="pct"/>
                  <w:vMerge w:val="restart"/>
                  <w:vAlign w:val="center"/>
                </w:tcPr>
                <w:p w14:paraId="7D5F8CB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声源</w:t>
                  </w:r>
                </w:p>
                <w:p w14:paraId="7791817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控制措施</w:t>
                  </w:r>
                </w:p>
              </w:tc>
              <w:tc>
                <w:tcPr>
                  <w:tcW w:w="305" w:type="pct"/>
                  <w:vMerge w:val="restart"/>
                  <w:vAlign w:val="center"/>
                </w:tcPr>
                <w:p w14:paraId="3D3E663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距室内边界距离/m</w:t>
                  </w:r>
                </w:p>
              </w:tc>
              <w:tc>
                <w:tcPr>
                  <w:tcW w:w="445" w:type="pct"/>
                  <w:vMerge w:val="restart"/>
                  <w:vAlign w:val="center"/>
                </w:tcPr>
                <w:p w14:paraId="4C57DDA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室内边界声级/dB（A）</w:t>
                  </w:r>
                </w:p>
              </w:tc>
              <w:tc>
                <w:tcPr>
                  <w:tcW w:w="350" w:type="pct"/>
                  <w:vMerge w:val="restart"/>
                  <w:vAlign w:val="center"/>
                </w:tcPr>
                <w:p w14:paraId="026C792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建筑物插入损失/dB（A）</w:t>
                  </w:r>
                </w:p>
              </w:tc>
              <w:tc>
                <w:tcPr>
                  <w:tcW w:w="617" w:type="pct"/>
                  <w:gridSpan w:val="2"/>
                  <w:vAlign w:val="center"/>
                </w:tcPr>
                <w:p w14:paraId="03D3D64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建筑物外噪声</w:t>
                  </w:r>
                </w:p>
              </w:tc>
              <w:tc>
                <w:tcPr>
                  <w:tcW w:w="599" w:type="pct"/>
                  <w:vMerge w:val="restart"/>
                  <w:vAlign w:val="center"/>
                </w:tcPr>
                <w:p w14:paraId="417C327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运行</w:t>
                  </w:r>
                </w:p>
                <w:p w14:paraId="336A13F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时段</w:t>
                  </w:r>
                </w:p>
              </w:tc>
            </w:tr>
            <w:tr w14:paraId="7CFE2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pct"/>
                  <w:vMerge w:val="continue"/>
                  <w:vAlign w:val="center"/>
                </w:tcPr>
                <w:p w14:paraId="46358DE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480" w:type="pct"/>
                  <w:vMerge w:val="continue"/>
                  <w:vAlign w:val="center"/>
                </w:tcPr>
                <w:p w14:paraId="28A6517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473" w:type="pct"/>
                  <w:vMerge w:val="continue"/>
                  <w:vAlign w:val="center"/>
                </w:tcPr>
                <w:p w14:paraId="42B6168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168" w:type="pct"/>
                  <w:vMerge w:val="continue"/>
                  <w:vAlign w:val="center"/>
                </w:tcPr>
                <w:p w14:paraId="473C4A7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165" w:type="pct"/>
                  <w:vAlign w:val="center"/>
                </w:tcPr>
                <w:p w14:paraId="61C32DE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X</w:t>
                  </w:r>
                </w:p>
              </w:tc>
              <w:tc>
                <w:tcPr>
                  <w:tcW w:w="165" w:type="pct"/>
                  <w:vAlign w:val="center"/>
                </w:tcPr>
                <w:p w14:paraId="0EA13C7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Y</w:t>
                  </w:r>
                </w:p>
              </w:tc>
              <w:tc>
                <w:tcPr>
                  <w:tcW w:w="193" w:type="pct"/>
                  <w:vAlign w:val="center"/>
                </w:tcPr>
                <w:p w14:paraId="3A5EF97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b/>
                      <w:bCs/>
                      <w:color w:val="auto"/>
                    </w:rPr>
                    <w:t>Z</w:t>
                  </w:r>
                </w:p>
              </w:tc>
              <w:tc>
                <w:tcPr>
                  <w:tcW w:w="338" w:type="pct"/>
                  <w:vMerge w:val="continue"/>
                  <w:vAlign w:val="center"/>
                </w:tcPr>
                <w:p w14:paraId="24B7312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272" w:type="pct"/>
                  <w:vMerge w:val="continue"/>
                  <w:vAlign w:val="center"/>
                </w:tcPr>
                <w:p w14:paraId="3067A23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05" w:type="pct"/>
                  <w:vMerge w:val="continue"/>
                  <w:vAlign w:val="center"/>
                </w:tcPr>
                <w:p w14:paraId="70243E8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445" w:type="pct"/>
                  <w:vMerge w:val="continue"/>
                  <w:vAlign w:val="center"/>
                </w:tcPr>
                <w:p w14:paraId="3229E8C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50" w:type="pct"/>
                  <w:vMerge w:val="continue"/>
                  <w:vAlign w:val="center"/>
                </w:tcPr>
                <w:p w14:paraId="5AA7236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c>
                <w:tcPr>
                  <w:tcW w:w="367" w:type="pct"/>
                  <w:vAlign w:val="center"/>
                </w:tcPr>
                <w:p w14:paraId="233C6D8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声压级/dB(A)</w:t>
                  </w:r>
                </w:p>
              </w:tc>
              <w:tc>
                <w:tcPr>
                  <w:tcW w:w="249" w:type="pct"/>
                  <w:vAlign w:val="center"/>
                </w:tcPr>
                <w:p w14:paraId="7710521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lang w:val="en-US"/>
                    </w:rPr>
                  </w:pPr>
                  <w:r>
                    <w:rPr>
                      <w:rFonts w:hint="eastAsia" w:ascii="Times New Roman" w:hAnsi="Times New Roman"/>
                      <w:b/>
                      <w:bCs/>
                      <w:color w:val="auto"/>
                      <w:lang w:val="en-US"/>
                    </w:rPr>
                    <w:t>建筑物外距离</w:t>
                  </w:r>
                </w:p>
              </w:tc>
              <w:tc>
                <w:tcPr>
                  <w:tcW w:w="599" w:type="pct"/>
                  <w:vMerge w:val="continue"/>
                  <w:vAlign w:val="center"/>
                </w:tcPr>
                <w:p w14:paraId="33A9BC8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p>
              </w:tc>
            </w:tr>
            <w:tr w14:paraId="005F7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23" w:type="pct"/>
                  <w:vAlign w:val="center"/>
                </w:tcPr>
                <w:p w14:paraId="725F843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成品冷库</w:t>
                  </w:r>
                </w:p>
              </w:tc>
              <w:tc>
                <w:tcPr>
                  <w:tcW w:w="480" w:type="pct"/>
                  <w:vAlign w:val="center"/>
                </w:tcPr>
                <w:p w14:paraId="140F9C2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制冷机组</w:t>
                  </w:r>
                </w:p>
              </w:tc>
              <w:tc>
                <w:tcPr>
                  <w:tcW w:w="473" w:type="pct"/>
                  <w:vAlign w:val="center"/>
                </w:tcPr>
                <w:p w14:paraId="6868BE5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color w:val="auto"/>
                    </w:rPr>
                  </w:pPr>
                  <w:r>
                    <w:rPr>
                      <w:rFonts w:hint="eastAsia" w:ascii="Times New Roman" w:hAnsi="Times New Roman"/>
                      <w:color w:val="auto"/>
                      <w:lang w:val="en-US"/>
                    </w:rPr>
                    <w:t>30</w:t>
                  </w:r>
                  <w:r>
                    <w:rPr>
                      <w:rFonts w:hint="default" w:ascii="Times New Roman" w:hAnsi="Times New Roman"/>
                      <w:color w:val="auto"/>
                    </w:rPr>
                    <w:t>00m</w:t>
                  </w:r>
                  <w:r>
                    <w:rPr>
                      <w:rFonts w:hint="default" w:ascii="Times New Roman" w:hAnsi="Times New Roman"/>
                      <w:color w:val="auto"/>
                      <w:vertAlign w:val="superscript"/>
                    </w:rPr>
                    <w:t>3</w:t>
                  </w:r>
                  <w:r>
                    <w:rPr>
                      <w:rFonts w:hint="default" w:ascii="Times New Roman" w:hAnsi="Times New Roman"/>
                      <w:color w:val="auto"/>
                    </w:rPr>
                    <w:t>/h</w:t>
                  </w:r>
                </w:p>
              </w:tc>
              <w:tc>
                <w:tcPr>
                  <w:tcW w:w="168" w:type="pct"/>
                  <w:vAlign w:val="center"/>
                </w:tcPr>
                <w:p w14:paraId="703EFBB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lang w:val="en-US"/>
                    </w:rPr>
                    <w:t>1</w:t>
                  </w:r>
                </w:p>
              </w:tc>
              <w:tc>
                <w:tcPr>
                  <w:tcW w:w="165" w:type="pct"/>
                  <w:vAlign w:val="center"/>
                </w:tcPr>
                <w:p w14:paraId="7B2C507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42</w:t>
                  </w:r>
                </w:p>
              </w:tc>
              <w:tc>
                <w:tcPr>
                  <w:tcW w:w="165" w:type="pct"/>
                  <w:vAlign w:val="center"/>
                </w:tcPr>
                <w:p w14:paraId="01C00F4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18</w:t>
                  </w:r>
                </w:p>
              </w:tc>
              <w:tc>
                <w:tcPr>
                  <w:tcW w:w="193" w:type="pct"/>
                  <w:vAlign w:val="center"/>
                </w:tcPr>
                <w:p w14:paraId="78F5927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0.5</w:t>
                  </w:r>
                </w:p>
              </w:tc>
              <w:tc>
                <w:tcPr>
                  <w:tcW w:w="338" w:type="pct"/>
                  <w:vAlign w:val="center"/>
                </w:tcPr>
                <w:p w14:paraId="248C40D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8</w:t>
                  </w:r>
                  <w:r>
                    <w:rPr>
                      <w:rFonts w:hint="eastAsia" w:ascii="Times New Roman" w:hAnsi="Times New Roman"/>
                      <w:color w:val="auto"/>
                      <w:lang w:val="en-US"/>
                    </w:rPr>
                    <w:t>0</w:t>
                  </w:r>
                </w:p>
              </w:tc>
              <w:tc>
                <w:tcPr>
                  <w:tcW w:w="272" w:type="pct"/>
                  <w:vAlign w:val="center"/>
                </w:tcPr>
                <w:p w14:paraId="0BABFCE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rPr>
                    <w:t>减振、</w:t>
                  </w:r>
                  <w:r>
                    <w:rPr>
                      <w:rFonts w:hint="eastAsia" w:ascii="Times New Roman" w:hAnsi="Times New Roman"/>
                      <w:color w:val="auto"/>
                      <w:lang w:val="en-US"/>
                    </w:rPr>
                    <w:t>隔声</w:t>
                  </w:r>
                </w:p>
              </w:tc>
              <w:tc>
                <w:tcPr>
                  <w:tcW w:w="305" w:type="pct"/>
                  <w:vAlign w:val="center"/>
                </w:tcPr>
                <w:p w14:paraId="43290D8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0.2</w:t>
                  </w:r>
                </w:p>
              </w:tc>
              <w:tc>
                <w:tcPr>
                  <w:tcW w:w="445" w:type="pct"/>
                  <w:vAlign w:val="center"/>
                </w:tcPr>
                <w:p w14:paraId="6CE3507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80</w:t>
                  </w:r>
                </w:p>
              </w:tc>
              <w:tc>
                <w:tcPr>
                  <w:tcW w:w="350" w:type="pct"/>
                  <w:vAlign w:val="center"/>
                </w:tcPr>
                <w:p w14:paraId="0442802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20</w:t>
                  </w:r>
                </w:p>
              </w:tc>
              <w:tc>
                <w:tcPr>
                  <w:tcW w:w="367" w:type="pct"/>
                  <w:vAlign w:val="center"/>
                </w:tcPr>
                <w:p w14:paraId="59C4B60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26</w:t>
                  </w:r>
                </w:p>
              </w:tc>
              <w:tc>
                <w:tcPr>
                  <w:tcW w:w="249" w:type="pct"/>
                  <w:vAlign w:val="center"/>
                </w:tcPr>
                <w:p w14:paraId="0FEA02B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50m</w:t>
                  </w:r>
                </w:p>
              </w:tc>
              <w:tc>
                <w:tcPr>
                  <w:tcW w:w="599" w:type="pct"/>
                  <w:vAlign w:val="center"/>
                </w:tcPr>
                <w:p w14:paraId="4BBA375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bCs/>
                      <w:color w:val="auto"/>
                    </w:rPr>
                  </w:pPr>
                  <w:r>
                    <w:rPr>
                      <w:rFonts w:hint="eastAsia" w:ascii="Times New Roman" w:hAnsi="Times New Roman"/>
                      <w:color w:val="auto"/>
                    </w:rPr>
                    <w:t>全天</w:t>
                  </w:r>
                </w:p>
              </w:tc>
            </w:tr>
          </w:tbl>
          <w:p w14:paraId="434C18D8">
            <w:pPr>
              <w:keepNext w:val="0"/>
              <w:keepLines w:val="0"/>
              <w:suppressLineNumbers w:val="0"/>
              <w:snapToGrid w:val="0"/>
              <w:spacing w:before="0" w:beforeAutospacing="0" w:after="0" w:afterAutospacing="0"/>
              <w:ind w:left="0" w:right="0"/>
              <w:rPr>
                <w:rFonts w:hint="default" w:eastAsia="仿宋_GB2312"/>
                <w:color w:val="auto"/>
                <w:sz w:val="18"/>
                <w:szCs w:val="18"/>
              </w:rPr>
            </w:pPr>
            <w:r>
              <w:rPr>
                <w:rFonts w:hint="default" w:eastAsia="仿宋_GB2312"/>
                <w:color w:val="auto"/>
                <w:sz w:val="18"/>
                <w:szCs w:val="18"/>
              </w:rPr>
              <w:t>备注：</w:t>
            </w:r>
            <w:r>
              <w:rPr>
                <w:rFonts w:hint="default" w:eastAsia="仿宋_GB2312"/>
                <w:b/>
                <w:bCs/>
                <w:color w:val="auto"/>
                <w:kern w:val="0"/>
                <w:sz w:val="18"/>
                <w:szCs w:val="18"/>
              </w:rPr>
              <w:t>*</w:t>
            </w:r>
            <w:r>
              <w:rPr>
                <w:rFonts w:hint="default" w:eastAsia="仿宋_GB2312"/>
                <w:color w:val="auto"/>
                <w:sz w:val="18"/>
                <w:szCs w:val="18"/>
              </w:rPr>
              <w:t>以车间西南角为原点建立模型坐标系，取东西向为X坐标轴、南北向为Y坐标轴。</w:t>
            </w:r>
          </w:p>
          <w:p w14:paraId="4BD4C33B">
            <w:pPr>
              <w:keepNext w:val="0"/>
              <w:keepLines w:val="0"/>
              <w:widowControl/>
              <w:suppressLineNumbers w:val="0"/>
              <w:adjustRightInd w:val="0"/>
              <w:snapToGrid w:val="0"/>
              <w:spacing w:before="0" w:beforeAutospacing="0" w:after="0" w:afterAutospacing="0" w:line="460" w:lineRule="exact"/>
              <w:ind w:left="0" w:right="0" w:firstLine="482" w:firstLineChars="200"/>
              <w:jc w:val="left"/>
              <w:rPr>
                <w:rFonts w:hint="default" w:eastAsia="仿宋_GB2312"/>
                <w:b/>
                <w:color w:val="auto"/>
                <w:kern w:val="0"/>
                <w:sz w:val="24"/>
              </w:rPr>
            </w:pPr>
            <w:r>
              <w:rPr>
                <w:rFonts w:hint="default" w:eastAsia="仿宋_GB2312"/>
                <w:b/>
                <w:color w:val="auto"/>
                <w:kern w:val="0"/>
                <w:sz w:val="24"/>
              </w:rPr>
              <w:t>2、污染防治措施</w:t>
            </w:r>
          </w:p>
          <w:p w14:paraId="364DB83C">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本项目在设备选择上优先考虑选择低噪声设备，对所用的高噪声设备安装减振基座，车间采用隔声材料。本项目主要噪声治理方案如下：</w:t>
            </w:r>
          </w:p>
          <w:p w14:paraId="6357355A">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w:t>
            </w:r>
            <w:r>
              <w:rPr>
                <w:rFonts w:hint="default" w:ascii="Times New Roman" w:hAnsi="Times New Roman" w:eastAsia="仿宋_GB2312" w:cs="Times New Roman"/>
                <w:bCs/>
                <w:color w:val="auto"/>
                <w:kern w:val="0"/>
                <w:sz w:val="24"/>
                <w:szCs w:val="24"/>
                <w:lang w:val="en-US" w:eastAsia="zh-CN" w:bidi="ar"/>
              </w:rPr>
              <w:t>1</w:t>
            </w:r>
            <w:r>
              <w:rPr>
                <w:rFonts w:hint="eastAsia" w:ascii="Times New Roman" w:hAnsi="Times New Roman" w:eastAsia="仿宋_GB2312" w:cs="仿宋_GB2312"/>
                <w:bCs/>
                <w:color w:val="auto"/>
                <w:kern w:val="0"/>
                <w:sz w:val="24"/>
                <w:szCs w:val="24"/>
                <w:lang w:val="en-US" w:eastAsia="zh-CN" w:bidi="ar"/>
              </w:rPr>
              <w:t>）控制设备噪声</w:t>
            </w:r>
          </w:p>
          <w:p w14:paraId="4DC6DBE9">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①采购设备时对供应商提出噪音控制要求，尽可能选用低噪音设备；</w:t>
            </w:r>
          </w:p>
          <w:p w14:paraId="1E16D612">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②提高机械设备装配精度，加强维护和检修，提高润滑度，减少机械振动和摩擦产生的噪声等。</w:t>
            </w:r>
          </w:p>
          <w:p w14:paraId="341AF807">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w:t>
            </w:r>
            <w:r>
              <w:rPr>
                <w:rFonts w:hint="default" w:ascii="Times New Roman" w:hAnsi="Times New Roman" w:eastAsia="仿宋_GB2312" w:cs="Times New Roman"/>
                <w:bCs/>
                <w:color w:val="auto"/>
                <w:kern w:val="0"/>
                <w:sz w:val="24"/>
                <w:szCs w:val="24"/>
                <w:lang w:val="en-US" w:eastAsia="zh-CN" w:bidi="ar"/>
              </w:rPr>
              <w:t>2</w:t>
            </w:r>
            <w:r>
              <w:rPr>
                <w:rFonts w:hint="eastAsia" w:ascii="Times New Roman" w:hAnsi="Times New Roman" w:eastAsia="仿宋_GB2312" w:cs="仿宋_GB2312"/>
                <w:bCs/>
                <w:color w:val="auto"/>
                <w:kern w:val="0"/>
                <w:sz w:val="24"/>
                <w:szCs w:val="24"/>
                <w:lang w:val="en-US" w:eastAsia="zh-CN" w:bidi="ar"/>
              </w:rPr>
              <w:t>）采用降噪措施</w:t>
            </w:r>
          </w:p>
          <w:p w14:paraId="2FE993F9">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①对噪音较大的设备如泵等在加装消音器降噪；</w:t>
            </w:r>
          </w:p>
          <w:p w14:paraId="6FC67B5C">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②机座铺设防震、吸音材料，以减少噪声、振动；</w:t>
            </w:r>
          </w:p>
          <w:p w14:paraId="0AB738E5">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③按时保养及维修设备；</w:t>
            </w:r>
          </w:p>
          <w:p w14:paraId="59F05A95">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④避免机械超负荷运转。</w:t>
            </w:r>
          </w:p>
          <w:p w14:paraId="411BD45D">
            <w:pPr>
              <w:keepNext w:val="0"/>
              <w:keepLines w:val="0"/>
              <w:widowControl/>
              <w:suppressLineNumbers w:val="0"/>
              <w:adjustRightInd w:val="0"/>
              <w:snapToGrid w:val="0"/>
              <w:spacing w:before="0" w:beforeAutospacing="0" w:after="0" w:afterAutospacing="0" w:line="500" w:lineRule="exact"/>
              <w:ind w:left="0" w:right="0" w:firstLine="480" w:firstLineChars="200"/>
              <w:jc w:val="left"/>
              <w:rPr>
                <w:rFonts w:hint="default" w:eastAsia="仿宋_GB2312"/>
                <w:bCs/>
                <w:color w:val="auto"/>
                <w:kern w:val="0"/>
                <w:sz w:val="24"/>
                <w:szCs w:val="24"/>
                <w:lang w:val="en-US"/>
              </w:rPr>
            </w:pPr>
            <w:r>
              <w:rPr>
                <w:rFonts w:hint="eastAsia" w:ascii="Times New Roman" w:hAnsi="Times New Roman" w:eastAsia="仿宋_GB2312" w:cs="仿宋_GB2312"/>
                <w:bCs/>
                <w:color w:val="auto"/>
                <w:kern w:val="0"/>
                <w:sz w:val="24"/>
                <w:szCs w:val="24"/>
                <w:lang w:val="en-US" w:eastAsia="zh-CN" w:bidi="ar"/>
              </w:rPr>
              <w:t>根据相关设施的噪声污染防治经验分析，以上措施结合使用可获得较好的降噪效果，投入运行后，可有效降低对周围声环境的影响，实现厂界噪声达标。</w:t>
            </w:r>
          </w:p>
          <w:p w14:paraId="7FE8FCA5">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kern w:val="0"/>
                <w:sz w:val="24"/>
                <w:szCs w:val="20"/>
              </w:rPr>
            </w:pPr>
            <w:r>
              <w:rPr>
                <w:rFonts w:hint="default" w:eastAsia="仿宋_GB2312"/>
                <w:b/>
                <w:bCs/>
                <w:color w:val="auto"/>
                <w:kern w:val="0"/>
                <w:sz w:val="24"/>
                <w:szCs w:val="20"/>
              </w:rPr>
              <w:t>3、环境影响分析</w:t>
            </w:r>
          </w:p>
          <w:p w14:paraId="2841D64F">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本项目夜间不生产，项目建成后各厂界昼间噪声预测情况见下表。</w:t>
            </w:r>
          </w:p>
          <w:p w14:paraId="1A7B76C9">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lang w:val="zh-CN"/>
              </w:rPr>
            </w:pPr>
            <w:r>
              <w:rPr>
                <w:rFonts w:hint="default" w:eastAsia="仿宋_GB2312"/>
                <w:b/>
                <w:bCs/>
                <w:color w:val="auto"/>
                <w:kern w:val="0"/>
                <w:sz w:val="22"/>
                <w:szCs w:val="22"/>
                <w:lang w:val="zh-CN"/>
              </w:rPr>
              <w:t>表</w:t>
            </w:r>
            <w:r>
              <w:rPr>
                <w:rFonts w:hint="default" w:eastAsia="仿宋_GB2312"/>
                <w:b/>
                <w:bCs/>
                <w:color w:val="auto"/>
                <w:kern w:val="0"/>
                <w:sz w:val="22"/>
                <w:szCs w:val="22"/>
              </w:rPr>
              <w:t>4-</w:t>
            </w:r>
            <w:r>
              <w:rPr>
                <w:rFonts w:hint="eastAsia" w:eastAsia="仿宋_GB2312"/>
                <w:b/>
                <w:bCs/>
                <w:color w:val="auto"/>
                <w:kern w:val="0"/>
                <w:sz w:val="22"/>
                <w:szCs w:val="22"/>
                <w:lang w:val="en-US" w:eastAsia="zh-CN"/>
              </w:rPr>
              <w:t>28</w:t>
            </w:r>
            <w:r>
              <w:rPr>
                <w:rFonts w:hint="default" w:eastAsia="仿宋_GB2312"/>
                <w:b/>
                <w:bCs/>
                <w:color w:val="auto"/>
                <w:kern w:val="0"/>
                <w:sz w:val="22"/>
                <w:szCs w:val="22"/>
              </w:rPr>
              <w:t xml:space="preserve">  </w:t>
            </w:r>
            <w:r>
              <w:rPr>
                <w:rFonts w:hint="default" w:eastAsia="仿宋_GB2312"/>
                <w:b/>
                <w:bCs/>
                <w:color w:val="auto"/>
                <w:kern w:val="0"/>
                <w:sz w:val="22"/>
                <w:szCs w:val="22"/>
                <w:lang w:val="zh-CN"/>
              </w:rPr>
              <w:t>噪声现状监测结果表  单位dB(A)</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596"/>
              <w:gridCol w:w="688"/>
              <w:gridCol w:w="791"/>
              <w:gridCol w:w="721"/>
              <w:gridCol w:w="721"/>
              <w:gridCol w:w="721"/>
              <w:gridCol w:w="721"/>
              <w:gridCol w:w="672"/>
              <w:gridCol w:w="771"/>
              <w:gridCol w:w="923"/>
              <w:gridCol w:w="971"/>
            </w:tblGrid>
            <w:tr w14:paraId="18944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1260" w:type="pct"/>
                  <w:vMerge w:val="restart"/>
                  <w:vAlign w:val="center"/>
                </w:tcPr>
                <w:p w14:paraId="1C2A7B5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预测点</w:t>
                  </w:r>
                </w:p>
              </w:tc>
              <w:tc>
                <w:tcPr>
                  <w:tcW w:w="718" w:type="pct"/>
                  <w:gridSpan w:val="2"/>
                  <w:vAlign w:val="center"/>
                </w:tcPr>
                <w:p w14:paraId="1824CF3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噪声贡献值</w:t>
                  </w:r>
                </w:p>
              </w:tc>
              <w:tc>
                <w:tcPr>
                  <w:tcW w:w="700" w:type="pct"/>
                  <w:gridSpan w:val="2"/>
                  <w:vAlign w:val="center"/>
                </w:tcPr>
                <w:p w14:paraId="59726B1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噪声</w:t>
                  </w:r>
                  <w:r>
                    <w:rPr>
                      <w:rFonts w:hint="eastAsia" w:ascii="Times New Roman" w:hAnsi="Times New Roman"/>
                      <w:b/>
                      <w:color w:val="auto"/>
                      <w:lang w:val="en-US"/>
                    </w:rPr>
                    <w:t>背景</w:t>
                  </w:r>
                  <w:r>
                    <w:rPr>
                      <w:rFonts w:hint="eastAsia" w:ascii="Times New Roman" w:hAnsi="Times New Roman"/>
                      <w:b/>
                      <w:color w:val="auto"/>
                    </w:rPr>
                    <w:t>值</w:t>
                  </w:r>
                </w:p>
              </w:tc>
              <w:tc>
                <w:tcPr>
                  <w:tcW w:w="700" w:type="pct"/>
                  <w:gridSpan w:val="2"/>
                  <w:vAlign w:val="center"/>
                </w:tcPr>
                <w:p w14:paraId="7BE38BD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噪声</w:t>
                  </w:r>
                  <w:r>
                    <w:rPr>
                      <w:rFonts w:hint="eastAsia" w:ascii="Times New Roman" w:hAnsi="Times New Roman"/>
                      <w:b/>
                      <w:color w:val="auto"/>
                      <w:lang w:val="en-US"/>
                    </w:rPr>
                    <w:t>预测</w:t>
                  </w:r>
                  <w:r>
                    <w:rPr>
                      <w:rFonts w:hint="eastAsia" w:ascii="Times New Roman" w:hAnsi="Times New Roman"/>
                      <w:b/>
                      <w:color w:val="auto"/>
                    </w:rPr>
                    <w:t>值</w:t>
                  </w:r>
                </w:p>
              </w:tc>
              <w:tc>
                <w:tcPr>
                  <w:tcW w:w="700" w:type="pct"/>
                  <w:gridSpan w:val="2"/>
                  <w:vAlign w:val="center"/>
                </w:tcPr>
                <w:p w14:paraId="2AC97CB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噪声标准</w:t>
                  </w:r>
                </w:p>
              </w:tc>
              <w:tc>
                <w:tcPr>
                  <w:tcW w:w="919" w:type="pct"/>
                  <w:gridSpan w:val="2"/>
                  <w:vAlign w:val="center"/>
                </w:tcPr>
                <w:p w14:paraId="6EB241A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达标情况</w:t>
                  </w:r>
                </w:p>
              </w:tc>
            </w:tr>
            <w:tr w14:paraId="0B14E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60" w:type="pct"/>
                  <w:vMerge w:val="continue"/>
                  <w:vAlign w:val="center"/>
                </w:tcPr>
                <w:p w14:paraId="5D279D7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p>
              </w:tc>
              <w:tc>
                <w:tcPr>
                  <w:tcW w:w="334" w:type="pct"/>
                  <w:vAlign w:val="center"/>
                </w:tcPr>
                <w:p w14:paraId="0B08BA5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昼间</w:t>
                  </w:r>
                </w:p>
              </w:tc>
              <w:tc>
                <w:tcPr>
                  <w:tcW w:w="384" w:type="pct"/>
                  <w:vAlign w:val="center"/>
                </w:tcPr>
                <w:p w14:paraId="4E6809B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夜间</w:t>
                  </w:r>
                </w:p>
              </w:tc>
              <w:tc>
                <w:tcPr>
                  <w:tcW w:w="350" w:type="pct"/>
                  <w:vAlign w:val="center"/>
                </w:tcPr>
                <w:p w14:paraId="7234CAF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昼间</w:t>
                  </w:r>
                </w:p>
              </w:tc>
              <w:tc>
                <w:tcPr>
                  <w:tcW w:w="350" w:type="pct"/>
                  <w:vAlign w:val="center"/>
                </w:tcPr>
                <w:p w14:paraId="494C30E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夜间</w:t>
                  </w:r>
                </w:p>
              </w:tc>
              <w:tc>
                <w:tcPr>
                  <w:tcW w:w="350" w:type="pct"/>
                  <w:vAlign w:val="center"/>
                </w:tcPr>
                <w:p w14:paraId="60965C4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昼间</w:t>
                  </w:r>
                </w:p>
              </w:tc>
              <w:tc>
                <w:tcPr>
                  <w:tcW w:w="350" w:type="pct"/>
                  <w:vAlign w:val="center"/>
                </w:tcPr>
                <w:p w14:paraId="5AE5A8D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夜间</w:t>
                  </w:r>
                </w:p>
              </w:tc>
              <w:tc>
                <w:tcPr>
                  <w:tcW w:w="326" w:type="pct"/>
                  <w:vAlign w:val="center"/>
                </w:tcPr>
                <w:p w14:paraId="233CCF9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昼间</w:t>
                  </w:r>
                </w:p>
              </w:tc>
              <w:tc>
                <w:tcPr>
                  <w:tcW w:w="374" w:type="pct"/>
                  <w:vAlign w:val="center"/>
                </w:tcPr>
                <w:p w14:paraId="0688AC3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夜间</w:t>
                  </w:r>
                </w:p>
              </w:tc>
              <w:tc>
                <w:tcPr>
                  <w:tcW w:w="448" w:type="pct"/>
                  <w:vAlign w:val="center"/>
                </w:tcPr>
                <w:p w14:paraId="2D3C0CB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昼间</w:t>
                  </w:r>
                </w:p>
              </w:tc>
              <w:tc>
                <w:tcPr>
                  <w:tcW w:w="471" w:type="pct"/>
                  <w:vAlign w:val="center"/>
                </w:tcPr>
                <w:p w14:paraId="1D1D682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b/>
                      <w:color w:val="auto"/>
                    </w:rPr>
                  </w:pPr>
                  <w:r>
                    <w:rPr>
                      <w:rFonts w:hint="eastAsia" w:ascii="Times New Roman" w:hAnsi="Times New Roman"/>
                      <w:b/>
                      <w:color w:val="auto"/>
                    </w:rPr>
                    <w:t>夜间</w:t>
                  </w:r>
                </w:p>
              </w:tc>
            </w:tr>
            <w:tr w14:paraId="6E1D4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60" w:type="pct"/>
                  <w:vAlign w:val="center"/>
                </w:tcPr>
                <w:p w14:paraId="291618F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南厂界（N</w:t>
                  </w:r>
                  <w:r>
                    <w:rPr>
                      <w:rFonts w:hint="default" w:ascii="Times New Roman" w:hAnsi="Times New Roman"/>
                      <w:color w:val="auto"/>
                    </w:rPr>
                    <w:t>1</w:t>
                  </w:r>
                  <w:r>
                    <w:rPr>
                      <w:rFonts w:hint="eastAsia" w:ascii="Times New Roman" w:hAnsi="Times New Roman"/>
                      <w:color w:val="auto"/>
                    </w:rPr>
                    <w:t>）</w:t>
                  </w:r>
                </w:p>
              </w:tc>
              <w:tc>
                <w:tcPr>
                  <w:tcW w:w="334" w:type="pct"/>
                  <w:vAlign w:val="center"/>
                </w:tcPr>
                <w:p w14:paraId="608F8F1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23</w:t>
                  </w:r>
                </w:p>
              </w:tc>
              <w:tc>
                <w:tcPr>
                  <w:tcW w:w="384" w:type="pct"/>
                  <w:vAlign w:val="center"/>
                </w:tcPr>
                <w:p w14:paraId="3F3A711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23</w:t>
                  </w:r>
                </w:p>
              </w:tc>
              <w:tc>
                <w:tcPr>
                  <w:tcW w:w="350" w:type="pct"/>
                  <w:vAlign w:val="center"/>
                </w:tcPr>
                <w:p w14:paraId="5BA936C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63</w:t>
                  </w:r>
                </w:p>
              </w:tc>
              <w:tc>
                <w:tcPr>
                  <w:tcW w:w="350" w:type="pct"/>
                  <w:vAlign w:val="center"/>
                </w:tcPr>
                <w:p w14:paraId="6C10098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51</w:t>
                  </w:r>
                </w:p>
              </w:tc>
              <w:tc>
                <w:tcPr>
                  <w:tcW w:w="350" w:type="pct"/>
                  <w:vAlign w:val="center"/>
                </w:tcPr>
                <w:p w14:paraId="66BFFF0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63</w:t>
                  </w:r>
                </w:p>
              </w:tc>
              <w:tc>
                <w:tcPr>
                  <w:tcW w:w="350" w:type="pct"/>
                  <w:vAlign w:val="center"/>
                </w:tcPr>
                <w:p w14:paraId="0E169EE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51</w:t>
                  </w:r>
                </w:p>
              </w:tc>
              <w:tc>
                <w:tcPr>
                  <w:tcW w:w="326" w:type="pct"/>
                  <w:vAlign w:val="center"/>
                </w:tcPr>
                <w:p w14:paraId="243CA35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7</w:t>
                  </w:r>
                  <w:r>
                    <w:rPr>
                      <w:rFonts w:hint="default" w:ascii="Times New Roman" w:hAnsi="Times New Roman"/>
                      <w:color w:val="auto"/>
                    </w:rPr>
                    <w:t>0</w:t>
                  </w:r>
                </w:p>
              </w:tc>
              <w:tc>
                <w:tcPr>
                  <w:tcW w:w="374" w:type="pct"/>
                  <w:vAlign w:val="center"/>
                </w:tcPr>
                <w:p w14:paraId="6AB3B63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5</w:t>
                  </w:r>
                  <w:r>
                    <w:rPr>
                      <w:rFonts w:hint="default" w:ascii="Times New Roman" w:hAnsi="Times New Roman"/>
                      <w:color w:val="auto"/>
                    </w:rPr>
                    <w:t>5</w:t>
                  </w:r>
                </w:p>
              </w:tc>
              <w:tc>
                <w:tcPr>
                  <w:tcW w:w="448" w:type="pct"/>
                  <w:vAlign w:val="center"/>
                </w:tcPr>
                <w:p w14:paraId="30842EA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达标</w:t>
                  </w:r>
                </w:p>
              </w:tc>
              <w:tc>
                <w:tcPr>
                  <w:tcW w:w="471" w:type="pct"/>
                  <w:vAlign w:val="center"/>
                </w:tcPr>
                <w:p w14:paraId="7AEF189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达标</w:t>
                  </w:r>
                </w:p>
              </w:tc>
            </w:tr>
            <w:tr w14:paraId="5106E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60" w:type="pct"/>
                  <w:vAlign w:val="center"/>
                </w:tcPr>
                <w:p w14:paraId="17F0371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西厂界（N</w:t>
                  </w:r>
                  <w:r>
                    <w:rPr>
                      <w:rFonts w:hint="default" w:ascii="Times New Roman" w:hAnsi="Times New Roman"/>
                      <w:color w:val="auto"/>
                    </w:rPr>
                    <w:t>2</w:t>
                  </w:r>
                  <w:r>
                    <w:rPr>
                      <w:rFonts w:hint="eastAsia" w:ascii="Times New Roman" w:hAnsi="Times New Roman"/>
                      <w:color w:val="auto"/>
                    </w:rPr>
                    <w:t>）</w:t>
                  </w:r>
                </w:p>
              </w:tc>
              <w:tc>
                <w:tcPr>
                  <w:tcW w:w="334" w:type="pct"/>
                  <w:vAlign w:val="center"/>
                </w:tcPr>
                <w:p w14:paraId="32750A0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26</w:t>
                  </w:r>
                </w:p>
              </w:tc>
              <w:tc>
                <w:tcPr>
                  <w:tcW w:w="384" w:type="pct"/>
                  <w:vAlign w:val="center"/>
                </w:tcPr>
                <w:p w14:paraId="1016392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26</w:t>
                  </w:r>
                </w:p>
              </w:tc>
              <w:tc>
                <w:tcPr>
                  <w:tcW w:w="350" w:type="pct"/>
                  <w:vAlign w:val="center"/>
                </w:tcPr>
                <w:p w14:paraId="45D9389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57</w:t>
                  </w:r>
                </w:p>
              </w:tc>
              <w:tc>
                <w:tcPr>
                  <w:tcW w:w="350" w:type="pct"/>
                  <w:vAlign w:val="center"/>
                </w:tcPr>
                <w:p w14:paraId="3561483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49</w:t>
                  </w:r>
                </w:p>
              </w:tc>
              <w:tc>
                <w:tcPr>
                  <w:tcW w:w="350" w:type="pct"/>
                  <w:vAlign w:val="center"/>
                </w:tcPr>
                <w:p w14:paraId="4DAF02D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57</w:t>
                  </w:r>
                </w:p>
              </w:tc>
              <w:tc>
                <w:tcPr>
                  <w:tcW w:w="350" w:type="pct"/>
                  <w:vAlign w:val="center"/>
                </w:tcPr>
                <w:p w14:paraId="3302135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49</w:t>
                  </w:r>
                </w:p>
              </w:tc>
              <w:tc>
                <w:tcPr>
                  <w:tcW w:w="326" w:type="pct"/>
                  <w:vAlign w:val="center"/>
                </w:tcPr>
                <w:p w14:paraId="501BBE3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6</w:t>
                  </w:r>
                  <w:r>
                    <w:rPr>
                      <w:rFonts w:hint="default" w:ascii="Times New Roman" w:hAnsi="Times New Roman"/>
                      <w:color w:val="auto"/>
                    </w:rPr>
                    <w:t>5</w:t>
                  </w:r>
                </w:p>
              </w:tc>
              <w:tc>
                <w:tcPr>
                  <w:tcW w:w="374" w:type="pct"/>
                  <w:vAlign w:val="center"/>
                </w:tcPr>
                <w:p w14:paraId="22623AC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5</w:t>
                  </w:r>
                  <w:r>
                    <w:rPr>
                      <w:rFonts w:hint="default" w:ascii="Times New Roman" w:hAnsi="Times New Roman"/>
                      <w:color w:val="auto"/>
                    </w:rPr>
                    <w:t>5</w:t>
                  </w:r>
                </w:p>
              </w:tc>
              <w:tc>
                <w:tcPr>
                  <w:tcW w:w="448" w:type="pct"/>
                  <w:vAlign w:val="center"/>
                </w:tcPr>
                <w:p w14:paraId="76DB874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达标</w:t>
                  </w:r>
                </w:p>
              </w:tc>
              <w:tc>
                <w:tcPr>
                  <w:tcW w:w="471" w:type="pct"/>
                  <w:vAlign w:val="center"/>
                </w:tcPr>
                <w:p w14:paraId="27E7EC4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达标</w:t>
                  </w:r>
                </w:p>
              </w:tc>
            </w:tr>
            <w:tr w14:paraId="07E85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60" w:type="pct"/>
                  <w:vAlign w:val="center"/>
                </w:tcPr>
                <w:p w14:paraId="51F44CE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olor w:val="auto"/>
                    </w:rPr>
                    <w:t>北厂界（N</w:t>
                  </w:r>
                  <w:r>
                    <w:rPr>
                      <w:rFonts w:hint="default" w:ascii="Times New Roman" w:hAnsi="Times New Roman"/>
                      <w:color w:val="auto"/>
                    </w:rPr>
                    <w:t>3</w:t>
                  </w:r>
                  <w:r>
                    <w:rPr>
                      <w:rFonts w:hint="eastAsia" w:ascii="Times New Roman" w:hAnsi="Times New Roman"/>
                      <w:color w:val="auto"/>
                    </w:rPr>
                    <w:t>）</w:t>
                  </w:r>
                </w:p>
              </w:tc>
              <w:tc>
                <w:tcPr>
                  <w:tcW w:w="334" w:type="pct"/>
                  <w:vAlign w:val="center"/>
                </w:tcPr>
                <w:p w14:paraId="03959A6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20</w:t>
                  </w:r>
                </w:p>
              </w:tc>
              <w:tc>
                <w:tcPr>
                  <w:tcW w:w="384" w:type="pct"/>
                  <w:vAlign w:val="center"/>
                </w:tcPr>
                <w:p w14:paraId="0D5AA6F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20</w:t>
                  </w:r>
                </w:p>
              </w:tc>
              <w:tc>
                <w:tcPr>
                  <w:tcW w:w="350" w:type="pct"/>
                  <w:vAlign w:val="center"/>
                </w:tcPr>
                <w:p w14:paraId="119CF49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56</w:t>
                  </w:r>
                </w:p>
              </w:tc>
              <w:tc>
                <w:tcPr>
                  <w:tcW w:w="350" w:type="pct"/>
                  <w:vAlign w:val="center"/>
                </w:tcPr>
                <w:p w14:paraId="3EFA22F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48</w:t>
                  </w:r>
                </w:p>
              </w:tc>
              <w:tc>
                <w:tcPr>
                  <w:tcW w:w="350" w:type="pct"/>
                  <w:vAlign w:val="center"/>
                </w:tcPr>
                <w:p w14:paraId="2563E06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56</w:t>
                  </w:r>
                </w:p>
              </w:tc>
              <w:tc>
                <w:tcPr>
                  <w:tcW w:w="350" w:type="pct"/>
                  <w:vAlign w:val="center"/>
                </w:tcPr>
                <w:p w14:paraId="555D995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48</w:t>
                  </w:r>
                </w:p>
              </w:tc>
              <w:tc>
                <w:tcPr>
                  <w:tcW w:w="326" w:type="pct"/>
                  <w:vAlign w:val="center"/>
                </w:tcPr>
                <w:p w14:paraId="573859E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6</w:t>
                  </w:r>
                  <w:r>
                    <w:rPr>
                      <w:rFonts w:hint="default" w:ascii="Times New Roman" w:hAnsi="Times New Roman"/>
                      <w:color w:val="auto"/>
                    </w:rPr>
                    <w:t>5</w:t>
                  </w:r>
                </w:p>
              </w:tc>
              <w:tc>
                <w:tcPr>
                  <w:tcW w:w="374" w:type="pct"/>
                  <w:vAlign w:val="center"/>
                </w:tcPr>
                <w:p w14:paraId="5EC11CA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5</w:t>
                  </w:r>
                  <w:r>
                    <w:rPr>
                      <w:rFonts w:hint="default" w:ascii="Times New Roman" w:hAnsi="Times New Roman"/>
                      <w:color w:val="auto"/>
                    </w:rPr>
                    <w:t>5</w:t>
                  </w:r>
                </w:p>
              </w:tc>
              <w:tc>
                <w:tcPr>
                  <w:tcW w:w="448" w:type="pct"/>
                  <w:vAlign w:val="center"/>
                </w:tcPr>
                <w:p w14:paraId="07CF9B1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达标</w:t>
                  </w:r>
                </w:p>
              </w:tc>
              <w:tc>
                <w:tcPr>
                  <w:tcW w:w="471" w:type="pct"/>
                  <w:vAlign w:val="center"/>
                </w:tcPr>
                <w:p w14:paraId="261D188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达标</w:t>
                  </w:r>
                </w:p>
              </w:tc>
            </w:tr>
            <w:tr w14:paraId="0CEBC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60" w:type="pct"/>
                  <w:vAlign w:val="center"/>
                </w:tcPr>
                <w:p w14:paraId="0988623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highlight w:val="yellow"/>
                    </w:rPr>
                  </w:pPr>
                  <w:r>
                    <w:rPr>
                      <w:rFonts w:hint="eastAsia" w:ascii="Times New Roman" w:hAnsi="Times New Roman"/>
                      <w:color w:val="auto"/>
                    </w:rPr>
                    <w:t>东厂界（N</w:t>
                  </w:r>
                  <w:r>
                    <w:rPr>
                      <w:rFonts w:hint="default" w:ascii="Times New Roman" w:hAnsi="Times New Roman"/>
                      <w:color w:val="auto"/>
                    </w:rPr>
                    <w:t>4</w:t>
                  </w:r>
                  <w:r>
                    <w:rPr>
                      <w:rFonts w:hint="eastAsia" w:ascii="Times New Roman" w:hAnsi="Times New Roman"/>
                      <w:color w:val="auto"/>
                    </w:rPr>
                    <w:t>）</w:t>
                  </w:r>
                </w:p>
              </w:tc>
              <w:tc>
                <w:tcPr>
                  <w:tcW w:w="334" w:type="pct"/>
                  <w:vAlign w:val="center"/>
                </w:tcPr>
                <w:p w14:paraId="1F9C80C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17</w:t>
                  </w:r>
                </w:p>
              </w:tc>
              <w:tc>
                <w:tcPr>
                  <w:tcW w:w="384" w:type="pct"/>
                  <w:vAlign w:val="center"/>
                </w:tcPr>
                <w:p w14:paraId="78300F4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17</w:t>
                  </w:r>
                </w:p>
              </w:tc>
              <w:tc>
                <w:tcPr>
                  <w:tcW w:w="350" w:type="pct"/>
                  <w:vAlign w:val="center"/>
                </w:tcPr>
                <w:p w14:paraId="5835897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53</w:t>
                  </w:r>
                </w:p>
              </w:tc>
              <w:tc>
                <w:tcPr>
                  <w:tcW w:w="350" w:type="pct"/>
                  <w:vAlign w:val="center"/>
                </w:tcPr>
                <w:p w14:paraId="3350354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47</w:t>
                  </w:r>
                </w:p>
              </w:tc>
              <w:tc>
                <w:tcPr>
                  <w:tcW w:w="350" w:type="pct"/>
                  <w:vAlign w:val="center"/>
                </w:tcPr>
                <w:p w14:paraId="5CEDC36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53</w:t>
                  </w:r>
                </w:p>
              </w:tc>
              <w:tc>
                <w:tcPr>
                  <w:tcW w:w="350" w:type="pct"/>
                  <w:vAlign w:val="center"/>
                </w:tcPr>
                <w:p w14:paraId="53540D1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lang w:val="en-US"/>
                    </w:rPr>
                  </w:pPr>
                  <w:r>
                    <w:rPr>
                      <w:rFonts w:hint="eastAsia" w:ascii="Times New Roman" w:hAnsi="Times New Roman"/>
                      <w:color w:val="auto"/>
                      <w:lang w:val="en-US"/>
                    </w:rPr>
                    <w:t>47</w:t>
                  </w:r>
                </w:p>
              </w:tc>
              <w:tc>
                <w:tcPr>
                  <w:tcW w:w="326" w:type="pct"/>
                  <w:vAlign w:val="center"/>
                </w:tcPr>
                <w:p w14:paraId="566ACD4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6</w:t>
                  </w:r>
                  <w:r>
                    <w:rPr>
                      <w:rFonts w:hint="default" w:ascii="Times New Roman" w:hAnsi="Times New Roman"/>
                      <w:color w:val="auto"/>
                    </w:rPr>
                    <w:t>5</w:t>
                  </w:r>
                </w:p>
              </w:tc>
              <w:tc>
                <w:tcPr>
                  <w:tcW w:w="374" w:type="pct"/>
                  <w:vAlign w:val="center"/>
                </w:tcPr>
                <w:p w14:paraId="703B1CC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5</w:t>
                  </w:r>
                  <w:r>
                    <w:rPr>
                      <w:rFonts w:hint="default" w:ascii="Times New Roman" w:hAnsi="Times New Roman"/>
                      <w:color w:val="auto"/>
                    </w:rPr>
                    <w:t>5</w:t>
                  </w:r>
                </w:p>
              </w:tc>
              <w:tc>
                <w:tcPr>
                  <w:tcW w:w="448" w:type="pct"/>
                  <w:vAlign w:val="center"/>
                </w:tcPr>
                <w:p w14:paraId="1F3B013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达标</w:t>
                  </w:r>
                </w:p>
              </w:tc>
              <w:tc>
                <w:tcPr>
                  <w:tcW w:w="471" w:type="pct"/>
                  <w:vAlign w:val="center"/>
                </w:tcPr>
                <w:p w14:paraId="385A73A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达标</w:t>
                  </w:r>
                </w:p>
              </w:tc>
            </w:tr>
          </w:tbl>
          <w:p w14:paraId="708E5241">
            <w:pPr>
              <w:keepNext w:val="0"/>
              <w:keepLines w:val="0"/>
              <w:widowControl/>
              <w:suppressLineNumbers w:val="0"/>
              <w:adjustRightInd w:val="0"/>
              <w:snapToGrid w:val="0"/>
              <w:spacing w:before="0" w:beforeAutospacing="0" w:after="0" w:afterAutospacing="0" w:line="460" w:lineRule="exact"/>
              <w:ind w:left="0" w:right="0" w:firstLine="480" w:firstLineChars="200"/>
              <w:rPr>
                <w:rFonts w:hint="default" w:eastAsia="仿宋_GB2312"/>
                <w:bCs/>
                <w:color w:val="auto"/>
                <w:kern w:val="0"/>
                <w:sz w:val="24"/>
              </w:rPr>
            </w:pPr>
            <w:r>
              <w:rPr>
                <w:rFonts w:hint="default" w:eastAsia="仿宋_GB2312"/>
                <w:bCs/>
                <w:color w:val="auto"/>
                <w:kern w:val="0"/>
                <w:sz w:val="24"/>
              </w:rPr>
              <w:t>由上表可见，本项目在采取减振消噪和隔声等降噪措施后，本项目对</w:t>
            </w:r>
            <w:r>
              <w:rPr>
                <w:rFonts w:hint="eastAsia" w:eastAsia="仿宋_GB2312"/>
                <w:bCs/>
                <w:color w:val="auto"/>
                <w:kern w:val="0"/>
                <w:sz w:val="24"/>
                <w:lang w:eastAsia="zh-CN"/>
              </w:rPr>
              <w:t>出租方</w:t>
            </w:r>
            <w:r>
              <w:rPr>
                <w:rFonts w:hint="default" w:eastAsia="仿宋_GB2312"/>
                <w:bCs/>
                <w:color w:val="auto"/>
                <w:kern w:val="0"/>
                <w:sz w:val="24"/>
              </w:rPr>
              <w:t>东、西、北厂界噪声贡献值能够符合《工业企业厂界环境噪声排放标准》（GB12348-2008）中的3类标准值限值，南厂界噪声贡献值能够符合《工业企业厂界环境噪声排放标准》（GB12348-2008）中的4类标准值限值。</w:t>
            </w:r>
          </w:p>
          <w:p w14:paraId="17E96E59">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default" w:eastAsia="仿宋_GB2312"/>
                <w:b/>
                <w:bCs/>
                <w:color w:val="auto"/>
                <w:sz w:val="24"/>
              </w:rPr>
              <w:t>4、监测要求</w:t>
            </w:r>
          </w:p>
          <w:p w14:paraId="6E2829B2">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rPr>
            </w:pPr>
            <w:r>
              <w:rPr>
                <w:rFonts w:hint="default" w:eastAsia="仿宋_GB2312"/>
                <w:color w:val="auto"/>
                <w:kern w:val="0"/>
                <w:sz w:val="24"/>
                <w:szCs w:val="20"/>
              </w:rPr>
              <w:t>本项目建成后，应在生产运行阶段开展污染源监测，针对厂界噪声达标情况进行监测，详细监测计划见下文（自行监测要求）。</w:t>
            </w:r>
          </w:p>
          <w:p w14:paraId="7AC00CA0">
            <w:pPr>
              <w:keepNext w:val="0"/>
              <w:keepLines w:val="0"/>
              <w:suppressLineNumbers w:val="0"/>
              <w:spacing w:before="0" w:beforeAutospacing="0" w:after="0" w:afterAutospacing="0" w:line="500" w:lineRule="exact"/>
              <w:ind w:left="0" w:right="0"/>
              <w:rPr>
                <w:rFonts w:hint="default" w:eastAsia="仿宋_GB2312"/>
                <w:b/>
                <w:bCs/>
                <w:color w:val="auto"/>
                <w:kern w:val="0"/>
                <w:sz w:val="24"/>
                <w:szCs w:val="20"/>
              </w:rPr>
            </w:pPr>
            <w:r>
              <w:rPr>
                <w:rFonts w:hint="default" w:eastAsia="仿宋_GB2312"/>
                <w:b/>
                <w:bCs/>
                <w:color w:val="auto"/>
                <w:kern w:val="0"/>
                <w:sz w:val="24"/>
                <w:szCs w:val="20"/>
              </w:rPr>
              <w:t>五、地下水、土壤</w:t>
            </w:r>
          </w:p>
          <w:p w14:paraId="0945D445">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kern w:val="0"/>
                <w:sz w:val="24"/>
                <w:szCs w:val="20"/>
              </w:rPr>
            </w:pPr>
            <w:r>
              <w:rPr>
                <w:rFonts w:hint="default" w:eastAsia="仿宋_GB2312"/>
                <w:b/>
                <w:bCs/>
                <w:color w:val="auto"/>
                <w:kern w:val="0"/>
                <w:sz w:val="24"/>
                <w:szCs w:val="20"/>
              </w:rPr>
              <w:t>1、地下水、土壤污染分析</w:t>
            </w:r>
          </w:p>
          <w:p w14:paraId="48FDB619">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本项目已按规范要求对地下水可能影响的区域等地面进行了相应的防腐、防渗处理，并制订了地下水环境监测与管理、信息公开计划，能有效控制厂区内的水污染物下渗现象，避免污染地下水。</w:t>
            </w:r>
          </w:p>
          <w:p w14:paraId="1B16E80D">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（1）地下水污染</w:t>
            </w:r>
            <w:r>
              <w:rPr>
                <w:rFonts w:hint="eastAsia" w:eastAsia="仿宋_GB2312"/>
                <w:color w:val="auto"/>
                <w:kern w:val="0"/>
                <w:sz w:val="24"/>
                <w:szCs w:val="20"/>
                <w:lang w:eastAsia="zh-CN"/>
              </w:rPr>
              <w:t>源</w:t>
            </w:r>
            <w:r>
              <w:rPr>
                <w:rFonts w:hint="default" w:eastAsia="仿宋_GB2312"/>
                <w:color w:val="auto"/>
                <w:kern w:val="0"/>
                <w:sz w:val="24"/>
                <w:szCs w:val="20"/>
              </w:rPr>
              <w:t>分析</w:t>
            </w:r>
          </w:p>
          <w:p w14:paraId="7A9612CF">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rPr>
            </w:pPr>
            <w:r>
              <w:rPr>
                <w:rFonts w:hint="default" w:eastAsia="仿宋_GB2312"/>
                <w:color w:val="auto"/>
                <w:kern w:val="0"/>
                <w:sz w:val="24"/>
                <w:szCs w:val="20"/>
              </w:rPr>
              <w:t>本项目可能造成地下水污染影响的区域为</w:t>
            </w:r>
            <w:r>
              <w:rPr>
                <w:rFonts w:hint="eastAsia" w:eastAsia="仿宋_GB2312"/>
                <w:color w:val="auto"/>
                <w:kern w:val="0"/>
                <w:sz w:val="24"/>
                <w:szCs w:val="20"/>
                <w:lang w:eastAsia="zh-CN"/>
              </w:rPr>
              <w:t>厂房一楼生产区、</w:t>
            </w:r>
            <w:r>
              <w:rPr>
                <w:rFonts w:hint="default" w:eastAsia="仿宋_GB2312"/>
                <w:color w:val="auto"/>
                <w:kern w:val="0"/>
                <w:sz w:val="24"/>
                <w:szCs w:val="20"/>
              </w:rPr>
              <w:t>污水处理站</w:t>
            </w:r>
            <w:r>
              <w:rPr>
                <w:rFonts w:hint="eastAsia" w:eastAsia="仿宋_GB2312"/>
                <w:color w:val="auto"/>
                <w:kern w:val="0"/>
                <w:sz w:val="24"/>
                <w:szCs w:val="20"/>
                <w:lang w:eastAsia="zh-CN"/>
              </w:rPr>
              <w:t>、事故应急池1（和本项目相关的）、事故应急池2（和本项目相关的）和初期雨水池（和本项目相关的）。</w:t>
            </w:r>
            <w:r>
              <w:rPr>
                <w:rFonts w:hint="default" w:eastAsia="仿宋_GB2312"/>
                <w:color w:val="auto"/>
                <w:kern w:val="0"/>
                <w:sz w:val="24"/>
                <w:szCs w:val="20"/>
              </w:rPr>
              <w:t>根据项目特点分析，仓库内存放物料均存放在密闭包装袋或包装桶内，且仓库地面采取硬化、防腐、防渗处理，并设置有一定收集设施；车间地面采取硬化、防腐、防渗处理，因此正常情况下，</w:t>
            </w:r>
            <w:r>
              <w:rPr>
                <w:rFonts w:hint="default" w:eastAsia="仿宋_GB2312"/>
                <w:color w:val="auto"/>
                <w:kern w:val="0"/>
                <w:sz w:val="24"/>
                <w:szCs w:val="20"/>
                <w:highlight w:val="none"/>
              </w:rPr>
              <w:t>本项目对地下水影响</w:t>
            </w:r>
            <w:r>
              <w:rPr>
                <w:rFonts w:hint="eastAsia" w:eastAsia="仿宋_GB2312"/>
                <w:color w:val="auto"/>
                <w:kern w:val="0"/>
                <w:sz w:val="24"/>
                <w:szCs w:val="20"/>
                <w:highlight w:val="none"/>
                <w:lang w:eastAsia="zh-CN"/>
              </w:rPr>
              <w:t>较小</w:t>
            </w:r>
            <w:r>
              <w:rPr>
                <w:rFonts w:hint="default" w:eastAsia="仿宋_GB2312"/>
                <w:color w:val="auto"/>
                <w:kern w:val="0"/>
                <w:sz w:val="24"/>
                <w:szCs w:val="20"/>
                <w:highlight w:val="none"/>
              </w:rPr>
              <w:t>。事</w:t>
            </w:r>
            <w:r>
              <w:rPr>
                <w:rFonts w:hint="default" w:eastAsia="仿宋_GB2312"/>
                <w:color w:val="auto"/>
                <w:kern w:val="0"/>
                <w:sz w:val="24"/>
                <w:szCs w:val="20"/>
              </w:rPr>
              <w:t>故情况下，储存物料包装容器或储罐发生破损导致物料的渗漏或泄漏，且地面防腐防渗层遭破坏时，可能导致污染物泄漏至土壤并进入地下水，由此造成对地下水环境的影响。此外，本项目发生火灾事故时，产生的消防废水有进入地下水的可能。</w:t>
            </w:r>
          </w:p>
          <w:p w14:paraId="7BD5E093">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rPr>
            </w:pPr>
            <w:r>
              <w:rPr>
                <w:rFonts w:hint="default" w:eastAsia="仿宋_GB2312"/>
                <w:color w:val="auto"/>
                <w:kern w:val="0"/>
                <w:sz w:val="24"/>
                <w:szCs w:val="20"/>
              </w:rPr>
              <w:t>（2）土壤污染分析</w:t>
            </w:r>
          </w:p>
          <w:p w14:paraId="2DA30CD7">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rPr>
            </w:pPr>
            <w:r>
              <w:rPr>
                <w:rFonts w:hint="default" w:eastAsia="仿宋_GB2312"/>
                <w:color w:val="auto"/>
                <w:kern w:val="0"/>
                <w:sz w:val="24"/>
                <w:szCs w:val="20"/>
              </w:rPr>
              <w:t>本项目对土壤污染影响主要为运营期，土壤污染类型为污染影响型，对土壤的污染途径主要为大气沉降。</w:t>
            </w:r>
          </w:p>
          <w:p w14:paraId="7A3FE2EF">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kern w:val="0"/>
                <w:sz w:val="24"/>
                <w:szCs w:val="20"/>
              </w:rPr>
            </w:pPr>
            <w:r>
              <w:rPr>
                <w:rFonts w:hint="default" w:eastAsia="仿宋_GB2312"/>
                <w:b/>
                <w:bCs/>
                <w:color w:val="auto"/>
                <w:kern w:val="0"/>
                <w:sz w:val="24"/>
                <w:szCs w:val="20"/>
              </w:rPr>
              <w:t>2、污染防控措施</w:t>
            </w:r>
          </w:p>
          <w:p w14:paraId="0D240366">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（1）源头控制措施</w:t>
            </w:r>
          </w:p>
          <w:p w14:paraId="5523625C">
            <w:pPr>
              <w:keepNext w:val="0"/>
              <w:keepLines w:val="0"/>
              <w:suppressLineNumbers w:val="0"/>
              <w:spacing w:before="0" w:beforeAutospacing="0" w:after="0" w:afterAutospacing="0" w:line="500" w:lineRule="exact"/>
              <w:ind w:left="0" w:right="0" w:firstLine="480" w:firstLineChars="200"/>
              <w:rPr>
                <w:rFonts w:hint="default"/>
                <w:color w:val="auto"/>
              </w:rPr>
            </w:pPr>
            <w:r>
              <w:rPr>
                <w:rFonts w:hint="default" w:eastAsia="仿宋_GB2312"/>
                <w:color w:val="auto"/>
                <w:kern w:val="0"/>
                <w:sz w:val="24"/>
                <w:szCs w:val="20"/>
              </w:rPr>
              <w:t>为保护地下水，采取防控措施从源头控制对地下水的污染。实施清洁生产和循环经济，减少污染物的排放量。从设计、管理各种工艺设备和物料运输管线上，防止和减少污染物的跑冒滴漏，合理布局，减少污染物的泄漏途径（本项目不存在地下设置化学品输送管线）</w:t>
            </w:r>
            <w:r>
              <w:rPr>
                <w:rFonts w:hint="default"/>
                <w:color w:val="auto"/>
              </w:rPr>
              <w:t>。</w:t>
            </w:r>
          </w:p>
          <w:p w14:paraId="25C0DDF1">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（2）分区防控措施</w:t>
            </w:r>
          </w:p>
          <w:p w14:paraId="65699B5F">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项目根据场地天然包气带防污性能、污染控制难易程度和污染物特性提出地下水分区防渗技术要求。</w:t>
            </w:r>
          </w:p>
          <w:p w14:paraId="574F783F">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lang w:val="zh-CN"/>
              </w:rPr>
            </w:pPr>
            <w:r>
              <w:rPr>
                <w:rFonts w:hint="default" w:eastAsia="仿宋_GB2312"/>
                <w:b/>
                <w:bCs/>
                <w:color w:val="auto"/>
                <w:kern w:val="0"/>
                <w:sz w:val="22"/>
                <w:szCs w:val="22"/>
                <w:lang w:val="zh-CN"/>
              </w:rPr>
              <w:t>表</w:t>
            </w:r>
            <w:r>
              <w:rPr>
                <w:rFonts w:hint="default" w:eastAsia="仿宋_GB2312"/>
                <w:b/>
                <w:bCs/>
                <w:color w:val="auto"/>
                <w:kern w:val="0"/>
                <w:sz w:val="22"/>
                <w:szCs w:val="22"/>
              </w:rPr>
              <w:t>4-</w:t>
            </w:r>
            <w:r>
              <w:rPr>
                <w:rFonts w:hint="eastAsia" w:eastAsia="仿宋_GB2312"/>
                <w:b/>
                <w:bCs/>
                <w:color w:val="auto"/>
                <w:kern w:val="0"/>
                <w:sz w:val="22"/>
                <w:szCs w:val="22"/>
                <w:lang w:val="en-US" w:eastAsia="zh-CN"/>
              </w:rPr>
              <w:t>29</w:t>
            </w:r>
            <w:r>
              <w:rPr>
                <w:rFonts w:hint="default" w:eastAsia="仿宋_GB2312"/>
                <w:b/>
                <w:bCs/>
                <w:color w:val="auto"/>
                <w:kern w:val="0"/>
                <w:sz w:val="22"/>
                <w:szCs w:val="22"/>
              </w:rPr>
              <w:t xml:space="preserve">  </w:t>
            </w:r>
            <w:r>
              <w:rPr>
                <w:rFonts w:hint="default" w:eastAsia="仿宋_GB2312"/>
                <w:b/>
                <w:bCs/>
                <w:color w:val="auto"/>
                <w:kern w:val="0"/>
                <w:sz w:val="22"/>
                <w:szCs w:val="22"/>
                <w:lang w:val="zh-CN"/>
              </w:rPr>
              <w:t>天然包气带防污性能分级表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9164"/>
            </w:tblGrid>
            <w:tr w14:paraId="51F95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tcBorders>
                    <w:tl2br w:val="nil"/>
                    <w:tr2bl w:val="nil"/>
                  </w:tcBorders>
                  <w:shd w:val="clear" w:color="auto" w:fill="auto"/>
                  <w:vAlign w:val="center"/>
                </w:tcPr>
                <w:p w14:paraId="2FB2761F">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分级</w:t>
                  </w:r>
                </w:p>
              </w:tc>
              <w:tc>
                <w:tcPr>
                  <w:tcW w:w="7114" w:type="dxa"/>
                  <w:tcBorders>
                    <w:tl2br w:val="nil"/>
                    <w:tr2bl w:val="nil"/>
                  </w:tcBorders>
                  <w:shd w:val="clear" w:color="auto" w:fill="auto"/>
                  <w:vAlign w:val="center"/>
                </w:tcPr>
                <w:p w14:paraId="0BCA26D5">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包气带岩土的渗透性能</w:t>
                  </w:r>
                </w:p>
              </w:tc>
            </w:tr>
            <w:tr w14:paraId="50A1A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tcBorders>
                    <w:tl2br w:val="nil"/>
                    <w:tr2bl w:val="nil"/>
                  </w:tcBorders>
                  <w:shd w:val="clear" w:color="auto" w:fill="auto"/>
                  <w:vAlign w:val="center"/>
                </w:tcPr>
                <w:p w14:paraId="1481896C">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强</w:t>
                  </w:r>
                </w:p>
              </w:tc>
              <w:tc>
                <w:tcPr>
                  <w:tcW w:w="7114" w:type="dxa"/>
                  <w:tcBorders>
                    <w:tl2br w:val="nil"/>
                    <w:tr2bl w:val="nil"/>
                  </w:tcBorders>
                  <w:shd w:val="clear" w:color="auto" w:fill="auto"/>
                  <w:vAlign w:val="center"/>
                </w:tcPr>
                <w:p w14:paraId="7088505C">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岩（土）层单层厚度Mb≥1.0m，渗透系数K≤1×10</w:t>
                  </w:r>
                  <w:r>
                    <w:rPr>
                      <w:rFonts w:hint="default" w:eastAsia="仿宋_GB2312"/>
                      <w:color w:val="auto"/>
                      <w:szCs w:val="21"/>
                      <w:vertAlign w:val="superscript"/>
                    </w:rPr>
                    <w:t>-6</w:t>
                  </w:r>
                  <w:r>
                    <w:rPr>
                      <w:rFonts w:hint="default" w:eastAsia="仿宋_GB2312"/>
                      <w:color w:val="auto"/>
                      <w:szCs w:val="21"/>
                    </w:rPr>
                    <w:t>cm/s，且分布连续、稳定</w:t>
                  </w:r>
                </w:p>
              </w:tc>
            </w:tr>
            <w:tr w14:paraId="6E741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tcBorders>
                    <w:tl2br w:val="nil"/>
                    <w:tr2bl w:val="nil"/>
                  </w:tcBorders>
                  <w:shd w:val="clear" w:color="auto" w:fill="FFFFFF"/>
                  <w:vAlign w:val="center"/>
                </w:tcPr>
                <w:p w14:paraId="1A18ED43">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中</w:t>
                  </w:r>
                </w:p>
              </w:tc>
              <w:tc>
                <w:tcPr>
                  <w:tcW w:w="7114" w:type="dxa"/>
                  <w:tcBorders>
                    <w:tl2br w:val="nil"/>
                    <w:tr2bl w:val="nil"/>
                  </w:tcBorders>
                  <w:shd w:val="clear" w:color="auto" w:fill="FFFFFF"/>
                  <w:vAlign w:val="center"/>
                </w:tcPr>
                <w:p w14:paraId="7A9D6C90">
                  <w:pPr>
                    <w:keepNext w:val="0"/>
                    <w:keepLines w:val="0"/>
                    <w:suppressLineNumbers w:val="0"/>
                    <w:adjustRightInd w:val="0"/>
                    <w:snapToGrid w:val="0"/>
                    <w:spacing w:before="0" w:beforeAutospacing="0" w:after="0" w:afterAutospacing="0"/>
                    <w:ind w:left="0" w:right="0"/>
                    <w:jc w:val="center"/>
                    <w:rPr>
                      <w:rFonts w:hint="default" w:eastAsia="仿宋_GB2312"/>
                      <w:color w:val="auto"/>
                      <w:spacing w:val="-6"/>
                      <w:szCs w:val="21"/>
                    </w:rPr>
                  </w:pPr>
                  <w:r>
                    <w:rPr>
                      <w:rFonts w:hint="default" w:eastAsia="仿宋_GB2312"/>
                      <w:color w:val="auto"/>
                      <w:spacing w:val="-6"/>
                      <w:szCs w:val="21"/>
                    </w:rPr>
                    <w:t>岩（土）层单层厚度0.5m≤Mb＜1.0m，渗透系数K≤1×10</w:t>
                  </w:r>
                  <w:r>
                    <w:rPr>
                      <w:rFonts w:hint="default" w:eastAsia="仿宋_GB2312"/>
                      <w:color w:val="auto"/>
                      <w:spacing w:val="-6"/>
                      <w:szCs w:val="21"/>
                      <w:vertAlign w:val="superscript"/>
                    </w:rPr>
                    <w:t>-6</w:t>
                  </w:r>
                  <w:r>
                    <w:rPr>
                      <w:rFonts w:hint="default" w:eastAsia="仿宋_GB2312"/>
                      <w:color w:val="auto"/>
                      <w:spacing w:val="-6"/>
                      <w:szCs w:val="21"/>
                    </w:rPr>
                    <w:t>cm/s，且分布连续、稳定。岩（土）层单层厚度≥1.0m，渗透系数1×10</w:t>
                  </w:r>
                  <w:r>
                    <w:rPr>
                      <w:rFonts w:hint="default" w:eastAsia="仿宋_GB2312"/>
                      <w:color w:val="auto"/>
                      <w:spacing w:val="-6"/>
                      <w:szCs w:val="21"/>
                      <w:vertAlign w:val="superscript"/>
                    </w:rPr>
                    <w:t>-6</w:t>
                  </w:r>
                  <w:r>
                    <w:rPr>
                      <w:rFonts w:hint="default" w:eastAsia="仿宋_GB2312"/>
                      <w:color w:val="auto"/>
                      <w:spacing w:val="-6"/>
                      <w:szCs w:val="21"/>
                    </w:rPr>
                    <w:t>cm/s＜K≤1×10</w:t>
                  </w:r>
                  <w:r>
                    <w:rPr>
                      <w:rFonts w:hint="default" w:eastAsia="仿宋_GB2312"/>
                      <w:color w:val="auto"/>
                      <w:spacing w:val="-6"/>
                      <w:szCs w:val="21"/>
                      <w:vertAlign w:val="superscript"/>
                    </w:rPr>
                    <w:t>-4</w:t>
                  </w:r>
                  <w:r>
                    <w:rPr>
                      <w:rFonts w:hint="default" w:eastAsia="仿宋_GB2312"/>
                      <w:color w:val="auto"/>
                      <w:spacing w:val="-6"/>
                      <w:szCs w:val="21"/>
                    </w:rPr>
                    <w:t>cm/s，且分布连续、稳定</w:t>
                  </w:r>
                </w:p>
              </w:tc>
            </w:tr>
            <w:tr w14:paraId="0A55F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tcBorders>
                    <w:tl2br w:val="nil"/>
                    <w:tr2bl w:val="nil"/>
                  </w:tcBorders>
                  <w:shd w:val="clear" w:color="auto" w:fill="auto"/>
                  <w:vAlign w:val="center"/>
                </w:tcPr>
                <w:p w14:paraId="7FDF4A77">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弱</w:t>
                  </w:r>
                </w:p>
              </w:tc>
              <w:tc>
                <w:tcPr>
                  <w:tcW w:w="7114" w:type="dxa"/>
                  <w:tcBorders>
                    <w:tl2br w:val="nil"/>
                    <w:tr2bl w:val="nil"/>
                  </w:tcBorders>
                  <w:shd w:val="clear" w:color="auto" w:fill="auto"/>
                  <w:vAlign w:val="center"/>
                </w:tcPr>
                <w:p w14:paraId="5880D054">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岩（土）层不满足上述“强”和“中”条件。</w:t>
                  </w:r>
                </w:p>
              </w:tc>
            </w:tr>
          </w:tbl>
          <w:p w14:paraId="4A75DFDA">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lang w:val="zh-CN"/>
              </w:rPr>
            </w:pPr>
            <w:r>
              <w:rPr>
                <w:rFonts w:hint="default" w:eastAsia="仿宋_GB2312"/>
                <w:b/>
                <w:bCs/>
                <w:color w:val="auto"/>
                <w:kern w:val="0"/>
                <w:sz w:val="22"/>
                <w:szCs w:val="22"/>
                <w:lang w:val="zh-CN"/>
              </w:rPr>
              <w:t>表</w:t>
            </w:r>
            <w:r>
              <w:rPr>
                <w:rFonts w:hint="default" w:eastAsia="仿宋_GB2312"/>
                <w:b/>
                <w:bCs/>
                <w:color w:val="auto"/>
                <w:kern w:val="0"/>
                <w:sz w:val="22"/>
                <w:szCs w:val="22"/>
              </w:rPr>
              <w:t>4-</w:t>
            </w:r>
            <w:r>
              <w:rPr>
                <w:rFonts w:hint="eastAsia" w:eastAsia="仿宋_GB2312"/>
                <w:b/>
                <w:bCs/>
                <w:color w:val="auto"/>
                <w:kern w:val="0"/>
                <w:sz w:val="22"/>
                <w:szCs w:val="22"/>
                <w:lang w:val="en-US" w:eastAsia="zh-CN"/>
              </w:rPr>
              <w:t>30</w:t>
            </w:r>
            <w:r>
              <w:rPr>
                <w:rFonts w:hint="default" w:eastAsia="仿宋_GB2312"/>
                <w:b/>
                <w:bCs/>
                <w:color w:val="auto"/>
                <w:kern w:val="0"/>
                <w:sz w:val="22"/>
                <w:szCs w:val="22"/>
              </w:rPr>
              <w:t xml:space="preserve">  </w:t>
            </w:r>
            <w:r>
              <w:rPr>
                <w:rFonts w:hint="default" w:eastAsia="仿宋_GB2312"/>
                <w:b/>
                <w:bCs/>
                <w:color w:val="auto"/>
                <w:kern w:val="0"/>
                <w:sz w:val="22"/>
                <w:szCs w:val="22"/>
                <w:lang w:val="zh-CN"/>
              </w:rPr>
              <w:t>污染控制难易程度分级表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87"/>
              <w:gridCol w:w="7913"/>
            </w:tblGrid>
            <w:tr w14:paraId="7AB9A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tcBorders>
                    <w:tl2br w:val="nil"/>
                    <w:tr2bl w:val="nil"/>
                  </w:tcBorders>
                  <w:shd w:val="clear" w:color="auto" w:fill="auto"/>
                  <w:vAlign w:val="center"/>
                </w:tcPr>
                <w:p w14:paraId="6EAC880C">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污染控制难易程度</w:t>
                  </w:r>
                </w:p>
              </w:tc>
              <w:tc>
                <w:tcPr>
                  <w:tcW w:w="6466" w:type="dxa"/>
                  <w:tcBorders>
                    <w:tl2br w:val="nil"/>
                    <w:tr2bl w:val="nil"/>
                  </w:tcBorders>
                  <w:shd w:val="clear" w:color="auto" w:fill="auto"/>
                  <w:vAlign w:val="center"/>
                </w:tcPr>
                <w:p w14:paraId="38C3D8D8">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主要特征</w:t>
                  </w:r>
                </w:p>
              </w:tc>
            </w:tr>
            <w:tr w14:paraId="2DBB4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tcBorders>
                    <w:tl2br w:val="nil"/>
                    <w:tr2bl w:val="nil"/>
                  </w:tcBorders>
                  <w:shd w:val="clear" w:color="auto" w:fill="auto"/>
                  <w:vAlign w:val="center"/>
                </w:tcPr>
                <w:p w14:paraId="0E5EBEC8">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难</w:t>
                  </w:r>
                </w:p>
              </w:tc>
              <w:tc>
                <w:tcPr>
                  <w:tcW w:w="6466" w:type="dxa"/>
                  <w:tcBorders>
                    <w:tl2br w:val="nil"/>
                    <w:tr2bl w:val="nil"/>
                  </w:tcBorders>
                  <w:shd w:val="clear" w:color="auto" w:fill="auto"/>
                  <w:vAlign w:val="center"/>
                </w:tcPr>
                <w:p w14:paraId="50FAAF5B">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对地下水环境有污染的物料或污染物泄漏后，不能及时发现和处理</w:t>
                  </w:r>
                </w:p>
              </w:tc>
            </w:tr>
            <w:tr w14:paraId="4D46B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951" w:type="dxa"/>
                  <w:tcBorders>
                    <w:tl2br w:val="nil"/>
                    <w:tr2bl w:val="nil"/>
                  </w:tcBorders>
                  <w:shd w:val="clear" w:color="auto" w:fill="auto"/>
                  <w:vAlign w:val="center"/>
                </w:tcPr>
                <w:p w14:paraId="461EE600">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易</w:t>
                  </w:r>
                </w:p>
              </w:tc>
              <w:tc>
                <w:tcPr>
                  <w:tcW w:w="6466" w:type="dxa"/>
                  <w:tcBorders>
                    <w:tl2br w:val="nil"/>
                    <w:tr2bl w:val="nil"/>
                  </w:tcBorders>
                  <w:shd w:val="clear" w:color="auto" w:fill="auto"/>
                  <w:vAlign w:val="center"/>
                </w:tcPr>
                <w:p w14:paraId="5BF1B1AE">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对地下水环境有污染的物料或污染物泄漏后，可及时发现和处理</w:t>
                  </w:r>
                </w:p>
              </w:tc>
            </w:tr>
          </w:tbl>
          <w:p w14:paraId="4D8A939A">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包气带及地表与潜水面之间的地带，是地下含水层的天然保护层，是地表污染物质进入含水层的垂直过渡带。污染物质进入包气带便与周围介质发生物理化学生物等作用，其作用时间越长越充分，包气带净化能力越强。本项目建设过程中素填土将被挖开做基础，建设项目场地底下基础之下第一岩土层为粉质粘土夹粉土，平均厚度Mb为3.73m，平均渗透系数K为1.30×10</w:t>
            </w:r>
            <w:r>
              <w:rPr>
                <w:rFonts w:hint="default" w:eastAsia="仿宋_GB2312"/>
                <w:color w:val="auto"/>
                <w:sz w:val="24"/>
                <w:vertAlign w:val="superscript"/>
              </w:rPr>
              <w:t>-6</w:t>
            </w:r>
            <w:r>
              <w:rPr>
                <w:rFonts w:hint="default" w:eastAsia="仿宋_GB2312"/>
                <w:color w:val="auto"/>
                <w:sz w:val="24"/>
              </w:rPr>
              <w:t>cm/s，因此包气带防污性能为“中”。</w:t>
            </w:r>
          </w:p>
          <w:p w14:paraId="74A10445">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本项目针对污染特点，将</w:t>
            </w:r>
            <w:r>
              <w:rPr>
                <w:rFonts w:hint="eastAsia" w:eastAsia="仿宋_GB2312"/>
                <w:color w:val="auto"/>
                <w:sz w:val="24"/>
                <w:lang w:eastAsia="zh-CN"/>
              </w:rPr>
              <w:t>一楼生产区</w:t>
            </w:r>
            <w:r>
              <w:rPr>
                <w:rFonts w:hint="default" w:eastAsia="仿宋_GB2312"/>
                <w:color w:val="auto"/>
                <w:sz w:val="24"/>
              </w:rPr>
              <w:t>、污水处理站、事故应急池1</w:t>
            </w:r>
            <w:r>
              <w:rPr>
                <w:rFonts w:hint="default" w:eastAsia="仿宋_GB2312"/>
                <w:color w:val="auto"/>
                <w:sz w:val="24"/>
                <w:highlight w:val="none"/>
              </w:rPr>
              <w:t>（和本项目相关的</w:t>
            </w:r>
            <w:r>
              <w:rPr>
                <w:rFonts w:hint="eastAsia" w:eastAsia="仿宋_GB2312"/>
                <w:color w:val="auto"/>
                <w:sz w:val="24"/>
                <w:highlight w:val="none"/>
                <w:lang w:eastAsia="zh-CN"/>
              </w:rPr>
              <w:t>，</w:t>
            </w:r>
            <w:r>
              <w:rPr>
                <w:rFonts w:hint="eastAsia" w:eastAsia="仿宋_GB2312"/>
                <w:color w:val="auto"/>
                <w:sz w:val="24"/>
                <w:lang w:eastAsia="zh-CN"/>
              </w:rPr>
              <w:t>不与景观水体联通</w:t>
            </w:r>
            <w:r>
              <w:rPr>
                <w:rFonts w:hint="default" w:eastAsia="仿宋_GB2312"/>
                <w:color w:val="auto"/>
                <w:sz w:val="24"/>
                <w:highlight w:val="none"/>
              </w:rPr>
              <w:t>）</w:t>
            </w:r>
            <w:r>
              <w:rPr>
                <w:rFonts w:hint="default" w:eastAsia="仿宋_GB2312"/>
                <w:color w:val="auto"/>
                <w:sz w:val="24"/>
              </w:rPr>
              <w:t>、事故应急池2（和本项目相关的</w:t>
            </w:r>
            <w:r>
              <w:rPr>
                <w:rFonts w:hint="eastAsia" w:eastAsia="仿宋_GB2312"/>
                <w:color w:val="auto"/>
                <w:sz w:val="24"/>
                <w:lang w:eastAsia="zh-CN"/>
              </w:rPr>
              <w:t>，不与景观水体联通</w:t>
            </w:r>
            <w:r>
              <w:rPr>
                <w:rFonts w:hint="default" w:eastAsia="仿宋_GB2312"/>
                <w:color w:val="auto"/>
                <w:sz w:val="24"/>
              </w:rPr>
              <w:t>）</w:t>
            </w:r>
            <w:r>
              <w:rPr>
                <w:rFonts w:hint="eastAsia" w:eastAsia="仿宋_GB2312"/>
                <w:color w:val="auto"/>
                <w:sz w:val="24"/>
                <w:lang w:eastAsia="zh-CN"/>
              </w:rPr>
              <w:t>、</w:t>
            </w:r>
            <w:r>
              <w:rPr>
                <w:rFonts w:hint="default" w:eastAsia="仿宋_GB2312"/>
                <w:color w:val="auto"/>
                <w:sz w:val="24"/>
              </w:rPr>
              <w:t>初期雨水池（和本项目相关的</w:t>
            </w:r>
            <w:r>
              <w:rPr>
                <w:rFonts w:hint="eastAsia" w:eastAsia="仿宋_GB2312"/>
                <w:color w:val="auto"/>
                <w:sz w:val="24"/>
                <w:lang w:eastAsia="zh-CN"/>
              </w:rPr>
              <w:t>，不与景观水体联通</w:t>
            </w:r>
            <w:r>
              <w:rPr>
                <w:rFonts w:hint="default" w:eastAsia="仿宋_GB2312"/>
                <w:color w:val="auto"/>
                <w:sz w:val="24"/>
              </w:rPr>
              <w:t>）</w:t>
            </w:r>
            <w:r>
              <w:rPr>
                <w:rFonts w:hint="eastAsia" w:eastAsia="仿宋_GB2312"/>
                <w:color w:val="auto"/>
                <w:sz w:val="24"/>
                <w:lang w:eastAsia="zh-CN"/>
              </w:rPr>
              <w:t>和厂房</w:t>
            </w:r>
            <w:r>
              <w:rPr>
                <w:rFonts w:hint="eastAsia" w:eastAsia="仿宋_GB2312"/>
                <w:color w:val="auto"/>
                <w:sz w:val="24"/>
                <w:lang w:val="en-US" w:eastAsia="zh-CN"/>
              </w:rPr>
              <w:t>二楼</w:t>
            </w:r>
            <w:r>
              <w:rPr>
                <w:rFonts w:hint="default" w:eastAsia="仿宋_GB2312"/>
                <w:color w:val="auto"/>
                <w:sz w:val="24"/>
              </w:rPr>
              <w:t>设置为地下水、土壤重点污染防渗区</w:t>
            </w:r>
            <w:r>
              <w:rPr>
                <w:rFonts w:hint="eastAsia" w:eastAsia="仿宋_GB2312"/>
                <w:color w:val="auto"/>
                <w:sz w:val="24"/>
                <w:lang w:eastAsia="zh-CN"/>
              </w:rPr>
              <w:t>，</w:t>
            </w:r>
            <w:r>
              <w:rPr>
                <w:rFonts w:hint="default" w:eastAsia="仿宋_GB2312"/>
                <w:color w:val="auto"/>
                <w:sz w:val="24"/>
              </w:rPr>
              <w:t>一旦污染物泄漏能及时发现和处理。本项目地下水、土壤污染分区防渗技术要求见下表。</w:t>
            </w:r>
          </w:p>
          <w:p w14:paraId="377C2C8B">
            <w:pPr>
              <w:keepNext w:val="0"/>
              <w:keepLines w:val="0"/>
              <w:widowControl/>
              <w:suppressLineNumbers w:val="0"/>
              <w:spacing w:before="0" w:beforeAutospacing="0" w:after="0" w:afterAutospacing="0" w:line="500" w:lineRule="exact"/>
              <w:ind w:left="0" w:right="0" w:firstLine="2" w:firstLineChars="1"/>
              <w:jc w:val="center"/>
              <w:rPr>
                <w:rFonts w:hint="default" w:eastAsia="仿宋_GB2312"/>
                <w:b/>
                <w:bCs/>
                <w:color w:val="auto"/>
                <w:kern w:val="0"/>
                <w:sz w:val="22"/>
                <w:szCs w:val="22"/>
                <w:lang w:val="zh-CN"/>
              </w:rPr>
            </w:pPr>
            <w:r>
              <w:rPr>
                <w:rFonts w:hint="default" w:eastAsia="仿宋_GB2312"/>
                <w:b/>
                <w:bCs/>
                <w:color w:val="auto"/>
                <w:kern w:val="0"/>
                <w:sz w:val="22"/>
                <w:szCs w:val="22"/>
                <w:lang w:val="zh-CN"/>
              </w:rPr>
              <w:t>表</w:t>
            </w:r>
            <w:r>
              <w:rPr>
                <w:rFonts w:hint="default" w:eastAsia="仿宋_GB2312"/>
                <w:b/>
                <w:bCs/>
                <w:color w:val="auto"/>
                <w:kern w:val="0"/>
                <w:sz w:val="22"/>
                <w:szCs w:val="22"/>
              </w:rPr>
              <w:t>4-</w:t>
            </w:r>
            <w:r>
              <w:rPr>
                <w:rFonts w:hint="eastAsia" w:eastAsia="仿宋_GB2312"/>
                <w:b/>
                <w:bCs/>
                <w:color w:val="auto"/>
                <w:kern w:val="0"/>
                <w:sz w:val="22"/>
                <w:szCs w:val="22"/>
                <w:lang w:val="en-US" w:eastAsia="zh-CN"/>
              </w:rPr>
              <w:t>31</w:t>
            </w:r>
            <w:r>
              <w:rPr>
                <w:rFonts w:hint="default" w:eastAsia="仿宋_GB2312"/>
                <w:b/>
                <w:bCs/>
                <w:color w:val="auto"/>
                <w:kern w:val="0"/>
                <w:sz w:val="22"/>
                <w:szCs w:val="22"/>
              </w:rPr>
              <w:t xml:space="preserve">  </w:t>
            </w:r>
            <w:r>
              <w:rPr>
                <w:rFonts w:hint="default" w:eastAsia="仿宋_GB2312"/>
                <w:b/>
                <w:bCs/>
                <w:color w:val="auto"/>
                <w:kern w:val="0"/>
                <w:sz w:val="22"/>
                <w:szCs w:val="22"/>
                <w:lang w:val="zh-CN"/>
              </w:rPr>
              <w:t>地下水污染分区防渗技术要求一览表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634"/>
              <w:gridCol w:w="1634"/>
              <w:gridCol w:w="1896"/>
              <w:gridCol w:w="3449"/>
            </w:tblGrid>
            <w:tr w14:paraId="74BC9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pct"/>
                  <w:tcBorders>
                    <w:tl2br w:val="nil"/>
                    <w:tr2bl w:val="nil"/>
                  </w:tcBorders>
                  <w:shd w:val="clear" w:color="auto" w:fill="auto"/>
                  <w:vAlign w:val="center"/>
                </w:tcPr>
                <w:p w14:paraId="085A83D2">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防渗分区</w:t>
                  </w:r>
                </w:p>
              </w:tc>
              <w:tc>
                <w:tcPr>
                  <w:tcW w:w="793" w:type="pct"/>
                  <w:tcBorders>
                    <w:tl2br w:val="nil"/>
                    <w:tr2bl w:val="nil"/>
                  </w:tcBorders>
                  <w:shd w:val="clear" w:color="auto" w:fill="auto"/>
                  <w:vAlign w:val="center"/>
                </w:tcPr>
                <w:p w14:paraId="0A4D3E1A">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天然包气带防污性能</w:t>
                  </w:r>
                </w:p>
              </w:tc>
              <w:tc>
                <w:tcPr>
                  <w:tcW w:w="793" w:type="pct"/>
                  <w:tcBorders>
                    <w:tl2br w:val="nil"/>
                    <w:tr2bl w:val="nil"/>
                  </w:tcBorders>
                  <w:shd w:val="clear" w:color="auto" w:fill="auto"/>
                  <w:vAlign w:val="center"/>
                </w:tcPr>
                <w:p w14:paraId="340F6583">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污染控制难易程度</w:t>
                  </w:r>
                </w:p>
              </w:tc>
              <w:tc>
                <w:tcPr>
                  <w:tcW w:w="920" w:type="pct"/>
                  <w:tcBorders>
                    <w:tl2br w:val="nil"/>
                    <w:tr2bl w:val="nil"/>
                  </w:tcBorders>
                  <w:shd w:val="clear" w:color="auto" w:fill="auto"/>
                  <w:vAlign w:val="center"/>
                </w:tcPr>
                <w:p w14:paraId="4E42DB9B">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污染物类型</w:t>
                  </w:r>
                </w:p>
              </w:tc>
              <w:tc>
                <w:tcPr>
                  <w:tcW w:w="1674" w:type="pct"/>
                  <w:tcBorders>
                    <w:tl2br w:val="nil"/>
                    <w:tr2bl w:val="nil"/>
                  </w:tcBorders>
                  <w:shd w:val="clear" w:color="auto" w:fill="auto"/>
                  <w:vAlign w:val="center"/>
                </w:tcPr>
                <w:p w14:paraId="24386B10">
                  <w:pPr>
                    <w:keepNext w:val="0"/>
                    <w:keepLines w:val="0"/>
                    <w:suppressLineNumbers w:val="0"/>
                    <w:adjustRightInd w:val="0"/>
                    <w:snapToGrid w:val="0"/>
                    <w:spacing w:before="0" w:beforeAutospacing="0" w:after="0" w:afterAutospacing="0"/>
                    <w:ind w:left="0" w:right="0"/>
                    <w:jc w:val="center"/>
                    <w:rPr>
                      <w:rFonts w:hint="default" w:eastAsia="仿宋_GB2312"/>
                      <w:b/>
                      <w:bCs/>
                      <w:color w:val="auto"/>
                      <w:szCs w:val="21"/>
                    </w:rPr>
                  </w:pPr>
                  <w:r>
                    <w:rPr>
                      <w:rFonts w:hint="default" w:eastAsia="仿宋_GB2312"/>
                      <w:b/>
                      <w:bCs/>
                      <w:color w:val="auto"/>
                      <w:szCs w:val="21"/>
                    </w:rPr>
                    <w:t>防渗技术要求</w:t>
                  </w:r>
                </w:p>
              </w:tc>
            </w:tr>
            <w:tr w14:paraId="7AA38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pct"/>
                  <w:vMerge w:val="restart"/>
                  <w:tcBorders>
                    <w:tl2br w:val="nil"/>
                    <w:tr2bl w:val="nil"/>
                  </w:tcBorders>
                  <w:shd w:val="clear" w:color="auto" w:fill="auto"/>
                  <w:vAlign w:val="center"/>
                </w:tcPr>
                <w:p w14:paraId="3619124E">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重点防渗区</w:t>
                  </w:r>
                </w:p>
              </w:tc>
              <w:tc>
                <w:tcPr>
                  <w:tcW w:w="793" w:type="pct"/>
                  <w:vMerge w:val="restart"/>
                  <w:tcBorders>
                    <w:tl2br w:val="nil"/>
                    <w:tr2bl w:val="nil"/>
                  </w:tcBorders>
                  <w:shd w:val="clear" w:color="auto" w:fill="auto"/>
                  <w:vAlign w:val="center"/>
                </w:tcPr>
                <w:p w14:paraId="3A1F55A1">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中-强</w:t>
                  </w:r>
                </w:p>
              </w:tc>
              <w:tc>
                <w:tcPr>
                  <w:tcW w:w="793" w:type="pct"/>
                  <w:tcBorders>
                    <w:tl2br w:val="nil"/>
                    <w:tr2bl w:val="nil"/>
                  </w:tcBorders>
                  <w:shd w:val="clear" w:color="auto" w:fill="auto"/>
                  <w:vAlign w:val="center"/>
                </w:tcPr>
                <w:p w14:paraId="1B421D50">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易</w:t>
                  </w:r>
                </w:p>
              </w:tc>
              <w:tc>
                <w:tcPr>
                  <w:tcW w:w="920" w:type="pct"/>
                  <w:vMerge w:val="restart"/>
                  <w:tcBorders>
                    <w:tl2br w:val="nil"/>
                    <w:tr2bl w:val="nil"/>
                  </w:tcBorders>
                  <w:shd w:val="clear" w:color="auto" w:fill="auto"/>
                  <w:vAlign w:val="center"/>
                </w:tcPr>
                <w:p w14:paraId="10763B6C">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持久性有机污染物</w:t>
                  </w:r>
                </w:p>
              </w:tc>
              <w:tc>
                <w:tcPr>
                  <w:tcW w:w="1674" w:type="pct"/>
                  <w:vMerge w:val="restart"/>
                  <w:tcBorders>
                    <w:tl2br w:val="nil"/>
                    <w:tr2bl w:val="nil"/>
                  </w:tcBorders>
                  <w:shd w:val="clear" w:color="auto" w:fill="auto"/>
                  <w:vAlign w:val="center"/>
                </w:tcPr>
                <w:p w14:paraId="6469C150">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等效黏土防渗层Mb≥6.0m，K≤1×10</w:t>
                  </w:r>
                  <w:r>
                    <w:rPr>
                      <w:rFonts w:hint="default" w:eastAsia="仿宋_GB2312"/>
                      <w:color w:val="auto"/>
                      <w:szCs w:val="21"/>
                      <w:vertAlign w:val="superscript"/>
                    </w:rPr>
                    <w:t>-7</w:t>
                  </w:r>
                  <w:r>
                    <w:rPr>
                      <w:rFonts w:hint="default" w:eastAsia="仿宋_GB2312"/>
                      <w:color w:val="auto"/>
                      <w:szCs w:val="21"/>
                    </w:rPr>
                    <w:t>cm/s</w:t>
                  </w:r>
                </w:p>
              </w:tc>
            </w:tr>
            <w:tr w14:paraId="5A1EC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pct"/>
                  <w:vMerge w:val="continue"/>
                  <w:tcBorders>
                    <w:tl2br w:val="nil"/>
                    <w:tr2bl w:val="nil"/>
                  </w:tcBorders>
                  <w:shd w:val="clear" w:color="auto" w:fill="auto"/>
                  <w:vAlign w:val="center"/>
                </w:tcPr>
                <w:p w14:paraId="3DFC10DB">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p>
              </w:tc>
              <w:tc>
                <w:tcPr>
                  <w:tcW w:w="793" w:type="pct"/>
                  <w:vMerge w:val="continue"/>
                  <w:tcBorders>
                    <w:tl2br w:val="nil"/>
                    <w:tr2bl w:val="nil"/>
                  </w:tcBorders>
                  <w:shd w:val="clear" w:color="auto" w:fill="auto"/>
                  <w:vAlign w:val="center"/>
                </w:tcPr>
                <w:p w14:paraId="2A62AA50">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p>
              </w:tc>
              <w:tc>
                <w:tcPr>
                  <w:tcW w:w="793" w:type="pct"/>
                  <w:tcBorders>
                    <w:tl2br w:val="nil"/>
                    <w:tr2bl w:val="nil"/>
                  </w:tcBorders>
                  <w:shd w:val="clear" w:color="auto" w:fill="auto"/>
                  <w:vAlign w:val="center"/>
                </w:tcPr>
                <w:p w14:paraId="4F34ED5A">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r>
                    <w:rPr>
                      <w:rFonts w:hint="default" w:eastAsia="仿宋_GB2312"/>
                      <w:color w:val="auto"/>
                      <w:szCs w:val="21"/>
                    </w:rPr>
                    <w:t>难</w:t>
                  </w:r>
                </w:p>
              </w:tc>
              <w:tc>
                <w:tcPr>
                  <w:tcW w:w="920" w:type="pct"/>
                  <w:vMerge w:val="continue"/>
                  <w:tcBorders>
                    <w:tl2br w:val="nil"/>
                    <w:tr2bl w:val="nil"/>
                  </w:tcBorders>
                  <w:shd w:val="clear" w:color="auto" w:fill="auto"/>
                  <w:vAlign w:val="center"/>
                </w:tcPr>
                <w:p w14:paraId="3B02D285">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p>
              </w:tc>
              <w:tc>
                <w:tcPr>
                  <w:tcW w:w="1674" w:type="pct"/>
                  <w:vMerge w:val="continue"/>
                  <w:tcBorders>
                    <w:tl2br w:val="nil"/>
                    <w:tr2bl w:val="nil"/>
                  </w:tcBorders>
                  <w:shd w:val="clear" w:color="auto" w:fill="auto"/>
                  <w:vAlign w:val="center"/>
                </w:tcPr>
                <w:p w14:paraId="582DA943">
                  <w:pPr>
                    <w:keepNext w:val="0"/>
                    <w:keepLines w:val="0"/>
                    <w:suppressLineNumbers w:val="0"/>
                    <w:adjustRightInd w:val="0"/>
                    <w:snapToGrid w:val="0"/>
                    <w:spacing w:before="0" w:beforeAutospacing="0" w:after="0" w:afterAutospacing="0"/>
                    <w:ind w:left="0" w:right="0"/>
                    <w:jc w:val="center"/>
                    <w:rPr>
                      <w:rFonts w:hint="default" w:eastAsia="仿宋_GB2312"/>
                      <w:color w:val="auto"/>
                      <w:szCs w:val="21"/>
                    </w:rPr>
                  </w:pPr>
                </w:p>
              </w:tc>
            </w:tr>
          </w:tbl>
          <w:p w14:paraId="00475DB7">
            <w:pPr>
              <w:keepNext w:val="0"/>
              <w:keepLines w:val="0"/>
              <w:suppressLineNumbers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重点污染区的防渗设计参照《危险废物贮存污染控制标准》（GB18597-20</w:t>
            </w:r>
            <w:r>
              <w:rPr>
                <w:rFonts w:hint="eastAsia" w:eastAsia="仿宋_GB2312"/>
                <w:color w:val="auto"/>
                <w:sz w:val="24"/>
              </w:rPr>
              <w:t>23</w:t>
            </w:r>
            <w:r>
              <w:rPr>
                <w:rFonts w:hint="default" w:eastAsia="仿宋_GB2312"/>
                <w:color w:val="auto"/>
                <w:sz w:val="24"/>
              </w:rPr>
              <w:t>）要求，采取基础防渗层为1m厚黏土层（渗透系数≤10</w:t>
            </w:r>
            <w:r>
              <w:rPr>
                <w:rFonts w:hint="default" w:eastAsia="仿宋_GB2312"/>
                <w:color w:val="auto"/>
                <w:sz w:val="24"/>
                <w:vertAlign w:val="superscript"/>
              </w:rPr>
              <w:t>-7</w:t>
            </w:r>
            <w:r>
              <w:rPr>
                <w:rFonts w:hint="default" w:eastAsia="仿宋_GB2312"/>
                <w:color w:val="auto"/>
                <w:sz w:val="24"/>
              </w:rPr>
              <w:t>cm/s），并进行0.1m的混凝土浇筑，最上层为2.5mm的环氧树脂防腐防渗层，渗透系数≤10</w:t>
            </w:r>
            <w:r>
              <w:rPr>
                <w:rFonts w:hint="default" w:eastAsia="仿宋_GB2312"/>
                <w:color w:val="auto"/>
                <w:sz w:val="24"/>
                <w:vertAlign w:val="superscript"/>
              </w:rPr>
              <w:t>-10</w:t>
            </w:r>
            <w:r>
              <w:rPr>
                <w:rFonts w:hint="default" w:eastAsia="仿宋_GB2312"/>
                <w:color w:val="auto"/>
                <w:sz w:val="24"/>
              </w:rPr>
              <w:t>cm/s。防渗措施设置于地面以上，便于跑、冒、滴、漏的直接观察；严格按照建筑防渗设计规范，采用高标号的防水混凝土；地坪做严格的防渗措施。</w:t>
            </w:r>
          </w:p>
          <w:p w14:paraId="11165D5D">
            <w:pPr>
              <w:keepNext w:val="0"/>
              <w:keepLines w:val="0"/>
              <w:suppressLineNumbers w:val="0"/>
              <w:spacing w:before="0" w:beforeAutospacing="0" w:after="0" w:afterAutospacing="0" w:line="500" w:lineRule="exact"/>
              <w:ind w:left="0" w:right="0" w:firstLine="480" w:firstLineChars="200"/>
              <w:rPr>
                <w:rFonts w:hint="default" w:eastAsia="仿宋_GB2312"/>
                <w:color w:val="auto"/>
              </w:rPr>
            </w:pPr>
            <w:r>
              <w:rPr>
                <w:rFonts w:hint="default" w:eastAsia="仿宋_GB2312"/>
                <w:color w:val="auto"/>
                <w:sz w:val="24"/>
              </w:rPr>
              <w:t>（3）加强废气污染防治措施管理和维护，确保其正常运行，减少气态污染物沉降造成土壤及地下水污染。占地范围内应采取绿化措施，以种植具有较强吸附能力的植物为主。</w:t>
            </w:r>
          </w:p>
          <w:p w14:paraId="24B7CD99">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kern w:val="0"/>
                <w:sz w:val="24"/>
                <w:szCs w:val="20"/>
              </w:rPr>
            </w:pPr>
            <w:r>
              <w:rPr>
                <w:rFonts w:hint="default" w:eastAsia="仿宋_GB2312"/>
                <w:b/>
                <w:bCs/>
                <w:color w:val="auto"/>
                <w:kern w:val="0"/>
                <w:sz w:val="24"/>
                <w:szCs w:val="20"/>
              </w:rPr>
              <w:t>3、环境影响分析</w:t>
            </w:r>
          </w:p>
          <w:p w14:paraId="10832CB8">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default" w:eastAsia="仿宋_GB2312"/>
                <w:color w:val="auto"/>
                <w:kern w:val="0"/>
                <w:sz w:val="24"/>
                <w:szCs w:val="20"/>
              </w:rPr>
              <w:t>由污染途径及对应措施分析可知，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项目对可能产生土壤影响的各项途径均进行有效预防，在确保各项防渗措施得以落实，并加强维护和厂区环境管理的前提下，项目不会对土壤环境产生明显影响。</w:t>
            </w:r>
          </w:p>
          <w:p w14:paraId="576310FC">
            <w:pPr>
              <w:keepNext w:val="0"/>
              <w:keepLines w:val="0"/>
              <w:widowControl/>
              <w:suppressLineNumbers w:val="0"/>
              <w:adjustRightInd w:val="0"/>
              <w:snapToGrid w:val="0"/>
              <w:spacing w:before="0" w:beforeAutospacing="0" w:after="0" w:afterAutospacing="0" w:line="500" w:lineRule="exact"/>
              <w:ind w:left="0" w:right="0" w:firstLine="482" w:firstLineChars="200"/>
              <w:jc w:val="left"/>
              <w:rPr>
                <w:rFonts w:hint="default" w:eastAsia="仿宋_GB2312"/>
                <w:b/>
                <w:bCs/>
                <w:color w:val="auto"/>
                <w:sz w:val="24"/>
              </w:rPr>
            </w:pPr>
            <w:r>
              <w:rPr>
                <w:rFonts w:hint="default" w:eastAsia="仿宋_GB2312"/>
                <w:b/>
                <w:bCs/>
                <w:color w:val="auto"/>
                <w:sz w:val="24"/>
              </w:rPr>
              <w:t>4、监测要求</w:t>
            </w:r>
          </w:p>
          <w:p w14:paraId="7FE80EAF">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rPr>
            </w:pPr>
            <w:r>
              <w:rPr>
                <w:rFonts w:hint="default" w:eastAsia="仿宋_GB2312"/>
                <w:color w:val="auto"/>
                <w:kern w:val="0"/>
                <w:sz w:val="24"/>
                <w:szCs w:val="20"/>
              </w:rPr>
              <w:t>本项目建成后，应在生产运行阶段开展土壤、地下水跟踪监测，详细监测计划见下文（自行监测要求）。</w:t>
            </w:r>
          </w:p>
          <w:p w14:paraId="2BAF08BC">
            <w:pPr>
              <w:keepNext w:val="0"/>
              <w:keepLines w:val="0"/>
              <w:suppressLineNumbers w:val="0"/>
              <w:spacing w:before="0" w:beforeAutospacing="0" w:after="0" w:afterAutospacing="0" w:line="500" w:lineRule="exact"/>
              <w:ind w:left="0" w:right="0"/>
              <w:rPr>
                <w:rFonts w:hint="default" w:eastAsia="仿宋_GB2312"/>
                <w:b/>
                <w:bCs/>
                <w:color w:val="auto"/>
                <w:kern w:val="0"/>
                <w:sz w:val="24"/>
                <w:szCs w:val="20"/>
                <w:lang w:val="en-US"/>
              </w:rPr>
            </w:pPr>
            <w:r>
              <w:rPr>
                <w:rFonts w:hint="eastAsia" w:eastAsia="仿宋_GB2312"/>
                <w:b/>
                <w:bCs/>
                <w:color w:val="auto"/>
                <w:kern w:val="0"/>
                <w:sz w:val="24"/>
                <w:szCs w:val="20"/>
                <w:lang w:val="en-US" w:eastAsia="zh-CN"/>
              </w:rPr>
              <w:t>六、生态</w:t>
            </w:r>
          </w:p>
          <w:p w14:paraId="02F13C58">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eastAsia="仿宋_GB2312" w:cs="仿宋_GB2312"/>
                <w:bCs/>
                <w:color w:val="auto"/>
                <w:kern w:val="0"/>
                <w:sz w:val="24"/>
                <w:szCs w:val="24"/>
                <w:lang w:val="en-US" w:eastAsia="zh-CN" w:bidi="ar"/>
              </w:rPr>
            </w:pPr>
            <w:r>
              <w:rPr>
                <w:rFonts w:hint="eastAsia" w:ascii="Times New Roman" w:hAnsi="Times New Roman" w:eastAsia="仿宋_GB2312" w:cs="仿宋_GB2312"/>
                <w:bCs/>
                <w:color w:val="auto"/>
                <w:kern w:val="0"/>
                <w:sz w:val="24"/>
                <w:szCs w:val="24"/>
                <w:lang w:val="en-US" w:eastAsia="zh-CN" w:bidi="ar"/>
              </w:rPr>
              <w:t>本项目位于金坛金城科技产业园内，符合规划环评要求，不涉及生态敏感区，对生态环境无影响。</w:t>
            </w:r>
          </w:p>
          <w:p w14:paraId="2E7445E5">
            <w:pPr>
              <w:keepNext w:val="0"/>
              <w:keepLines w:val="0"/>
              <w:suppressLineNumbers w:val="0"/>
              <w:spacing w:before="0" w:beforeAutospacing="0" w:after="0" w:afterAutospacing="0" w:line="500" w:lineRule="exact"/>
              <w:ind w:left="0" w:right="0"/>
              <w:rPr>
                <w:rFonts w:hint="eastAsia" w:eastAsia="仿宋_GB2312"/>
                <w:b/>
                <w:bCs/>
                <w:color w:val="auto"/>
                <w:kern w:val="0"/>
                <w:sz w:val="24"/>
                <w:szCs w:val="20"/>
                <w:lang w:eastAsia="zh-CN"/>
              </w:rPr>
            </w:pPr>
          </w:p>
          <w:p w14:paraId="0BE600D1">
            <w:pPr>
              <w:keepNext w:val="0"/>
              <w:keepLines w:val="0"/>
              <w:suppressLineNumbers w:val="0"/>
              <w:spacing w:before="0" w:beforeAutospacing="0" w:after="0" w:afterAutospacing="0" w:line="500" w:lineRule="exact"/>
              <w:ind w:left="0" w:right="0"/>
              <w:rPr>
                <w:rFonts w:hint="eastAsia" w:eastAsia="仿宋_GB2312"/>
                <w:b/>
                <w:bCs/>
                <w:color w:val="auto"/>
                <w:kern w:val="0"/>
                <w:sz w:val="24"/>
                <w:szCs w:val="20"/>
                <w:lang w:eastAsia="zh-CN"/>
              </w:rPr>
            </w:pPr>
          </w:p>
          <w:p w14:paraId="39E4A939">
            <w:pPr>
              <w:keepNext w:val="0"/>
              <w:keepLines w:val="0"/>
              <w:suppressLineNumbers w:val="0"/>
              <w:spacing w:before="0" w:beforeAutospacing="0" w:after="0" w:afterAutospacing="0" w:line="500" w:lineRule="exact"/>
              <w:ind w:left="0" w:right="0"/>
              <w:rPr>
                <w:rFonts w:hint="default" w:eastAsia="仿宋_GB2312"/>
                <w:b/>
                <w:bCs/>
                <w:color w:val="auto"/>
                <w:kern w:val="0"/>
                <w:sz w:val="24"/>
                <w:szCs w:val="20"/>
              </w:rPr>
            </w:pPr>
            <w:r>
              <w:rPr>
                <w:rFonts w:hint="eastAsia" w:eastAsia="仿宋_GB2312"/>
                <w:b/>
                <w:bCs/>
                <w:color w:val="auto"/>
                <w:kern w:val="0"/>
                <w:sz w:val="24"/>
                <w:szCs w:val="20"/>
                <w:lang w:eastAsia="zh-CN"/>
              </w:rPr>
              <w:t>七</w:t>
            </w:r>
            <w:r>
              <w:rPr>
                <w:rFonts w:hint="default" w:eastAsia="仿宋_GB2312"/>
                <w:b/>
                <w:bCs/>
                <w:color w:val="auto"/>
                <w:kern w:val="0"/>
                <w:sz w:val="24"/>
                <w:szCs w:val="20"/>
              </w:rPr>
              <w:t>、环境风险</w:t>
            </w:r>
          </w:p>
          <w:p w14:paraId="46D80427">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rPr>
            </w:pPr>
            <w:r>
              <w:rPr>
                <w:rFonts w:hint="eastAsia" w:eastAsia="仿宋_GB2312"/>
                <w:color w:val="auto"/>
                <w:kern w:val="0"/>
                <w:sz w:val="24"/>
                <w:szCs w:val="20"/>
              </w:rPr>
              <w:t>本次新建项目新增的主要风险物质为36%盐酸</w:t>
            </w:r>
            <w:r>
              <w:rPr>
                <w:rFonts w:hint="eastAsia" w:eastAsia="仿宋_GB2312"/>
                <w:color w:val="auto"/>
                <w:kern w:val="0"/>
                <w:sz w:val="24"/>
                <w:szCs w:val="20"/>
                <w:lang w:eastAsia="zh-CN"/>
              </w:rPr>
              <w:t>、</w:t>
            </w:r>
            <w:r>
              <w:rPr>
                <w:rFonts w:hint="eastAsia" w:eastAsia="仿宋_GB2312"/>
                <w:color w:val="auto"/>
                <w:kern w:val="0"/>
                <w:sz w:val="24"/>
                <w:szCs w:val="20"/>
              </w:rPr>
              <w:t>废矿物油</w:t>
            </w:r>
            <w:r>
              <w:rPr>
                <w:rFonts w:hint="eastAsia" w:eastAsia="仿宋_GB2312"/>
                <w:color w:val="auto"/>
                <w:kern w:val="0"/>
                <w:sz w:val="24"/>
                <w:szCs w:val="20"/>
                <w:lang w:eastAsia="zh-CN"/>
              </w:rPr>
              <w:t>、</w:t>
            </w:r>
            <w:r>
              <w:rPr>
                <w:rFonts w:hint="eastAsia" w:eastAsia="仿宋_GB2312"/>
                <w:color w:val="auto"/>
                <w:kern w:val="0"/>
                <w:sz w:val="24"/>
                <w:szCs w:val="20"/>
              </w:rPr>
              <w:t>质检区废液。具体风险识别情况见下表。</w:t>
            </w:r>
          </w:p>
          <w:p w14:paraId="6FE4907B">
            <w:pPr>
              <w:keepNext w:val="0"/>
              <w:keepLines w:val="0"/>
              <w:suppressLineNumbers w:val="0"/>
              <w:snapToGrid w:val="0"/>
              <w:spacing w:before="0" w:beforeAutospacing="0" w:after="0" w:afterAutospacing="0" w:line="500" w:lineRule="exact"/>
              <w:ind w:left="0" w:right="0"/>
              <w:jc w:val="center"/>
              <w:rPr>
                <w:rFonts w:hint="default" w:eastAsia="仿宋_GB2312"/>
                <w:b/>
                <w:bCs/>
                <w:color w:val="auto"/>
                <w:sz w:val="22"/>
                <w:szCs w:val="22"/>
              </w:rPr>
            </w:pPr>
            <w:r>
              <w:rPr>
                <w:rFonts w:hint="eastAsia" w:eastAsia="仿宋_GB2312"/>
                <w:b/>
                <w:color w:val="auto"/>
                <w:szCs w:val="21"/>
              </w:rPr>
              <w:t>表4-</w:t>
            </w:r>
            <w:r>
              <w:rPr>
                <w:rFonts w:hint="eastAsia" w:eastAsia="仿宋_GB2312"/>
                <w:b/>
                <w:color w:val="auto"/>
                <w:szCs w:val="21"/>
                <w:lang w:val="en-US" w:eastAsia="zh-CN"/>
              </w:rPr>
              <w:t>32</w:t>
            </w:r>
            <w:r>
              <w:rPr>
                <w:rFonts w:hint="eastAsia" w:eastAsia="仿宋_GB2312"/>
                <w:b/>
                <w:color w:val="auto"/>
                <w:szCs w:val="21"/>
              </w:rPr>
              <w:t xml:space="preserve">  </w:t>
            </w:r>
            <w:r>
              <w:rPr>
                <w:rFonts w:hint="eastAsia" w:eastAsia="仿宋_GB2312"/>
                <w:b/>
                <w:bCs/>
                <w:color w:val="auto"/>
                <w:sz w:val="22"/>
                <w:szCs w:val="22"/>
              </w:rPr>
              <w:t>本项目主要原辅材料、中间体和产品主要性质一览表</w:t>
            </w:r>
          </w:p>
          <w:tbl>
            <w:tblPr>
              <w:tblStyle w:val="1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893"/>
              <w:gridCol w:w="1053"/>
              <w:gridCol w:w="1124"/>
              <w:gridCol w:w="1124"/>
              <w:gridCol w:w="1439"/>
              <w:gridCol w:w="1447"/>
              <w:gridCol w:w="1458"/>
            </w:tblGrid>
            <w:tr w14:paraId="37044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05F2FF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物质</w:t>
                  </w:r>
                </w:p>
              </w:tc>
              <w:tc>
                <w:tcPr>
                  <w:tcW w:w="433" w:type="pct"/>
                  <w:vAlign w:val="center"/>
                </w:tcPr>
                <w:p w14:paraId="31B0A7C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危规号</w:t>
                  </w:r>
                </w:p>
              </w:tc>
              <w:tc>
                <w:tcPr>
                  <w:tcW w:w="511" w:type="pct"/>
                  <w:vAlign w:val="center"/>
                </w:tcPr>
                <w:p w14:paraId="735697E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闪点（℃）</w:t>
                  </w:r>
                </w:p>
              </w:tc>
              <w:tc>
                <w:tcPr>
                  <w:tcW w:w="545" w:type="pct"/>
                  <w:vAlign w:val="center"/>
                </w:tcPr>
                <w:p w14:paraId="1990B53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沸点（℃）</w:t>
                  </w:r>
                </w:p>
              </w:tc>
              <w:tc>
                <w:tcPr>
                  <w:tcW w:w="545" w:type="pct"/>
                  <w:vAlign w:val="center"/>
                </w:tcPr>
                <w:p w14:paraId="11ACC4A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熔点（℃）</w:t>
                  </w:r>
                </w:p>
              </w:tc>
              <w:tc>
                <w:tcPr>
                  <w:tcW w:w="698" w:type="pct"/>
                  <w:vAlign w:val="center"/>
                </w:tcPr>
                <w:p w14:paraId="1225170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LD</w:t>
                  </w:r>
                  <w:r>
                    <w:rPr>
                      <w:rFonts w:hint="default" w:ascii="Times New Roman" w:hAnsi="Times New Roman" w:eastAsia="仿宋_GB2312" w:cs="Times New Roman"/>
                      <w:b/>
                      <w:bCs/>
                      <w:color w:val="auto"/>
                      <w:szCs w:val="21"/>
                      <w:vertAlign w:val="subscript"/>
                    </w:rPr>
                    <w:t>50</w:t>
                  </w:r>
                  <w:r>
                    <w:rPr>
                      <w:rFonts w:hint="default" w:ascii="Times New Roman" w:hAnsi="Times New Roman" w:eastAsia="仿宋_GB2312" w:cs="Times New Roman"/>
                      <w:b/>
                      <w:bCs/>
                      <w:color w:val="auto"/>
                      <w:szCs w:val="21"/>
                    </w:rPr>
                    <w:t>(经口,mg/kg)</w:t>
                  </w:r>
                </w:p>
              </w:tc>
              <w:tc>
                <w:tcPr>
                  <w:tcW w:w="702" w:type="pct"/>
                  <w:vAlign w:val="center"/>
                </w:tcPr>
                <w:p w14:paraId="4BE8ECC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LD</w:t>
                  </w:r>
                  <w:r>
                    <w:rPr>
                      <w:rFonts w:hint="default" w:ascii="Times New Roman" w:hAnsi="Times New Roman" w:eastAsia="仿宋_GB2312" w:cs="Times New Roman"/>
                      <w:b/>
                      <w:bCs/>
                      <w:color w:val="auto"/>
                      <w:szCs w:val="21"/>
                      <w:vertAlign w:val="subscript"/>
                    </w:rPr>
                    <w:t>50</w:t>
                  </w:r>
                  <w:r>
                    <w:rPr>
                      <w:rFonts w:hint="default" w:ascii="Times New Roman" w:hAnsi="Times New Roman" w:eastAsia="仿宋_GB2312" w:cs="Times New Roman"/>
                      <w:b/>
                      <w:bCs/>
                      <w:color w:val="auto"/>
                      <w:szCs w:val="21"/>
                    </w:rPr>
                    <w:t>(经皮,mg/kg)</w:t>
                  </w:r>
                </w:p>
              </w:tc>
              <w:tc>
                <w:tcPr>
                  <w:tcW w:w="707" w:type="pct"/>
                  <w:vAlign w:val="center"/>
                </w:tcPr>
                <w:p w14:paraId="2CCF7D8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LC</w:t>
                  </w:r>
                  <w:r>
                    <w:rPr>
                      <w:rFonts w:hint="default" w:ascii="Times New Roman" w:hAnsi="Times New Roman" w:eastAsia="仿宋_GB2312" w:cs="Times New Roman"/>
                      <w:b/>
                      <w:bCs/>
                      <w:color w:val="auto"/>
                      <w:szCs w:val="21"/>
                      <w:vertAlign w:val="subscript"/>
                    </w:rPr>
                    <w:t>50</w:t>
                  </w:r>
                  <w:r>
                    <w:rPr>
                      <w:rFonts w:hint="default" w:ascii="Times New Roman" w:hAnsi="Times New Roman" w:eastAsia="仿宋_GB2312" w:cs="Times New Roman"/>
                      <w:b/>
                      <w:bCs/>
                      <w:color w:val="auto"/>
                      <w:szCs w:val="21"/>
                    </w:rPr>
                    <w:t>(吸入,mg/m</w:t>
                  </w:r>
                  <w:r>
                    <w:rPr>
                      <w:rFonts w:hint="default" w:ascii="Times New Roman" w:hAnsi="Times New Roman" w:eastAsia="仿宋_GB2312" w:cs="Times New Roman"/>
                      <w:b/>
                      <w:bCs/>
                      <w:color w:val="auto"/>
                      <w:szCs w:val="21"/>
                      <w:vertAlign w:val="superscript"/>
                    </w:rPr>
                    <w:t>3</w:t>
                  </w:r>
                  <w:r>
                    <w:rPr>
                      <w:rFonts w:hint="default" w:ascii="Times New Roman" w:hAnsi="Times New Roman" w:eastAsia="仿宋_GB2312" w:cs="Times New Roman"/>
                      <w:b/>
                      <w:bCs/>
                      <w:color w:val="auto"/>
                      <w:szCs w:val="21"/>
                    </w:rPr>
                    <w:t>)</w:t>
                  </w:r>
                </w:p>
              </w:tc>
            </w:tr>
            <w:tr w14:paraId="0340D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E0D079C">
                  <w:pPr>
                    <w:pStyle w:val="165"/>
                    <w:keepNext w:val="0"/>
                    <w:keepLines w:val="0"/>
                    <w:widowControl w:val="0"/>
                    <w:suppressLineNumbers w:val="0"/>
                    <w:spacing w:before="0" w:beforeAutospacing="0" w:after="0" w:afterAutospacing="0" w:line="240" w:lineRule="exact"/>
                    <w:ind w:left="0" w:right="0"/>
                    <w:rPr>
                      <w:rFonts w:hint="eastAsia" w:ascii="Times New Roman" w:hAnsi="Times New Roman" w:eastAsia="仿宋_GB2312" w:cs="Times New Roman"/>
                      <w:color w:val="auto"/>
                      <w:szCs w:val="21"/>
                      <w:lang w:eastAsia="zh-CN"/>
                    </w:rPr>
                  </w:pPr>
                  <w:r>
                    <w:rPr>
                      <w:rFonts w:hint="eastAsia" w:ascii="Times New Roman" w:hAnsi="Times New Roman" w:cs="Times New Roman"/>
                      <w:color w:val="auto"/>
                      <w:lang w:val="en-US" w:eastAsia="zh-CN"/>
                    </w:rPr>
                    <w:t>60%</w:t>
                  </w:r>
                  <w:r>
                    <w:rPr>
                      <w:rFonts w:hint="default" w:ascii="Times New Roman" w:hAnsi="Times New Roman" w:eastAsia="仿宋_GB2312" w:cs="Times New Roman"/>
                      <w:color w:val="auto"/>
                    </w:rPr>
                    <w:t>葡萄糖</w:t>
                  </w:r>
                  <w:r>
                    <w:rPr>
                      <w:rFonts w:hint="eastAsia" w:ascii="Times New Roman" w:hAnsi="Times New Roman" w:cs="Times New Roman"/>
                      <w:color w:val="auto"/>
                      <w:lang w:eastAsia="zh-CN"/>
                    </w:rPr>
                    <w:t>溶液</w:t>
                  </w:r>
                </w:p>
              </w:tc>
              <w:tc>
                <w:tcPr>
                  <w:tcW w:w="433" w:type="pct"/>
                  <w:vAlign w:val="center"/>
                </w:tcPr>
                <w:p w14:paraId="483F4B2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46F4160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1E5BF88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lang w:val="en-US" w:eastAsia="zh-CN"/>
                    </w:rPr>
                  </w:pPr>
                  <w:r>
                    <w:rPr>
                      <w:rFonts w:hint="eastAsia" w:ascii="Times New Roman" w:hAnsi="Times New Roman" w:cs="Times New Roman"/>
                      <w:color w:val="auto"/>
                      <w:szCs w:val="21"/>
                      <w:lang w:val="en-US" w:eastAsia="zh-CN"/>
                    </w:rPr>
                    <w:t>约100</w:t>
                  </w:r>
                </w:p>
              </w:tc>
              <w:tc>
                <w:tcPr>
                  <w:tcW w:w="545" w:type="pct"/>
                  <w:vAlign w:val="center"/>
                </w:tcPr>
                <w:p w14:paraId="1758F1A0">
                  <w:pPr>
                    <w:pStyle w:val="165"/>
                    <w:keepNext w:val="0"/>
                    <w:keepLines w:val="0"/>
                    <w:widowControl w:val="0"/>
                    <w:suppressLineNumbers w:val="0"/>
                    <w:spacing w:before="0" w:beforeAutospacing="0" w:after="0" w:afterAutospacing="0" w:line="240" w:lineRule="exact"/>
                    <w:ind w:left="0" w:right="0"/>
                    <w:rPr>
                      <w:rFonts w:hint="eastAsia" w:ascii="Times New Roman" w:hAnsi="Times New Roman" w:eastAsia="仿宋_GB2312" w:cs="Times New Roman"/>
                      <w:color w:val="auto"/>
                      <w:szCs w:val="21"/>
                      <w:lang w:eastAsia="zh-CN"/>
                    </w:rPr>
                  </w:pPr>
                  <w:r>
                    <w:rPr>
                      <w:rFonts w:hint="eastAsia" w:ascii="Times New Roman" w:hAnsi="Times New Roman" w:cs="Times New Roman"/>
                      <w:color w:val="auto"/>
                      <w:szCs w:val="21"/>
                      <w:lang w:val="en-US" w:eastAsia="zh-CN"/>
                    </w:rPr>
                    <w:t>/</w:t>
                  </w:r>
                </w:p>
              </w:tc>
              <w:tc>
                <w:tcPr>
                  <w:tcW w:w="698" w:type="pct"/>
                  <w:vAlign w:val="center"/>
                </w:tcPr>
                <w:p w14:paraId="15F5843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5E30B65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74234C0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575C9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5BDEF5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Cs/>
                      <w:color w:val="auto"/>
                      <w:szCs w:val="21"/>
                    </w:rPr>
                  </w:pPr>
                  <w:r>
                    <w:rPr>
                      <w:rFonts w:hint="default" w:ascii="Times New Roman" w:hAnsi="Times New Roman" w:eastAsia="仿宋_GB2312" w:cs="Times New Roman"/>
                      <w:color w:val="auto"/>
                    </w:rPr>
                    <w:t>酵母粉</w:t>
                  </w:r>
                </w:p>
              </w:tc>
              <w:tc>
                <w:tcPr>
                  <w:tcW w:w="433" w:type="pct"/>
                  <w:vAlign w:val="center"/>
                </w:tcPr>
                <w:p w14:paraId="119D456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016A8AD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2941EF9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pacing w:val="8"/>
                      <w:szCs w:val="21"/>
                    </w:rPr>
                  </w:pPr>
                  <w:r>
                    <w:rPr>
                      <w:rFonts w:hint="default" w:ascii="Times New Roman" w:hAnsi="Times New Roman" w:eastAsia="仿宋_GB2312" w:cs="Times New Roman"/>
                      <w:color w:val="auto"/>
                      <w:spacing w:val="8"/>
                      <w:szCs w:val="21"/>
                    </w:rPr>
                    <w:t>311.64</w:t>
                  </w:r>
                </w:p>
              </w:tc>
              <w:tc>
                <w:tcPr>
                  <w:tcW w:w="545" w:type="pct"/>
                  <w:vAlign w:val="center"/>
                </w:tcPr>
                <w:p w14:paraId="6420635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410</w:t>
                  </w:r>
                </w:p>
              </w:tc>
              <w:tc>
                <w:tcPr>
                  <w:tcW w:w="698" w:type="pct"/>
                  <w:vAlign w:val="center"/>
                </w:tcPr>
                <w:p w14:paraId="10379BA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1A13786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5ED68CF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6FDBC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A1B3C6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Cs/>
                      <w:color w:val="auto"/>
                      <w:szCs w:val="21"/>
                    </w:rPr>
                  </w:pPr>
                  <w:r>
                    <w:rPr>
                      <w:rFonts w:hint="default" w:ascii="Times New Roman" w:hAnsi="Times New Roman" w:eastAsia="仿宋_GB2312" w:cs="Times New Roman"/>
                      <w:color w:val="auto"/>
                    </w:rPr>
                    <w:t>蛋白胨</w:t>
                  </w:r>
                </w:p>
              </w:tc>
              <w:tc>
                <w:tcPr>
                  <w:tcW w:w="433" w:type="pct"/>
                  <w:vAlign w:val="center"/>
                </w:tcPr>
                <w:p w14:paraId="6288DDE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6498DC0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596EB58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5CF6E35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698" w:type="pct"/>
                  <w:vAlign w:val="center"/>
                </w:tcPr>
                <w:p w14:paraId="1228B47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7D89E48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661DC24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2076B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AE07931">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eastAsia="zh-CN"/>
                    </w:rPr>
                    <w:t>牛肉膏</w:t>
                  </w:r>
                </w:p>
              </w:tc>
              <w:tc>
                <w:tcPr>
                  <w:tcW w:w="433" w:type="pct"/>
                  <w:vAlign w:val="center"/>
                </w:tcPr>
                <w:p w14:paraId="0AB04938">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zh-CN" w:eastAsia="zh-CN" w:bidi="ar-SA"/>
                    </w:rPr>
                  </w:pPr>
                  <w:r>
                    <w:rPr>
                      <w:rFonts w:hint="default" w:ascii="Times New Roman" w:hAnsi="Times New Roman" w:eastAsia="仿宋_GB2312" w:cs="Times New Roman"/>
                      <w:color w:val="auto"/>
                      <w:szCs w:val="21"/>
                    </w:rPr>
                    <w:t>/</w:t>
                  </w:r>
                </w:p>
              </w:tc>
              <w:tc>
                <w:tcPr>
                  <w:tcW w:w="511" w:type="pct"/>
                  <w:vAlign w:val="center"/>
                </w:tcPr>
                <w:p w14:paraId="48F48EBE">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zh-CN" w:eastAsia="zh-CN" w:bidi="ar-SA"/>
                    </w:rPr>
                  </w:pPr>
                  <w:r>
                    <w:rPr>
                      <w:rFonts w:hint="default" w:ascii="Times New Roman" w:hAnsi="Times New Roman" w:eastAsia="仿宋_GB2312" w:cs="Times New Roman"/>
                      <w:color w:val="auto"/>
                      <w:szCs w:val="21"/>
                    </w:rPr>
                    <w:t>/</w:t>
                  </w:r>
                </w:p>
              </w:tc>
              <w:tc>
                <w:tcPr>
                  <w:tcW w:w="545" w:type="pct"/>
                  <w:vAlign w:val="center"/>
                </w:tcPr>
                <w:p w14:paraId="7349A7F5">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545" w:type="pct"/>
                  <w:vAlign w:val="center"/>
                </w:tcPr>
                <w:p w14:paraId="49177A18">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698" w:type="pct"/>
                  <w:vAlign w:val="center"/>
                </w:tcPr>
                <w:p w14:paraId="4FA348EA">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702" w:type="pct"/>
                  <w:vAlign w:val="center"/>
                </w:tcPr>
                <w:p w14:paraId="2D95AE55">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707" w:type="pct"/>
                  <w:vAlign w:val="center"/>
                </w:tcPr>
                <w:p w14:paraId="372E6215">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r>
            <w:tr w14:paraId="4FF18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BDDA02C">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eastAsia="仿宋_GB2312" w:cs="Times New Roman"/>
                      <w:color w:val="auto"/>
                      <w:kern w:val="0"/>
                      <w:sz w:val="21"/>
                      <w:szCs w:val="21"/>
                      <w:highlight w:val="none"/>
                      <w:lang w:eastAsia="zh-CN"/>
                    </w:rPr>
                    <w:t>柠檬酸二铵</w:t>
                  </w:r>
                </w:p>
              </w:tc>
              <w:tc>
                <w:tcPr>
                  <w:tcW w:w="433" w:type="pct"/>
                  <w:vAlign w:val="center"/>
                </w:tcPr>
                <w:p w14:paraId="1FE93960">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zh-CN" w:eastAsia="zh-CN" w:bidi="ar-SA"/>
                    </w:rPr>
                  </w:pPr>
                  <w:r>
                    <w:rPr>
                      <w:rFonts w:hint="default" w:ascii="Times New Roman" w:hAnsi="Times New Roman" w:eastAsia="仿宋_GB2312" w:cs="Times New Roman"/>
                      <w:color w:val="auto"/>
                      <w:szCs w:val="21"/>
                    </w:rPr>
                    <w:t>/</w:t>
                  </w:r>
                </w:p>
              </w:tc>
              <w:tc>
                <w:tcPr>
                  <w:tcW w:w="511" w:type="pct"/>
                  <w:vAlign w:val="center"/>
                </w:tcPr>
                <w:p w14:paraId="088A1543">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zh-CN" w:eastAsia="zh-CN" w:bidi="ar-SA"/>
                    </w:rPr>
                  </w:pPr>
                  <w:r>
                    <w:rPr>
                      <w:rFonts w:hint="default" w:ascii="Times New Roman" w:hAnsi="Times New Roman" w:eastAsia="仿宋_GB2312" w:cs="Times New Roman"/>
                      <w:color w:val="auto"/>
                      <w:szCs w:val="21"/>
                    </w:rPr>
                    <w:t>/</w:t>
                  </w:r>
                </w:p>
              </w:tc>
              <w:tc>
                <w:tcPr>
                  <w:tcW w:w="545" w:type="pct"/>
                  <w:vAlign w:val="center"/>
                </w:tcPr>
                <w:p w14:paraId="0969489F">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545" w:type="pct"/>
                  <w:vAlign w:val="center"/>
                </w:tcPr>
                <w:p w14:paraId="4BEEEABA">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185</w:t>
                  </w:r>
                </w:p>
              </w:tc>
              <w:tc>
                <w:tcPr>
                  <w:tcW w:w="698" w:type="pct"/>
                  <w:vAlign w:val="center"/>
                </w:tcPr>
                <w:p w14:paraId="21D14333">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702" w:type="pct"/>
                  <w:vAlign w:val="center"/>
                </w:tcPr>
                <w:p w14:paraId="3738D67C">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707" w:type="pct"/>
                  <w:vAlign w:val="center"/>
                </w:tcPr>
                <w:p w14:paraId="793A3572">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r>
            <w:tr w14:paraId="58F4C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11C2A71">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18"/>
                      <w:szCs w:val="20"/>
                      <w:highlight w:val="none"/>
                      <w:lang w:val="en-US" w:eastAsia="zh-CN" w:bidi="ar-SA"/>
                    </w:rPr>
                  </w:pPr>
                  <w:r>
                    <w:rPr>
                      <w:rFonts w:hint="eastAsia" w:eastAsia="仿宋_GB2312" w:cs="Times New Roman"/>
                      <w:color w:val="auto"/>
                      <w:kern w:val="0"/>
                      <w:sz w:val="21"/>
                      <w:szCs w:val="21"/>
                      <w:highlight w:val="none"/>
                      <w:lang w:val="en-US" w:eastAsia="zh-CN"/>
                    </w:rPr>
                    <w:t>乙酸钠</w:t>
                  </w:r>
                </w:p>
              </w:tc>
              <w:tc>
                <w:tcPr>
                  <w:tcW w:w="433" w:type="pct"/>
                  <w:vAlign w:val="center"/>
                </w:tcPr>
                <w:p w14:paraId="3F24FA91">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zh-CN" w:eastAsia="zh-CN" w:bidi="ar-SA"/>
                    </w:rPr>
                  </w:pPr>
                  <w:r>
                    <w:rPr>
                      <w:rFonts w:hint="default" w:ascii="Times New Roman" w:hAnsi="Times New Roman" w:eastAsia="仿宋_GB2312" w:cs="Times New Roman"/>
                      <w:color w:val="auto"/>
                      <w:szCs w:val="21"/>
                    </w:rPr>
                    <w:t>/</w:t>
                  </w:r>
                </w:p>
              </w:tc>
              <w:tc>
                <w:tcPr>
                  <w:tcW w:w="511" w:type="pct"/>
                  <w:vAlign w:val="center"/>
                </w:tcPr>
                <w:p w14:paraId="6526E799">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zh-CN" w:eastAsia="zh-CN" w:bidi="ar-SA"/>
                    </w:rPr>
                  </w:pPr>
                  <w:r>
                    <w:rPr>
                      <w:rFonts w:hint="eastAsia" w:ascii="Times New Roman" w:hAnsi="Times New Roman" w:cs="Times New Roman"/>
                      <w:color w:val="auto"/>
                      <w:szCs w:val="21"/>
                      <w:lang w:val="en-US" w:eastAsia="zh-CN"/>
                    </w:rPr>
                    <w:t>＞250</w:t>
                  </w:r>
                </w:p>
              </w:tc>
              <w:tc>
                <w:tcPr>
                  <w:tcW w:w="545" w:type="pct"/>
                  <w:vAlign w:val="center"/>
                </w:tcPr>
                <w:p w14:paraId="535E0FF0">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＞400</w:t>
                  </w:r>
                </w:p>
              </w:tc>
              <w:tc>
                <w:tcPr>
                  <w:tcW w:w="545" w:type="pct"/>
                  <w:vAlign w:val="center"/>
                </w:tcPr>
                <w:p w14:paraId="5B035991">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zh-CN" w:eastAsia="zh-CN" w:bidi="ar-SA"/>
                    </w:rPr>
                  </w:pPr>
                  <w:r>
                    <w:rPr>
                      <w:rFonts w:hint="eastAsia" w:ascii="Times New Roman" w:hAnsi="Times New Roman" w:cs="Times New Roman"/>
                      <w:color w:val="auto"/>
                      <w:szCs w:val="21"/>
                      <w:lang w:val="en-US" w:eastAsia="zh-CN"/>
                    </w:rPr>
                    <w:t>＞300</w:t>
                  </w:r>
                </w:p>
              </w:tc>
              <w:tc>
                <w:tcPr>
                  <w:tcW w:w="698" w:type="pct"/>
                  <w:vAlign w:val="center"/>
                </w:tcPr>
                <w:p w14:paraId="5C2F6A9B">
                  <w:pPr>
                    <w:pStyle w:val="165"/>
                    <w:keepNext w:val="0"/>
                    <w:keepLines w:val="0"/>
                    <w:widowControl w:val="0"/>
                    <w:suppressLineNumbers w:val="0"/>
                    <w:spacing w:before="0" w:beforeAutospacing="0" w:after="0" w:afterAutospacing="0" w:line="240" w:lineRule="exact"/>
                    <w:ind w:left="0" w:right="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3530</w:t>
                  </w:r>
                </w:p>
                <w:p w14:paraId="7663716D">
                  <w:pPr>
                    <w:pStyle w:val="165"/>
                    <w:keepNext w:val="0"/>
                    <w:keepLines w:val="0"/>
                    <w:widowControl w:val="0"/>
                    <w:suppressLineNumbers w:val="0"/>
                    <w:spacing w:before="0" w:beforeAutospacing="0" w:after="0" w:afterAutospacing="0" w:line="240" w:lineRule="exact"/>
                    <w:ind w:left="0" w:right="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（大鼠）</w:t>
                  </w:r>
                </w:p>
                <w:p w14:paraId="5FA7D166">
                  <w:pPr>
                    <w:pStyle w:val="165"/>
                    <w:keepNext w:val="0"/>
                    <w:keepLines w:val="0"/>
                    <w:widowControl w:val="0"/>
                    <w:suppressLineNumbers w:val="0"/>
                    <w:spacing w:before="0" w:beforeAutospacing="0" w:after="0" w:afterAutospacing="0" w:line="240" w:lineRule="exact"/>
                    <w:ind w:left="0" w:right="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6891</w:t>
                  </w:r>
                </w:p>
                <w:p w14:paraId="0768931F">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zh-CN" w:eastAsia="zh-CN" w:bidi="ar-SA"/>
                    </w:rPr>
                  </w:pPr>
                  <w:r>
                    <w:rPr>
                      <w:rFonts w:hint="eastAsia" w:ascii="Times New Roman" w:hAnsi="Times New Roman" w:cs="Times New Roman"/>
                      <w:color w:val="auto"/>
                      <w:szCs w:val="21"/>
                      <w:lang w:val="en-US" w:eastAsia="zh-CN"/>
                    </w:rPr>
                    <w:t>（小鼠）</w:t>
                  </w:r>
                </w:p>
              </w:tc>
              <w:tc>
                <w:tcPr>
                  <w:tcW w:w="702" w:type="pct"/>
                  <w:vAlign w:val="center"/>
                </w:tcPr>
                <w:p w14:paraId="7021C37A">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707" w:type="pct"/>
                  <w:vAlign w:val="center"/>
                </w:tcPr>
                <w:p w14:paraId="6DE021B6">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r>
            <w:tr w14:paraId="6DCB0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451B5E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磷酸二氢钾</w:t>
                  </w:r>
                </w:p>
              </w:tc>
              <w:tc>
                <w:tcPr>
                  <w:tcW w:w="433" w:type="pct"/>
                  <w:vAlign w:val="center"/>
                </w:tcPr>
                <w:p w14:paraId="07ABF76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7786010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4D2F26B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16C5DF1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252.6</w:t>
                  </w:r>
                </w:p>
              </w:tc>
              <w:tc>
                <w:tcPr>
                  <w:tcW w:w="698" w:type="pct"/>
                  <w:vAlign w:val="center"/>
                </w:tcPr>
                <w:p w14:paraId="2889F03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1A24EE5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4640</w:t>
                  </w:r>
                </w:p>
                <w:p w14:paraId="5AD7522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（兔）</w:t>
                  </w:r>
                </w:p>
              </w:tc>
              <w:tc>
                <w:tcPr>
                  <w:tcW w:w="707" w:type="pct"/>
                  <w:vAlign w:val="center"/>
                </w:tcPr>
                <w:p w14:paraId="5DE5FA5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6FCDD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E3C440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硫酸镁</w:t>
                  </w:r>
                </w:p>
              </w:tc>
              <w:tc>
                <w:tcPr>
                  <w:tcW w:w="433" w:type="pct"/>
                  <w:vAlign w:val="center"/>
                </w:tcPr>
                <w:p w14:paraId="38FA1F8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303E2E0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62A0E8A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5A842C2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1124</w:t>
                  </w:r>
                </w:p>
              </w:tc>
              <w:tc>
                <w:tcPr>
                  <w:tcW w:w="698" w:type="pct"/>
                  <w:vAlign w:val="center"/>
                </w:tcPr>
                <w:p w14:paraId="52531A7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2000</w:t>
                  </w:r>
                </w:p>
                <w:p w14:paraId="6431F5A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（大鼠）</w:t>
                  </w:r>
                </w:p>
              </w:tc>
              <w:tc>
                <w:tcPr>
                  <w:tcW w:w="702" w:type="pct"/>
                  <w:vAlign w:val="center"/>
                </w:tcPr>
                <w:p w14:paraId="0A53FD8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645</w:t>
                  </w:r>
                </w:p>
                <w:p w14:paraId="269E7FA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（小鼠）</w:t>
                  </w:r>
                </w:p>
              </w:tc>
              <w:tc>
                <w:tcPr>
                  <w:tcW w:w="707" w:type="pct"/>
                  <w:vAlign w:val="center"/>
                </w:tcPr>
                <w:p w14:paraId="36104C7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2000</w:t>
                  </w:r>
                </w:p>
                <w:p w14:paraId="6F7BCAB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（兔）</w:t>
                  </w:r>
                </w:p>
              </w:tc>
            </w:tr>
            <w:tr w14:paraId="31090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8BE638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消泡剂</w:t>
                  </w:r>
                </w:p>
              </w:tc>
              <w:tc>
                <w:tcPr>
                  <w:tcW w:w="433" w:type="pct"/>
                  <w:vAlign w:val="center"/>
                </w:tcPr>
                <w:p w14:paraId="76C5EFA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55A5584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673B8D5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1EB2BA3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698" w:type="pct"/>
                  <w:vAlign w:val="center"/>
                </w:tcPr>
                <w:p w14:paraId="092DC06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2AAD146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2608564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717B4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1DF8C7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L-苯丙氨酸</w:t>
                  </w:r>
                </w:p>
              </w:tc>
              <w:tc>
                <w:tcPr>
                  <w:tcW w:w="433" w:type="pct"/>
                  <w:vAlign w:val="center"/>
                </w:tcPr>
                <w:p w14:paraId="2831C5A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7C85DE4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263.1</w:t>
                  </w:r>
                </w:p>
              </w:tc>
              <w:tc>
                <w:tcPr>
                  <w:tcW w:w="545" w:type="pct"/>
                  <w:vAlign w:val="center"/>
                </w:tcPr>
                <w:p w14:paraId="35A3313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69E8D37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80</w:t>
                  </w:r>
                </w:p>
              </w:tc>
              <w:tc>
                <w:tcPr>
                  <w:tcW w:w="698" w:type="pct"/>
                  <w:vAlign w:val="center"/>
                </w:tcPr>
                <w:p w14:paraId="556E242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30CB3CD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6CE9547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14E66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668205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柚皮素</w:t>
                  </w:r>
                </w:p>
              </w:tc>
              <w:tc>
                <w:tcPr>
                  <w:tcW w:w="433" w:type="pct"/>
                  <w:vAlign w:val="center"/>
                </w:tcPr>
                <w:p w14:paraId="635E4B9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4A3F409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247</w:t>
                  </w:r>
                </w:p>
              </w:tc>
              <w:tc>
                <w:tcPr>
                  <w:tcW w:w="545" w:type="pct"/>
                  <w:vAlign w:val="center"/>
                </w:tcPr>
                <w:p w14:paraId="31801CF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577.5</w:t>
                  </w:r>
                </w:p>
              </w:tc>
              <w:tc>
                <w:tcPr>
                  <w:tcW w:w="545" w:type="pct"/>
                  <w:vAlign w:val="center"/>
                </w:tcPr>
                <w:p w14:paraId="32B3FEB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247</w:t>
                  </w:r>
                </w:p>
              </w:tc>
              <w:tc>
                <w:tcPr>
                  <w:tcW w:w="698" w:type="pct"/>
                  <w:vAlign w:val="center"/>
                </w:tcPr>
                <w:p w14:paraId="6062D5F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2FEEEC9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3249122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19878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7CAF98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氯化钠</w:t>
                  </w:r>
                </w:p>
              </w:tc>
              <w:tc>
                <w:tcPr>
                  <w:tcW w:w="433" w:type="pct"/>
                  <w:vAlign w:val="center"/>
                </w:tcPr>
                <w:p w14:paraId="1A840A6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66D8825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1413</w:t>
                  </w:r>
                </w:p>
              </w:tc>
              <w:tc>
                <w:tcPr>
                  <w:tcW w:w="545" w:type="pct"/>
                  <w:vAlign w:val="center"/>
                </w:tcPr>
                <w:p w14:paraId="67BCE2D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1465</w:t>
                  </w:r>
                </w:p>
              </w:tc>
              <w:tc>
                <w:tcPr>
                  <w:tcW w:w="545" w:type="pct"/>
                  <w:vAlign w:val="center"/>
                </w:tcPr>
                <w:p w14:paraId="557B80B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801</w:t>
                  </w:r>
                </w:p>
              </w:tc>
              <w:tc>
                <w:tcPr>
                  <w:tcW w:w="698" w:type="pct"/>
                  <w:vAlign w:val="center"/>
                </w:tcPr>
                <w:p w14:paraId="3D4CEC3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US"/>
                    </w:rPr>
                    <w:t>/</w:t>
                  </w:r>
                </w:p>
              </w:tc>
              <w:tc>
                <w:tcPr>
                  <w:tcW w:w="702" w:type="pct"/>
                  <w:vAlign w:val="center"/>
                </w:tcPr>
                <w:p w14:paraId="7EC106E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27F3FFE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US"/>
                    </w:rPr>
                    <w:t>/</w:t>
                  </w:r>
                </w:p>
              </w:tc>
            </w:tr>
            <w:tr w14:paraId="25EC8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D49F3F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磷酸氢二钾</w:t>
                  </w:r>
                </w:p>
              </w:tc>
              <w:tc>
                <w:tcPr>
                  <w:tcW w:w="433" w:type="pct"/>
                  <w:vAlign w:val="center"/>
                </w:tcPr>
                <w:p w14:paraId="0A2B9EE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4495970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28DCBF2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642D4E7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340</w:t>
                  </w:r>
                </w:p>
              </w:tc>
              <w:tc>
                <w:tcPr>
                  <w:tcW w:w="698" w:type="pct"/>
                  <w:vAlign w:val="center"/>
                </w:tcPr>
                <w:p w14:paraId="6B18332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4000</w:t>
                  </w:r>
                </w:p>
                <w:p w14:paraId="379BAFC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（大鼠）</w:t>
                  </w:r>
                </w:p>
              </w:tc>
              <w:tc>
                <w:tcPr>
                  <w:tcW w:w="702" w:type="pct"/>
                  <w:vAlign w:val="center"/>
                </w:tcPr>
                <w:p w14:paraId="371D4A2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4720</w:t>
                  </w:r>
                </w:p>
                <w:p w14:paraId="400EE91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（兔）</w:t>
                  </w:r>
                </w:p>
              </w:tc>
              <w:tc>
                <w:tcPr>
                  <w:tcW w:w="707" w:type="pct"/>
                  <w:vAlign w:val="center"/>
                </w:tcPr>
                <w:p w14:paraId="256FCA5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9400</w:t>
                  </w:r>
                </w:p>
                <w:p w14:paraId="1CDB7C8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（小鼠）</w:t>
                  </w:r>
                </w:p>
              </w:tc>
            </w:tr>
            <w:tr w14:paraId="72F22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8DB9EC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1"/>
                    </w:rPr>
                    <w:t>微晶纤维素</w:t>
                  </w:r>
                </w:p>
              </w:tc>
              <w:tc>
                <w:tcPr>
                  <w:tcW w:w="433" w:type="pct"/>
                  <w:vAlign w:val="center"/>
                </w:tcPr>
                <w:p w14:paraId="25B3A3D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163BC5E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164</w:t>
                  </w:r>
                </w:p>
              </w:tc>
              <w:tc>
                <w:tcPr>
                  <w:tcW w:w="545" w:type="pct"/>
                  <w:vAlign w:val="center"/>
                </w:tcPr>
                <w:p w14:paraId="15F77D7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724067F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76</w:t>
                  </w:r>
                </w:p>
              </w:tc>
              <w:tc>
                <w:tcPr>
                  <w:tcW w:w="698" w:type="pct"/>
                  <w:vAlign w:val="center"/>
                </w:tcPr>
                <w:p w14:paraId="4C806DF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US"/>
                    </w:rPr>
                    <w:t>/</w:t>
                  </w:r>
                </w:p>
              </w:tc>
              <w:tc>
                <w:tcPr>
                  <w:tcW w:w="702" w:type="pct"/>
                  <w:vAlign w:val="center"/>
                </w:tcPr>
                <w:p w14:paraId="7C76D5B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7C4F9B1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US"/>
                    </w:rPr>
                    <w:t>/</w:t>
                  </w:r>
                </w:p>
              </w:tc>
            </w:tr>
            <w:tr w14:paraId="59B25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C0FBCD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1"/>
                    </w:rPr>
                    <w:t>低聚原花青素</w:t>
                  </w:r>
                </w:p>
              </w:tc>
              <w:tc>
                <w:tcPr>
                  <w:tcW w:w="433" w:type="pct"/>
                  <w:vAlign w:val="center"/>
                </w:tcPr>
                <w:p w14:paraId="2AE90FA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78FFC73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0760C77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6CD21AA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698" w:type="pct"/>
                  <w:vAlign w:val="center"/>
                </w:tcPr>
                <w:p w14:paraId="23F6708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786115F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71FCAF5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0F9D4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5403F4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1"/>
                    </w:rPr>
                    <w:t>石榴提取物</w:t>
                  </w:r>
                </w:p>
              </w:tc>
              <w:tc>
                <w:tcPr>
                  <w:tcW w:w="433" w:type="pct"/>
                  <w:vAlign w:val="center"/>
                </w:tcPr>
                <w:p w14:paraId="7388859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544CEE3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0336D67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291A6D6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698" w:type="pct"/>
                  <w:vAlign w:val="center"/>
                </w:tcPr>
                <w:p w14:paraId="4A21AC2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2A03D87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0E4117A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37443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44C51C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1"/>
                    </w:rPr>
                    <w:t>植物胶囊壳</w:t>
                  </w:r>
                </w:p>
              </w:tc>
              <w:tc>
                <w:tcPr>
                  <w:tcW w:w="433" w:type="pct"/>
                  <w:vAlign w:val="center"/>
                </w:tcPr>
                <w:p w14:paraId="3307AF4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4CC39CD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1298DFD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3516522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698" w:type="pct"/>
                  <w:vAlign w:val="center"/>
                </w:tcPr>
                <w:p w14:paraId="569B028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7657268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723C90F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47E53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E75A6F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水飞蓟提取物</w:t>
                  </w:r>
                </w:p>
              </w:tc>
              <w:tc>
                <w:tcPr>
                  <w:tcW w:w="433" w:type="pct"/>
                  <w:vAlign w:val="center"/>
                </w:tcPr>
                <w:p w14:paraId="478B51A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11" w:type="pct"/>
                  <w:vAlign w:val="center"/>
                </w:tcPr>
                <w:p w14:paraId="6245D7B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4700590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545" w:type="pct"/>
                  <w:vAlign w:val="center"/>
                </w:tcPr>
                <w:p w14:paraId="722217C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698" w:type="pct"/>
                  <w:vAlign w:val="center"/>
                </w:tcPr>
                <w:p w14:paraId="3729998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2" w:type="pct"/>
                  <w:vAlign w:val="center"/>
                </w:tcPr>
                <w:p w14:paraId="3C4B167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07" w:type="pct"/>
                  <w:vAlign w:val="center"/>
                </w:tcPr>
                <w:p w14:paraId="3E5AD9B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75A8E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DFF509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氢氧化钠</w:t>
                  </w:r>
                </w:p>
              </w:tc>
              <w:tc>
                <w:tcPr>
                  <w:tcW w:w="433" w:type="pct"/>
                  <w:vAlign w:val="center"/>
                </w:tcPr>
                <w:p w14:paraId="579CE80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82001</w:t>
                  </w:r>
                </w:p>
              </w:tc>
              <w:tc>
                <w:tcPr>
                  <w:tcW w:w="511" w:type="pct"/>
                  <w:vAlign w:val="center"/>
                </w:tcPr>
                <w:p w14:paraId="38758E8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545" w:type="pct"/>
                  <w:vAlign w:val="center"/>
                </w:tcPr>
                <w:p w14:paraId="4ABF3FF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1390</w:t>
                  </w:r>
                </w:p>
              </w:tc>
              <w:tc>
                <w:tcPr>
                  <w:tcW w:w="545" w:type="pct"/>
                  <w:vAlign w:val="center"/>
                </w:tcPr>
                <w:p w14:paraId="4C6CAAB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318.4</w:t>
                  </w:r>
                </w:p>
              </w:tc>
              <w:tc>
                <w:tcPr>
                  <w:tcW w:w="698" w:type="pct"/>
                  <w:vAlign w:val="center"/>
                </w:tcPr>
                <w:p w14:paraId="2A81C3F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02" w:type="pct"/>
                  <w:vAlign w:val="center"/>
                </w:tcPr>
                <w:p w14:paraId="6070E88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07" w:type="pct"/>
                  <w:vAlign w:val="center"/>
                </w:tcPr>
                <w:p w14:paraId="281B932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r>
            <w:tr w14:paraId="4AD96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EFB383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36</w:t>
                  </w:r>
                  <w:r>
                    <w:rPr>
                      <w:rFonts w:hint="default" w:ascii="Times New Roman" w:hAnsi="Times New Roman" w:eastAsia="仿宋_GB2312" w:cs="Times New Roman"/>
                      <w:color w:val="auto"/>
                    </w:rPr>
                    <w:t>%盐酸</w:t>
                  </w:r>
                </w:p>
              </w:tc>
              <w:tc>
                <w:tcPr>
                  <w:tcW w:w="433" w:type="pct"/>
                  <w:vAlign w:val="center"/>
                </w:tcPr>
                <w:p w14:paraId="5BB0B70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81013</w:t>
                  </w:r>
                </w:p>
              </w:tc>
              <w:tc>
                <w:tcPr>
                  <w:tcW w:w="511" w:type="pct"/>
                  <w:vAlign w:val="center"/>
                </w:tcPr>
                <w:p w14:paraId="706201C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545" w:type="pct"/>
                  <w:vAlign w:val="center"/>
                </w:tcPr>
                <w:p w14:paraId="36B4FF3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108.6</w:t>
                  </w:r>
                </w:p>
              </w:tc>
              <w:tc>
                <w:tcPr>
                  <w:tcW w:w="545" w:type="pct"/>
                  <w:vAlign w:val="center"/>
                </w:tcPr>
                <w:p w14:paraId="22BFDE1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-114.8</w:t>
                  </w:r>
                </w:p>
              </w:tc>
              <w:tc>
                <w:tcPr>
                  <w:tcW w:w="698" w:type="pct"/>
                  <w:vAlign w:val="center"/>
                </w:tcPr>
                <w:p w14:paraId="5FD7E39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w:t>
                  </w:r>
                </w:p>
              </w:tc>
              <w:tc>
                <w:tcPr>
                  <w:tcW w:w="702" w:type="pct"/>
                  <w:vAlign w:val="center"/>
                </w:tcPr>
                <w:p w14:paraId="233EEE6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07" w:type="pct"/>
                  <w:vAlign w:val="center"/>
                </w:tcPr>
                <w:p w14:paraId="04BD4E1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w:t>
                  </w:r>
                </w:p>
              </w:tc>
            </w:tr>
          </w:tbl>
          <w:p w14:paraId="34C825A4">
            <w:pPr>
              <w:keepNext w:val="0"/>
              <w:keepLines w:val="0"/>
              <w:suppressLineNumbers w:val="0"/>
              <w:snapToGrid w:val="0"/>
              <w:spacing w:before="0" w:beforeAutospacing="0" w:after="0" w:afterAutospacing="0" w:line="500" w:lineRule="exact"/>
              <w:ind w:left="0" w:right="0"/>
              <w:jc w:val="center"/>
              <w:rPr>
                <w:rFonts w:hint="eastAsia" w:eastAsia="仿宋_GB2312"/>
                <w:b/>
                <w:color w:val="auto"/>
                <w:szCs w:val="21"/>
              </w:rPr>
            </w:pPr>
            <w:r>
              <w:rPr>
                <w:rFonts w:hint="eastAsia" w:eastAsia="仿宋_GB2312"/>
                <w:b/>
                <w:color w:val="auto"/>
                <w:szCs w:val="21"/>
              </w:rPr>
              <w:t>表</w:t>
            </w:r>
            <w:r>
              <w:rPr>
                <w:rFonts w:hint="eastAsia" w:eastAsia="仿宋_GB2312"/>
                <w:b/>
                <w:color w:val="auto"/>
                <w:szCs w:val="21"/>
                <w:lang w:val="en-US" w:eastAsia="zh-CN"/>
              </w:rPr>
              <w:t>4-33</w:t>
            </w:r>
            <w:r>
              <w:rPr>
                <w:rFonts w:hint="eastAsia" w:eastAsia="仿宋_GB2312"/>
                <w:b/>
                <w:color w:val="auto"/>
                <w:szCs w:val="21"/>
              </w:rPr>
              <w:t xml:space="preserve">  危险性物质判定结果表</w:t>
            </w:r>
          </w:p>
          <w:tbl>
            <w:tblPr>
              <w:tblStyle w:val="1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1606"/>
              <w:gridCol w:w="1795"/>
              <w:gridCol w:w="1585"/>
              <w:gridCol w:w="963"/>
              <w:gridCol w:w="1954"/>
            </w:tblGrid>
            <w:tr w14:paraId="1B150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1163" w:type="pct"/>
                  <w:vAlign w:val="center"/>
                </w:tcPr>
                <w:p w14:paraId="0F22D06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名称</w:t>
                  </w:r>
                </w:p>
              </w:tc>
              <w:tc>
                <w:tcPr>
                  <w:tcW w:w="779" w:type="pct"/>
                  <w:vAlign w:val="center"/>
                </w:tcPr>
                <w:p w14:paraId="14B4569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毒性</w:t>
                  </w:r>
                </w:p>
              </w:tc>
              <w:tc>
                <w:tcPr>
                  <w:tcW w:w="871" w:type="pct"/>
                  <w:vAlign w:val="center"/>
                </w:tcPr>
                <w:p w14:paraId="471F432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燃烧性</w:t>
                  </w:r>
                </w:p>
              </w:tc>
              <w:tc>
                <w:tcPr>
                  <w:tcW w:w="769" w:type="pct"/>
                  <w:vAlign w:val="center"/>
                </w:tcPr>
                <w:p w14:paraId="516A9D3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爆炸性</w:t>
                  </w:r>
                </w:p>
              </w:tc>
              <w:tc>
                <w:tcPr>
                  <w:tcW w:w="467" w:type="pct"/>
                  <w:vAlign w:val="center"/>
                </w:tcPr>
                <w:p w14:paraId="6212EF0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腐蚀性</w:t>
                  </w:r>
                </w:p>
              </w:tc>
              <w:tc>
                <w:tcPr>
                  <w:tcW w:w="948" w:type="pct"/>
                  <w:vAlign w:val="center"/>
                </w:tcPr>
                <w:p w14:paraId="2C05E90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szCs w:val="21"/>
                    </w:rPr>
                    <w:t>是否为风险物质</w:t>
                  </w:r>
                </w:p>
              </w:tc>
            </w:tr>
            <w:tr w14:paraId="4FEC8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4D20493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eastAsia" w:ascii="Times New Roman" w:hAnsi="Times New Roman" w:cs="Times New Roman"/>
                      <w:color w:val="auto"/>
                      <w:lang w:val="en-US" w:eastAsia="zh-CN"/>
                    </w:rPr>
                    <w:t>60%</w:t>
                  </w:r>
                  <w:r>
                    <w:rPr>
                      <w:rFonts w:hint="default" w:ascii="Times New Roman" w:hAnsi="Times New Roman" w:eastAsia="仿宋_GB2312" w:cs="Times New Roman"/>
                      <w:color w:val="auto"/>
                    </w:rPr>
                    <w:t>葡萄糖</w:t>
                  </w:r>
                  <w:r>
                    <w:rPr>
                      <w:rFonts w:hint="eastAsia" w:ascii="Times New Roman" w:hAnsi="Times New Roman" w:cs="Times New Roman"/>
                      <w:color w:val="auto"/>
                      <w:lang w:eastAsia="zh-CN"/>
                    </w:rPr>
                    <w:t>溶液</w:t>
                  </w:r>
                </w:p>
              </w:tc>
              <w:tc>
                <w:tcPr>
                  <w:tcW w:w="779" w:type="pct"/>
                  <w:vAlign w:val="center"/>
                </w:tcPr>
                <w:p w14:paraId="1205C25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871" w:type="pct"/>
                  <w:vAlign w:val="center"/>
                </w:tcPr>
                <w:p w14:paraId="7EA7DE6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5A339F4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54A3618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3738508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否</w:t>
                  </w:r>
                </w:p>
              </w:tc>
            </w:tr>
            <w:tr w14:paraId="3C31C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33C7FBE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Cs/>
                      <w:color w:val="auto"/>
                      <w:szCs w:val="21"/>
                      <w:highlight w:val="yellow"/>
                    </w:rPr>
                  </w:pPr>
                  <w:r>
                    <w:rPr>
                      <w:rFonts w:hint="default" w:ascii="Times New Roman" w:hAnsi="Times New Roman" w:eastAsia="仿宋_GB2312" w:cs="Times New Roman"/>
                      <w:color w:val="auto"/>
                    </w:rPr>
                    <w:t>酵母粉</w:t>
                  </w:r>
                </w:p>
              </w:tc>
              <w:tc>
                <w:tcPr>
                  <w:tcW w:w="779" w:type="pct"/>
                  <w:vAlign w:val="center"/>
                </w:tcPr>
                <w:p w14:paraId="4FE9751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871" w:type="pct"/>
                  <w:vAlign w:val="center"/>
                </w:tcPr>
                <w:p w14:paraId="00AB74A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429100C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3BF535E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3000E1D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否</w:t>
                  </w:r>
                </w:p>
              </w:tc>
            </w:tr>
            <w:tr w14:paraId="0E22F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6BAB676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bCs/>
                      <w:color w:val="auto"/>
                      <w:szCs w:val="21"/>
                      <w:highlight w:val="yellow"/>
                    </w:rPr>
                  </w:pPr>
                  <w:r>
                    <w:rPr>
                      <w:rFonts w:hint="default" w:ascii="Times New Roman" w:hAnsi="Times New Roman" w:eastAsia="仿宋_GB2312" w:cs="Times New Roman"/>
                      <w:color w:val="auto"/>
                    </w:rPr>
                    <w:t>蛋白胨</w:t>
                  </w:r>
                </w:p>
              </w:tc>
              <w:tc>
                <w:tcPr>
                  <w:tcW w:w="779" w:type="pct"/>
                  <w:vAlign w:val="center"/>
                </w:tcPr>
                <w:p w14:paraId="60CCC9A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871" w:type="pct"/>
                  <w:vAlign w:val="center"/>
                </w:tcPr>
                <w:p w14:paraId="5ABD0ED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65449A6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66DE8A0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2CADA56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否</w:t>
                  </w:r>
                </w:p>
              </w:tc>
            </w:tr>
            <w:tr w14:paraId="0C8CB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495FA74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氯化钠</w:t>
                  </w:r>
                </w:p>
              </w:tc>
              <w:tc>
                <w:tcPr>
                  <w:tcW w:w="779" w:type="pct"/>
                  <w:vAlign w:val="center"/>
                </w:tcPr>
                <w:p w14:paraId="166D8E1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lang w:val="en-US"/>
                    </w:rPr>
                    <w:t>/</w:t>
                  </w:r>
                </w:p>
              </w:tc>
              <w:tc>
                <w:tcPr>
                  <w:tcW w:w="871" w:type="pct"/>
                  <w:vAlign w:val="center"/>
                </w:tcPr>
                <w:p w14:paraId="6986561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0878985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3710023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7165E65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否</w:t>
                  </w:r>
                </w:p>
              </w:tc>
            </w:tr>
            <w:tr w14:paraId="5E300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4B06707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磷酸二氢钾</w:t>
                  </w:r>
                </w:p>
              </w:tc>
              <w:tc>
                <w:tcPr>
                  <w:tcW w:w="779" w:type="pct"/>
                  <w:vAlign w:val="center"/>
                </w:tcPr>
                <w:p w14:paraId="3FD1705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微毒</w:t>
                  </w:r>
                </w:p>
              </w:tc>
              <w:tc>
                <w:tcPr>
                  <w:tcW w:w="871" w:type="pct"/>
                  <w:vAlign w:val="center"/>
                </w:tcPr>
                <w:p w14:paraId="4A88A0E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17CAB79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29E5AF9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0742610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否</w:t>
                  </w:r>
                </w:p>
              </w:tc>
            </w:tr>
            <w:tr w14:paraId="63A9E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0403FE07">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eastAsia="zh-CN"/>
                    </w:rPr>
                    <w:t>牛肉膏</w:t>
                  </w:r>
                </w:p>
              </w:tc>
              <w:tc>
                <w:tcPr>
                  <w:tcW w:w="779" w:type="pct"/>
                  <w:vAlign w:val="center"/>
                </w:tcPr>
                <w:p w14:paraId="674BDA5C">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871" w:type="pct"/>
                  <w:vAlign w:val="center"/>
                </w:tcPr>
                <w:p w14:paraId="6DAEB5C1">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769" w:type="pct"/>
                  <w:vAlign w:val="center"/>
                </w:tcPr>
                <w:p w14:paraId="1BAC6925">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467" w:type="pct"/>
                  <w:vAlign w:val="center"/>
                </w:tcPr>
                <w:p w14:paraId="425BE584">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948" w:type="pct"/>
                  <w:vAlign w:val="center"/>
                </w:tcPr>
                <w:p w14:paraId="22A7729E">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否</w:t>
                  </w:r>
                </w:p>
              </w:tc>
            </w:tr>
            <w:tr w14:paraId="3B075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21EA156B">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eastAsia="仿宋_GB2312" w:cs="Times New Roman"/>
                      <w:color w:val="auto"/>
                      <w:kern w:val="0"/>
                      <w:sz w:val="21"/>
                      <w:szCs w:val="21"/>
                      <w:highlight w:val="none"/>
                      <w:lang w:eastAsia="zh-CN"/>
                    </w:rPr>
                    <w:t>柠檬酸二铵</w:t>
                  </w:r>
                </w:p>
              </w:tc>
              <w:tc>
                <w:tcPr>
                  <w:tcW w:w="779" w:type="pct"/>
                  <w:vAlign w:val="center"/>
                </w:tcPr>
                <w:p w14:paraId="68BE5CA2">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低毒</w:t>
                  </w:r>
                </w:p>
              </w:tc>
              <w:tc>
                <w:tcPr>
                  <w:tcW w:w="871" w:type="pct"/>
                  <w:vAlign w:val="center"/>
                </w:tcPr>
                <w:p w14:paraId="49BF736E">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769" w:type="pct"/>
                  <w:vAlign w:val="center"/>
                </w:tcPr>
                <w:p w14:paraId="2F5386C4">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467" w:type="pct"/>
                  <w:vAlign w:val="center"/>
                </w:tcPr>
                <w:p w14:paraId="1B12FEC3">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948" w:type="pct"/>
                  <w:vAlign w:val="center"/>
                </w:tcPr>
                <w:p w14:paraId="6ECAF9E9">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否</w:t>
                  </w:r>
                </w:p>
              </w:tc>
            </w:tr>
            <w:tr w14:paraId="0F549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7A4F94D1">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18"/>
                      <w:szCs w:val="20"/>
                      <w:highlight w:val="none"/>
                      <w:lang w:val="en-US" w:eastAsia="zh-CN" w:bidi="ar-SA"/>
                    </w:rPr>
                  </w:pPr>
                  <w:r>
                    <w:rPr>
                      <w:rFonts w:hint="eastAsia" w:eastAsia="仿宋_GB2312" w:cs="Times New Roman"/>
                      <w:color w:val="auto"/>
                      <w:kern w:val="0"/>
                      <w:sz w:val="21"/>
                      <w:szCs w:val="21"/>
                      <w:highlight w:val="none"/>
                      <w:lang w:val="en-US" w:eastAsia="zh-CN"/>
                    </w:rPr>
                    <w:t>乙酸钠</w:t>
                  </w:r>
                </w:p>
              </w:tc>
              <w:tc>
                <w:tcPr>
                  <w:tcW w:w="779" w:type="pct"/>
                  <w:vAlign w:val="center"/>
                </w:tcPr>
                <w:p w14:paraId="070F649C">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低毒</w:t>
                  </w:r>
                </w:p>
              </w:tc>
              <w:tc>
                <w:tcPr>
                  <w:tcW w:w="871" w:type="pct"/>
                  <w:vAlign w:val="center"/>
                </w:tcPr>
                <w:p w14:paraId="4132F0DE">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769" w:type="pct"/>
                  <w:vAlign w:val="center"/>
                </w:tcPr>
                <w:p w14:paraId="2CE7866C">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467" w:type="pct"/>
                  <w:vAlign w:val="center"/>
                </w:tcPr>
                <w:p w14:paraId="0CD930BD">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w:t>
                  </w:r>
                </w:p>
              </w:tc>
              <w:tc>
                <w:tcPr>
                  <w:tcW w:w="948" w:type="pct"/>
                  <w:vAlign w:val="center"/>
                </w:tcPr>
                <w:p w14:paraId="660352B4">
                  <w:pPr>
                    <w:pStyle w:val="165"/>
                    <w:keepNext w:val="0"/>
                    <w:keepLines w:val="0"/>
                    <w:widowControl w:val="0"/>
                    <w:suppressLineNumbers w:val="0"/>
                    <w:spacing w:before="0" w:beforeAutospacing="0" w:after="0" w:afterAutospacing="0" w:line="240" w:lineRule="exact"/>
                    <w:ind w:left="0" w:leftChars="0" w:right="0" w:rightChars="0"/>
                    <w:rPr>
                      <w:rFonts w:hint="default" w:ascii="Times New Roman" w:hAnsi="Times New Roman" w:eastAsia="仿宋_GB2312" w:cs="Times New Roman"/>
                      <w:color w:val="auto"/>
                      <w:kern w:val="0"/>
                      <w:sz w:val="21"/>
                      <w:szCs w:val="21"/>
                      <w:lang w:val="en-US" w:eastAsia="zh-CN" w:bidi="ar-SA"/>
                    </w:rPr>
                  </w:pPr>
                  <w:r>
                    <w:rPr>
                      <w:rFonts w:hint="eastAsia" w:ascii="Times New Roman" w:hAnsi="Times New Roman" w:cs="Times New Roman"/>
                      <w:color w:val="auto"/>
                      <w:szCs w:val="21"/>
                      <w:lang w:val="en-US" w:eastAsia="zh-CN"/>
                    </w:rPr>
                    <w:t>否</w:t>
                  </w:r>
                </w:p>
              </w:tc>
            </w:tr>
            <w:tr w14:paraId="531E0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453D908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硫酸镁</w:t>
                  </w:r>
                </w:p>
              </w:tc>
              <w:tc>
                <w:tcPr>
                  <w:tcW w:w="779" w:type="pct"/>
                  <w:vAlign w:val="center"/>
                </w:tcPr>
                <w:p w14:paraId="6ABE653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低毒</w:t>
                  </w:r>
                </w:p>
              </w:tc>
              <w:tc>
                <w:tcPr>
                  <w:tcW w:w="871" w:type="pct"/>
                  <w:vAlign w:val="center"/>
                </w:tcPr>
                <w:p w14:paraId="3741277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75E75DA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18C8E48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0D2E875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否</w:t>
                  </w:r>
                </w:p>
              </w:tc>
            </w:tr>
            <w:tr w14:paraId="74E74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6D86B7F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消泡剂</w:t>
                  </w:r>
                </w:p>
              </w:tc>
              <w:tc>
                <w:tcPr>
                  <w:tcW w:w="779" w:type="pct"/>
                  <w:vAlign w:val="center"/>
                </w:tcPr>
                <w:p w14:paraId="491734B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71" w:type="pct"/>
                  <w:vAlign w:val="center"/>
                </w:tcPr>
                <w:p w14:paraId="05649E7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7BB74E6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4F5D9A5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3C7A9C1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否</w:t>
                  </w:r>
                </w:p>
              </w:tc>
            </w:tr>
            <w:tr w14:paraId="2580D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6B11551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L-苯丙氨酸</w:t>
                  </w:r>
                </w:p>
              </w:tc>
              <w:tc>
                <w:tcPr>
                  <w:tcW w:w="779" w:type="pct"/>
                  <w:vAlign w:val="center"/>
                </w:tcPr>
                <w:p w14:paraId="2E5F132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71" w:type="pct"/>
                  <w:vAlign w:val="center"/>
                </w:tcPr>
                <w:p w14:paraId="3B93DEE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可燃</w:t>
                  </w:r>
                </w:p>
              </w:tc>
              <w:tc>
                <w:tcPr>
                  <w:tcW w:w="769" w:type="pct"/>
                  <w:vAlign w:val="center"/>
                </w:tcPr>
                <w:p w14:paraId="2C3AFA9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545FF8A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1ED4830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否</w:t>
                  </w:r>
                </w:p>
              </w:tc>
            </w:tr>
            <w:tr w14:paraId="7CACE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79E38E9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柚皮素</w:t>
                  </w:r>
                </w:p>
              </w:tc>
              <w:tc>
                <w:tcPr>
                  <w:tcW w:w="779" w:type="pct"/>
                  <w:vAlign w:val="center"/>
                </w:tcPr>
                <w:p w14:paraId="27D9E6D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71" w:type="pct"/>
                  <w:vAlign w:val="center"/>
                </w:tcPr>
                <w:p w14:paraId="0745DCD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130D758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0CDC0BB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0C9A976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否</w:t>
                  </w:r>
                </w:p>
              </w:tc>
            </w:tr>
            <w:tr w14:paraId="4423F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6F2A3E8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磷酸氢二钾</w:t>
                  </w:r>
                </w:p>
              </w:tc>
              <w:tc>
                <w:tcPr>
                  <w:tcW w:w="779" w:type="pct"/>
                  <w:vAlign w:val="center"/>
                </w:tcPr>
                <w:p w14:paraId="5525FDC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微</w:t>
                  </w:r>
                  <w:r>
                    <w:rPr>
                      <w:rFonts w:hint="default" w:ascii="Times New Roman" w:hAnsi="Times New Roman" w:eastAsia="仿宋_GB2312" w:cs="Times New Roman"/>
                      <w:color w:val="auto"/>
                    </w:rPr>
                    <w:t>毒</w:t>
                  </w:r>
                </w:p>
              </w:tc>
              <w:tc>
                <w:tcPr>
                  <w:tcW w:w="871" w:type="pct"/>
                  <w:vAlign w:val="center"/>
                </w:tcPr>
                <w:p w14:paraId="68673A9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不燃</w:t>
                  </w:r>
                </w:p>
              </w:tc>
              <w:tc>
                <w:tcPr>
                  <w:tcW w:w="769" w:type="pct"/>
                  <w:vAlign w:val="center"/>
                </w:tcPr>
                <w:p w14:paraId="0636BDB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7B7B5E5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20868D8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否</w:t>
                  </w:r>
                </w:p>
              </w:tc>
            </w:tr>
            <w:tr w14:paraId="4EB7F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054F0D5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1"/>
                    </w:rPr>
                    <w:t>低聚原花青素</w:t>
                  </w:r>
                </w:p>
              </w:tc>
              <w:tc>
                <w:tcPr>
                  <w:tcW w:w="779" w:type="pct"/>
                  <w:vAlign w:val="center"/>
                </w:tcPr>
                <w:p w14:paraId="642D268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71" w:type="pct"/>
                  <w:vAlign w:val="center"/>
                </w:tcPr>
                <w:p w14:paraId="220DAF9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11BF3D2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7D21EA2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381C71E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否</w:t>
                  </w:r>
                </w:p>
              </w:tc>
            </w:tr>
            <w:tr w14:paraId="5B65E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2530248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1"/>
                    </w:rPr>
                    <w:t>石榴提取物</w:t>
                  </w:r>
                </w:p>
              </w:tc>
              <w:tc>
                <w:tcPr>
                  <w:tcW w:w="779" w:type="pct"/>
                  <w:vAlign w:val="center"/>
                </w:tcPr>
                <w:p w14:paraId="363CE3D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71" w:type="pct"/>
                  <w:vAlign w:val="center"/>
                </w:tcPr>
                <w:p w14:paraId="4B0CC7C4">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7ACCBAD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58317DF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343A0D0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否</w:t>
                  </w:r>
                </w:p>
              </w:tc>
            </w:tr>
            <w:tr w14:paraId="34244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605C505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1"/>
                    </w:rPr>
                    <w:t>植物胶囊壳</w:t>
                  </w:r>
                </w:p>
              </w:tc>
              <w:tc>
                <w:tcPr>
                  <w:tcW w:w="779" w:type="pct"/>
                  <w:vAlign w:val="center"/>
                </w:tcPr>
                <w:p w14:paraId="0C8C753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71" w:type="pct"/>
                  <w:vAlign w:val="center"/>
                </w:tcPr>
                <w:p w14:paraId="4A3D2C5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017616E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3CC13E9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335D218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否</w:t>
                  </w:r>
                </w:p>
              </w:tc>
            </w:tr>
            <w:tr w14:paraId="3525C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5019FE6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微晶纤维素</w:t>
                  </w:r>
                </w:p>
              </w:tc>
              <w:tc>
                <w:tcPr>
                  <w:tcW w:w="779" w:type="pct"/>
                  <w:vAlign w:val="center"/>
                </w:tcPr>
                <w:p w14:paraId="0A27528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w:t>
                  </w:r>
                </w:p>
              </w:tc>
              <w:tc>
                <w:tcPr>
                  <w:tcW w:w="871" w:type="pct"/>
                  <w:vAlign w:val="center"/>
                </w:tcPr>
                <w:p w14:paraId="43DF59C8">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可燃</w:t>
                  </w:r>
                </w:p>
              </w:tc>
              <w:tc>
                <w:tcPr>
                  <w:tcW w:w="769" w:type="pct"/>
                  <w:vAlign w:val="center"/>
                </w:tcPr>
                <w:p w14:paraId="3013344C">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5EF83E40">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4E858E7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否</w:t>
                  </w:r>
                </w:p>
              </w:tc>
            </w:tr>
            <w:tr w14:paraId="6EF37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61FCD18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水飞蓟提取物</w:t>
                  </w:r>
                </w:p>
              </w:tc>
              <w:tc>
                <w:tcPr>
                  <w:tcW w:w="779" w:type="pct"/>
                  <w:vAlign w:val="center"/>
                </w:tcPr>
                <w:p w14:paraId="4237B5DD">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71" w:type="pct"/>
                  <w:vAlign w:val="center"/>
                </w:tcPr>
                <w:p w14:paraId="58231082">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769" w:type="pct"/>
                  <w:vAlign w:val="center"/>
                </w:tcPr>
                <w:p w14:paraId="44DF5EBE">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467" w:type="pct"/>
                  <w:vAlign w:val="center"/>
                </w:tcPr>
                <w:p w14:paraId="0CD7AE1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948" w:type="pct"/>
                  <w:vAlign w:val="center"/>
                </w:tcPr>
                <w:p w14:paraId="6C5709C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rPr>
                    <w:t>否</w:t>
                  </w:r>
                </w:p>
              </w:tc>
            </w:tr>
            <w:tr w14:paraId="579EA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2F84FC1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氢氧化钠</w:t>
                  </w:r>
                </w:p>
              </w:tc>
              <w:tc>
                <w:tcPr>
                  <w:tcW w:w="779" w:type="pct"/>
                  <w:vAlign w:val="center"/>
                </w:tcPr>
                <w:p w14:paraId="72AA18EA">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871" w:type="pct"/>
                  <w:vAlign w:val="center"/>
                </w:tcPr>
                <w:p w14:paraId="4C8C1D76">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不燃</w:t>
                  </w:r>
                </w:p>
              </w:tc>
              <w:tc>
                <w:tcPr>
                  <w:tcW w:w="769" w:type="pct"/>
                  <w:vAlign w:val="center"/>
                </w:tcPr>
                <w:p w14:paraId="17794B4F">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467" w:type="pct"/>
                  <w:vAlign w:val="center"/>
                </w:tcPr>
                <w:p w14:paraId="43882865">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碱性腐蚀品</w:t>
                  </w:r>
                </w:p>
              </w:tc>
              <w:tc>
                <w:tcPr>
                  <w:tcW w:w="948" w:type="pct"/>
                  <w:vAlign w:val="center"/>
                </w:tcPr>
                <w:p w14:paraId="7BB2A06B">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否</w:t>
                  </w:r>
                </w:p>
              </w:tc>
            </w:tr>
            <w:tr w14:paraId="0C28D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Align w:val="center"/>
                </w:tcPr>
                <w:p w14:paraId="394AA73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36%盐酸</w:t>
                  </w:r>
                </w:p>
              </w:tc>
              <w:tc>
                <w:tcPr>
                  <w:tcW w:w="779" w:type="pct"/>
                  <w:vAlign w:val="center"/>
                </w:tcPr>
                <w:p w14:paraId="3D726623">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w:t>
                  </w:r>
                </w:p>
              </w:tc>
              <w:tc>
                <w:tcPr>
                  <w:tcW w:w="871" w:type="pct"/>
                  <w:vAlign w:val="center"/>
                </w:tcPr>
                <w:p w14:paraId="34B97DF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769" w:type="pct"/>
                  <w:vAlign w:val="center"/>
                </w:tcPr>
                <w:p w14:paraId="3D487C81">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c>
                <w:tcPr>
                  <w:tcW w:w="467" w:type="pct"/>
                  <w:vAlign w:val="center"/>
                </w:tcPr>
                <w:p w14:paraId="322D38A9">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酸性腐蚀品</w:t>
                  </w:r>
                </w:p>
              </w:tc>
              <w:tc>
                <w:tcPr>
                  <w:tcW w:w="948" w:type="pct"/>
                  <w:vAlign w:val="center"/>
                </w:tcPr>
                <w:p w14:paraId="65EB7E77">
                  <w:pPr>
                    <w:pStyle w:val="165"/>
                    <w:keepNext w:val="0"/>
                    <w:keepLines w:val="0"/>
                    <w:widowControl w:val="0"/>
                    <w:suppressLineNumbers w:val="0"/>
                    <w:spacing w:before="0" w:beforeAutospacing="0" w:after="0" w:afterAutospacing="0" w:line="24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是</w:t>
                  </w:r>
                </w:p>
              </w:tc>
            </w:tr>
          </w:tbl>
          <w:p w14:paraId="12C5EEBC">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kern w:val="0"/>
                <w:sz w:val="24"/>
                <w:szCs w:val="20"/>
              </w:rPr>
            </w:pPr>
            <w:r>
              <w:rPr>
                <w:rFonts w:hint="eastAsia" w:eastAsia="仿宋_GB2312"/>
                <w:b/>
                <w:bCs/>
                <w:color w:val="auto"/>
                <w:kern w:val="0"/>
                <w:sz w:val="24"/>
                <w:szCs w:val="20"/>
              </w:rPr>
              <w:t>1、评价等级判定</w:t>
            </w:r>
          </w:p>
          <w:p w14:paraId="10641F02">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（1）</w:t>
            </w:r>
            <w:r>
              <w:rPr>
                <w:rFonts w:hint="eastAsia" w:eastAsia="仿宋_GB2312"/>
                <w:color w:val="auto"/>
                <w:kern w:val="0"/>
                <w:sz w:val="24"/>
              </w:rPr>
              <w:t>危险物质及工艺系统危险性（P）分级</w:t>
            </w:r>
          </w:p>
          <w:p w14:paraId="45BAB55B">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eastAsia" w:ascii="宋体" w:hAnsi="宋体" w:cs="宋体"/>
                <w:color w:val="auto"/>
                <w:kern w:val="0"/>
                <w:sz w:val="24"/>
                <w:lang w:eastAsia="ja-JP"/>
              </w:rPr>
              <w:t>①</w:t>
            </w:r>
            <w:r>
              <w:rPr>
                <w:rFonts w:hint="default" w:eastAsia="仿宋_GB2312"/>
                <w:color w:val="auto"/>
                <w:kern w:val="0"/>
                <w:sz w:val="24"/>
              </w:rPr>
              <w:t>危险物质数量与临界量比值（Q）</w:t>
            </w:r>
          </w:p>
          <w:p w14:paraId="3D67981E">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对照《建设项目环境风险评价技术导则》（HJ 169-2018）附录B</w:t>
            </w:r>
            <w:r>
              <w:rPr>
                <w:rFonts w:hint="eastAsia" w:eastAsia="仿宋_GB2312"/>
                <w:color w:val="auto"/>
                <w:kern w:val="0"/>
                <w:sz w:val="24"/>
              </w:rPr>
              <w:t>、《</w:t>
            </w:r>
            <w:bookmarkStart w:id="54" w:name="OLE_LINK97"/>
            <w:r>
              <w:rPr>
                <w:rFonts w:hint="eastAsia" w:eastAsia="仿宋_GB2312"/>
                <w:color w:val="auto"/>
                <w:kern w:val="0"/>
                <w:sz w:val="24"/>
              </w:rPr>
              <w:t>企业突发环境事件风险分级方法</w:t>
            </w:r>
            <w:bookmarkEnd w:id="54"/>
            <w:r>
              <w:rPr>
                <w:rFonts w:hint="eastAsia" w:eastAsia="仿宋_GB2312"/>
                <w:color w:val="auto"/>
                <w:kern w:val="0"/>
                <w:sz w:val="24"/>
              </w:rPr>
              <w:t>》（HJ941-2018）附录A</w:t>
            </w:r>
            <w:r>
              <w:rPr>
                <w:rFonts w:hint="default" w:eastAsia="仿宋_GB2312"/>
                <w:color w:val="auto"/>
                <w:kern w:val="0"/>
                <w:sz w:val="24"/>
              </w:rPr>
              <w:t>，计算所涉及的每种危险物质在厂界内的最大存在总量与其在附录B中对应临界量的比值Q。</w:t>
            </w:r>
          </w:p>
          <w:p w14:paraId="383CCE3D">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当只涉及一种危险物质时，计算该物质的总量与其临界量比值，即为Q；</w:t>
            </w:r>
          </w:p>
          <w:p w14:paraId="364BEFDA">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当存在多种危险物质时，则按下式计算物质总量与其临界量比值（Q）：</w:t>
            </w:r>
          </w:p>
          <w:p w14:paraId="6E68822A">
            <w:pPr>
              <w:keepNext w:val="0"/>
              <w:keepLines w:val="0"/>
              <w:widowControl/>
              <w:suppressLineNumbers w:val="0"/>
              <w:spacing w:before="0" w:beforeAutospacing="0" w:after="0" w:afterAutospacing="0"/>
              <w:ind w:left="0" w:right="0"/>
              <w:jc w:val="center"/>
              <w:rPr>
                <w:rFonts w:hint="default" w:eastAsia="仿宋_GB2312"/>
                <w:color w:val="auto"/>
                <w:kern w:val="0"/>
                <w:sz w:val="28"/>
                <w:szCs w:val="28"/>
              </w:rPr>
            </w:pPr>
            <w:r>
              <w:rPr>
                <w:rFonts w:hint="default" w:eastAsia="仿宋_GB2312"/>
                <w:color w:val="auto"/>
              </w:rPr>
              <w:drawing>
                <wp:inline distT="0" distB="0" distL="0" distR="0">
                  <wp:extent cx="1654810" cy="4298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654810" cy="429895"/>
                          </a:xfrm>
                          <a:prstGeom prst="rect">
                            <a:avLst/>
                          </a:prstGeom>
                          <a:noFill/>
                          <a:ln>
                            <a:noFill/>
                          </a:ln>
                        </pic:spPr>
                      </pic:pic>
                    </a:graphicData>
                  </a:graphic>
                </wp:inline>
              </w:drawing>
            </w:r>
          </w:p>
          <w:p w14:paraId="38F907D9">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式中：q</w:t>
            </w:r>
            <w:r>
              <w:rPr>
                <w:rFonts w:hint="default" w:eastAsia="仿宋_GB2312"/>
                <w:color w:val="auto"/>
                <w:kern w:val="0"/>
                <w:sz w:val="24"/>
                <w:vertAlign w:val="subscript"/>
              </w:rPr>
              <w:t>1</w:t>
            </w:r>
            <w:r>
              <w:rPr>
                <w:rFonts w:hint="default" w:eastAsia="仿宋_GB2312"/>
                <w:color w:val="auto"/>
                <w:kern w:val="0"/>
                <w:sz w:val="24"/>
              </w:rPr>
              <w:t>，q</w:t>
            </w:r>
            <w:r>
              <w:rPr>
                <w:rFonts w:hint="default" w:eastAsia="仿宋_GB2312"/>
                <w:color w:val="auto"/>
                <w:kern w:val="0"/>
                <w:sz w:val="24"/>
                <w:vertAlign w:val="subscript"/>
              </w:rPr>
              <w:t>2</w:t>
            </w:r>
            <w:r>
              <w:rPr>
                <w:rFonts w:hint="default" w:eastAsia="仿宋_GB2312"/>
                <w:color w:val="auto"/>
                <w:kern w:val="0"/>
                <w:sz w:val="24"/>
              </w:rPr>
              <w:t>，...，q</w:t>
            </w:r>
            <w:r>
              <w:rPr>
                <w:rFonts w:hint="default" w:eastAsia="仿宋_GB2312"/>
                <w:color w:val="auto"/>
                <w:kern w:val="0"/>
                <w:sz w:val="24"/>
                <w:vertAlign w:val="subscript"/>
              </w:rPr>
              <w:t>n</w:t>
            </w:r>
            <w:r>
              <w:rPr>
                <w:rFonts w:hint="default" w:eastAsia="仿宋_GB2312"/>
                <w:color w:val="auto"/>
                <w:kern w:val="0"/>
                <w:sz w:val="24"/>
              </w:rPr>
              <w:t>——每种危险物质的最大存在总量，t；</w:t>
            </w:r>
          </w:p>
          <w:p w14:paraId="337E20E1">
            <w:pPr>
              <w:keepNext w:val="0"/>
              <w:keepLines w:val="0"/>
              <w:widowControl/>
              <w:suppressLineNumbers w:val="0"/>
              <w:spacing w:before="0" w:beforeAutospacing="0" w:after="0" w:afterAutospacing="0" w:line="500" w:lineRule="exact"/>
              <w:ind w:left="0" w:right="0" w:firstLine="1200" w:firstLineChars="500"/>
              <w:jc w:val="left"/>
              <w:rPr>
                <w:rFonts w:hint="default" w:eastAsia="仿宋_GB2312"/>
                <w:color w:val="auto"/>
                <w:kern w:val="0"/>
                <w:sz w:val="24"/>
              </w:rPr>
            </w:pPr>
            <w:r>
              <w:rPr>
                <w:rFonts w:hint="default" w:eastAsia="仿宋_GB2312"/>
                <w:color w:val="auto"/>
                <w:kern w:val="0"/>
                <w:sz w:val="24"/>
              </w:rPr>
              <w:t>Q</w:t>
            </w:r>
            <w:r>
              <w:rPr>
                <w:rFonts w:hint="default" w:eastAsia="仿宋_GB2312"/>
                <w:color w:val="auto"/>
                <w:kern w:val="0"/>
                <w:sz w:val="24"/>
                <w:vertAlign w:val="subscript"/>
              </w:rPr>
              <w:t>1</w:t>
            </w:r>
            <w:r>
              <w:rPr>
                <w:rFonts w:hint="default" w:eastAsia="仿宋_GB2312"/>
                <w:color w:val="auto"/>
                <w:kern w:val="0"/>
                <w:sz w:val="24"/>
              </w:rPr>
              <w:t>，Q</w:t>
            </w:r>
            <w:r>
              <w:rPr>
                <w:rFonts w:hint="default" w:eastAsia="仿宋_GB2312"/>
                <w:color w:val="auto"/>
                <w:kern w:val="0"/>
                <w:sz w:val="24"/>
                <w:vertAlign w:val="subscript"/>
              </w:rPr>
              <w:t>2</w:t>
            </w:r>
            <w:r>
              <w:rPr>
                <w:rFonts w:hint="default" w:eastAsia="仿宋_GB2312"/>
                <w:color w:val="auto"/>
                <w:kern w:val="0"/>
                <w:sz w:val="24"/>
              </w:rPr>
              <w:t>, ..., Q</w:t>
            </w:r>
            <w:r>
              <w:rPr>
                <w:rFonts w:hint="default" w:eastAsia="仿宋_GB2312"/>
                <w:color w:val="auto"/>
                <w:kern w:val="0"/>
                <w:sz w:val="24"/>
                <w:vertAlign w:val="subscript"/>
              </w:rPr>
              <w:t>n</w:t>
            </w:r>
            <w:r>
              <w:rPr>
                <w:rFonts w:hint="default" w:eastAsia="仿宋_GB2312"/>
                <w:color w:val="auto"/>
                <w:kern w:val="0"/>
                <w:sz w:val="24"/>
              </w:rPr>
              <w:t>——每种危险物质的临界量，t。</w:t>
            </w:r>
          </w:p>
          <w:p w14:paraId="1FFBF73C">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当Q&lt;1时，该项目环境风险潜势为</w:t>
            </w:r>
            <w:r>
              <w:rPr>
                <w:rFonts w:hint="eastAsia" w:ascii="宋体" w:hAnsi="宋体" w:cs="宋体"/>
                <w:color w:val="auto"/>
                <w:kern w:val="0"/>
                <w:sz w:val="24"/>
              </w:rPr>
              <w:t>Ⅰ</w:t>
            </w:r>
            <w:r>
              <w:rPr>
                <w:rFonts w:hint="default" w:eastAsia="仿宋_GB2312"/>
                <w:color w:val="auto"/>
                <w:kern w:val="0"/>
                <w:sz w:val="24"/>
              </w:rPr>
              <w:t>。</w:t>
            </w:r>
          </w:p>
          <w:p w14:paraId="68A5749D">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当Q≥1时，将Q值划分为：</w:t>
            </w:r>
            <w:r>
              <w:rPr>
                <w:rFonts w:hint="eastAsia" w:ascii="宋体" w:hAnsi="宋体" w:cs="宋体"/>
                <w:color w:val="auto"/>
                <w:kern w:val="0"/>
                <w:sz w:val="24"/>
              </w:rPr>
              <w:t>①</w:t>
            </w:r>
            <w:r>
              <w:rPr>
                <w:rFonts w:hint="default" w:eastAsia="仿宋_GB2312"/>
                <w:color w:val="auto"/>
                <w:kern w:val="0"/>
                <w:sz w:val="24"/>
              </w:rPr>
              <w:t>1≤Q&lt;10；</w:t>
            </w:r>
            <w:r>
              <w:rPr>
                <w:rFonts w:hint="eastAsia" w:ascii="宋体" w:hAnsi="宋体" w:cs="宋体"/>
                <w:color w:val="auto"/>
                <w:kern w:val="0"/>
                <w:sz w:val="24"/>
              </w:rPr>
              <w:t>②</w:t>
            </w:r>
            <w:r>
              <w:rPr>
                <w:rFonts w:hint="default" w:eastAsia="仿宋_GB2312"/>
                <w:color w:val="auto"/>
                <w:kern w:val="0"/>
                <w:sz w:val="24"/>
              </w:rPr>
              <w:t>10≤Q&lt;100；</w:t>
            </w:r>
            <w:r>
              <w:rPr>
                <w:rFonts w:hint="eastAsia" w:ascii="宋体" w:hAnsi="宋体" w:cs="宋体"/>
                <w:color w:val="auto"/>
                <w:kern w:val="0"/>
                <w:sz w:val="24"/>
              </w:rPr>
              <w:t>③</w:t>
            </w:r>
            <w:r>
              <w:rPr>
                <w:rFonts w:hint="default" w:eastAsia="仿宋_GB2312"/>
                <w:color w:val="auto"/>
                <w:kern w:val="0"/>
                <w:sz w:val="24"/>
              </w:rPr>
              <w:t>Q≥100。</w:t>
            </w:r>
          </w:p>
          <w:p w14:paraId="2B8CDB61">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b/>
                <w:color w:val="auto"/>
                <w:kern w:val="0"/>
                <w:sz w:val="24"/>
              </w:rPr>
            </w:pPr>
            <w:r>
              <w:rPr>
                <w:rFonts w:hint="default" w:eastAsia="仿宋_GB2312"/>
                <w:color w:val="auto"/>
                <w:kern w:val="0"/>
                <w:sz w:val="24"/>
              </w:rPr>
              <w:t>本项目厂区内主要风险物质与附录B</w:t>
            </w:r>
            <w:r>
              <w:rPr>
                <w:rFonts w:hint="eastAsia" w:eastAsia="仿宋_GB2312"/>
                <w:color w:val="auto"/>
                <w:kern w:val="0"/>
                <w:sz w:val="24"/>
              </w:rPr>
              <w:t>、附录A</w:t>
            </w:r>
            <w:r>
              <w:rPr>
                <w:rFonts w:hint="default" w:eastAsia="仿宋_GB2312"/>
                <w:color w:val="auto"/>
                <w:kern w:val="0"/>
                <w:sz w:val="24"/>
              </w:rPr>
              <w:t>对照情况见下表。</w:t>
            </w:r>
          </w:p>
          <w:p w14:paraId="3B498B66">
            <w:pPr>
              <w:keepNext w:val="0"/>
              <w:keepLines w:val="0"/>
              <w:widowControl/>
              <w:suppressLineNumbers w:val="0"/>
              <w:spacing w:before="0" w:beforeAutospacing="0" w:after="0" w:afterAutospacing="0" w:line="400" w:lineRule="exact"/>
              <w:ind w:left="0" w:right="0"/>
              <w:jc w:val="center"/>
              <w:rPr>
                <w:rFonts w:hint="default" w:eastAsia="仿宋_GB2312"/>
                <w:b/>
                <w:color w:val="auto"/>
                <w:kern w:val="0"/>
                <w:szCs w:val="21"/>
              </w:rPr>
            </w:pPr>
            <w:r>
              <w:rPr>
                <w:rFonts w:hint="eastAsia" w:eastAsia="仿宋_GB2312"/>
                <w:b/>
                <w:color w:val="auto"/>
                <w:szCs w:val="21"/>
              </w:rPr>
              <w:t>表4-</w:t>
            </w:r>
            <w:r>
              <w:rPr>
                <w:rFonts w:hint="eastAsia" w:eastAsia="仿宋_GB2312"/>
                <w:b/>
                <w:color w:val="auto"/>
                <w:szCs w:val="21"/>
                <w:lang w:val="en-US" w:eastAsia="zh-CN"/>
              </w:rPr>
              <w:t>34</w:t>
            </w:r>
            <w:r>
              <w:rPr>
                <w:rFonts w:hint="eastAsia" w:eastAsia="仿宋_GB2312"/>
                <w:b/>
                <w:color w:val="auto"/>
                <w:szCs w:val="21"/>
              </w:rPr>
              <w:t xml:space="preserve">  </w:t>
            </w:r>
            <w:r>
              <w:rPr>
                <w:rFonts w:hint="default" w:eastAsia="仿宋_GB2312"/>
                <w:b/>
                <w:color w:val="auto"/>
                <w:kern w:val="0"/>
                <w:szCs w:val="21"/>
              </w:rPr>
              <w:t>Q值计算结果一览表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autofit"/>
              <w:tblCellMar>
                <w:top w:w="0" w:type="dxa"/>
                <w:left w:w="28" w:type="dxa"/>
                <w:bottom w:w="0" w:type="dxa"/>
                <w:right w:w="28" w:type="dxa"/>
              </w:tblCellMar>
            </w:tblPr>
            <w:tblGrid>
              <w:gridCol w:w="858"/>
              <w:gridCol w:w="2045"/>
              <w:gridCol w:w="1547"/>
              <w:gridCol w:w="1547"/>
              <w:gridCol w:w="2923"/>
              <w:gridCol w:w="1376"/>
            </w:tblGrid>
            <w:tr w14:paraId="6643C1C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7" w:type="pct"/>
                  <w:vAlign w:val="center"/>
                </w:tcPr>
                <w:p w14:paraId="12FADB7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bookmarkStart w:id="55" w:name="_Hlk71674249"/>
                  <w:r>
                    <w:rPr>
                      <w:rFonts w:hint="default" w:ascii="Times New Roman" w:hAnsi="Times New Roman" w:eastAsia="仿宋_GB2312" w:cs="Times New Roman"/>
                      <w:b/>
                      <w:color w:val="auto"/>
                      <w:sz w:val="21"/>
                    </w:rPr>
                    <w:t>序号</w:t>
                  </w:r>
                </w:p>
              </w:tc>
              <w:tc>
                <w:tcPr>
                  <w:tcW w:w="993" w:type="pct"/>
                  <w:vAlign w:val="center"/>
                </w:tcPr>
                <w:p w14:paraId="413C0014">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危险物质名称</w:t>
                  </w:r>
                </w:p>
              </w:tc>
              <w:tc>
                <w:tcPr>
                  <w:tcW w:w="751" w:type="pct"/>
                  <w:vAlign w:val="center"/>
                </w:tcPr>
                <w:p w14:paraId="69408C4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CAS号</w:t>
                  </w:r>
                </w:p>
              </w:tc>
              <w:tc>
                <w:tcPr>
                  <w:tcW w:w="751" w:type="pct"/>
                  <w:vAlign w:val="center"/>
                </w:tcPr>
                <w:p w14:paraId="70839AD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最大存在总量</w:t>
                  </w:r>
                  <w:r>
                    <w:rPr>
                      <w:rFonts w:hint="default" w:ascii="Times New Roman" w:hAnsi="Times New Roman" w:eastAsia="仿宋_GB2312" w:cs="Times New Roman"/>
                      <w:b/>
                      <w:i/>
                      <w:color w:val="auto"/>
                      <w:sz w:val="21"/>
                    </w:rPr>
                    <w:t>q</w:t>
                  </w:r>
                  <w:r>
                    <w:rPr>
                      <w:rFonts w:hint="default" w:ascii="Times New Roman" w:hAnsi="Times New Roman" w:eastAsia="仿宋_GB2312" w:cs="Times New Roman"/>
                      <w:b/>
                      <w:i/>
                      <w:color w:val="auto"/>
                      <w:sz w:val="21"/>
                      <w:vertAlign w:val="subscript"/>
                    </w:rPr>
                    <w:t>n</w:t>
                  </w:r>
                  <w:r>
                    <w:rPr>
                      <w:rFonts w:hint="default" w:ascii="Times New Roman" w:hAnsi="Times New Roman" w:eastAsia="仿宋_GB2312" w:cs="Times New Roman"/>
                      <w:b/>
                      <w:color w:val="auto"/>
                      <w:sz w:val="21"/>
                    </w:rPr>
                    <w:t>/t</w:t>
                  </w:r>
                </w:p>
              </w:tc>
              <w:tc>
                <w:tcPr>
                  <w:tcW w:w="1419" w:type="pct"/>
                  <w:vAlign w:val="center"/>
                </w:tcPr>
                <w:p w14:paraId="2D76512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临界量</w:t>
                  </w:r>
                </w:p>
                <w:p w14:paraId="35E9CD1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i/>
                      <w:color w:val="auto"/>
                      <w:sz w:val="21"/>
                    </w:rPr>
                    <w:t>Q</w:t>
                  </w:r>
                  <w:r>
                    <w:rPr>
                      <w:rFonts w:hint="default" w:ascii="Times New Roman" w:hAnsi="Times New Roman" w:eastAsia="仿宋_GB2312" w:cs="Times New Roman"/>
                      <w:b/>
                      <w:i/>
                      <w:color w:val="auto"/>
                      <w:sz w:val="21"/>
                      <w:vertAlign w:val="subscript"/>
                    </w:rPr>
                    <w:t>n</w:t>
                  </w:r>
                  <w:r>
                    <w:rPr>
                      <w:rFonts w:hint="default" w:ascii="Times New Roman" w:hAnsi="Times New Roman" w:eastAsia="仿宋_GB2312" w:cs="Times New Roman"/>
                      <w:b/>
                      <w:color w:val="auto"/>
                      <w:sz w:val="21"/>
                    </w:rPr>
                    <w:t>/t</w:t>
                  </w:r>
                </w:p>
              </w:tc>
              <w:tc>
                <w:tcPr>
                  <w:tcW w:w="668" w:type="pct"/>
                  <w:vAlign w:val="center"/>
                </w:tcPr>
                <w:p w14:paraId="71DB140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该种危险物质Q值</w:t>
                  </w:r>
                </w:p>
              </w:tc>
            </w:tr>
            <w:tr w14:paraId="0EE87D92">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7" w:type="pct"/>
                  <w:vAlign w:val="center"/>
                </w:tcPr>
                <w:p w14:paraId="6B846B0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1</w:t>
                  </w:r>
                </w:p>
              </w:tc>
              <w:tc>
                <w:tcPr>
                  <w:tcW w:w="993" w:type="pct"/>
                  <w:vAlign w:val="center"/>
                </w:tcPr>
                <w:p w14:paraId="6063E7D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lang w:val="zh-CN"/>
                    </w:rPr>
                    <w:t>盐酸</w:t>
                  </w:r>
                </w:p>
              </w:tc>
              <w:tc>
                <w:tcPr>
                  <w:tcW w:w="751" w:type="pct"/>
                  <w:vAlign w:val="center"/>
                </w:tcPr>
                <w:p w14:paraId="48130721">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7647-01-0</w:t>
                  </w:r>
                </w:p>
              </w:tc>
              <w:tc>
                <w:tcPr>
                  <w:tcW w:w="751" w:type="pct"/>
                  <w:vAlign w:val="center"/>
                </w:tcPr>
                <w:p w14:paraId="5DA22BE6">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0.097</w:t>
                  </w:r>
                  <w:r>
                    <w:rPr>
                      <w:rFonts w:hint="default" w:ascii="Times New Roman" w:hAnsi="Times New Roman" w:eastAsia="仿宋_GB2312" w:cs="Times New Roman"/>
                      <w:color w:val="auto"/>
                      <w:kern w:val="0"/>
                      <w:sz w:val="21"/>
                      <w:vertAlign w:val="superscript"/>
                    </w:rPr>
                    <w:t>①</w:t>
                  </w:r>
                </w:p>
              </w:tc>
              <w:tc>
                <w:tcPr>
                  <w:tcW w:w="1419" w:type="pct"/>
                  <w:vAlign w:val="center"/>
                </w:tcPr>
                <w:p w14:paraId="4CDB261A">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7.5</w:t>
                  </w:r>
                </w:p>
              </w:tc>
              <w:tc>
                <w:tcPr>
                  <w:tcW w:w="668" w:type="pct"/>
                  <w:vAlign w:val="center"/>
                </w:tcPr>
                <w:p w14:paraId="4B05C53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lang w:val="zh-CN"/>
                    </w:rPr>
                    <w:t>0.</w:t>
                  </w:r>
                  <w:r>
                    <w:rPr>
                      <w:rFonts w:hint="default" w:ascii="Times New Roman" w:hAnsi="Times New Roman" w:eastAsia="仿宋_GB2312" w:cs="Times New Roman"/>
                      <w:color w:val="auto"/>
                      <w:kern w:val="0"/>
                      <w:sz w:val="21"/>
                    </w:rPr>
                    <w:t>013</w:t>
                  </w:r>
                </w:p>
              </w:tc>
            </w:tr>
            <w:tr w14:paraId="0B3C00A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7" w:type="pct"/>
                  <w:vAlign w:val="center"/>
                </w:tcPr>
                <w:p w14:paraId="3E7E6ED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2</w:t>
                  </w:r>
                </w:p>
              </w:tc>
              <w:tc>
                <w:tcPr>
                  <w:tcW w:w="993" w:type="pct"/>
                  <w:vAlign w:val="center"/>
                </w:tcPr>
                <w:p w14:paraId="54B989ED">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shd w:val="clear" w:color="auto" w:fill="FFFFFF"/>
                    </w:rPr>
                  </w:pPr>
                  <w:r>
                    <w:rPr>
                      <w:rFonts w:hint="default" w:ascii="Times New Roman" w:hAnsi="Times New Roman" w:eastAsia="仿宋_GB2312" w:cs="Times New Roman"/>
                      <w:color w:val="auto"/>
                      <w:sz w:val="21"/>
                      <w:shd w:val="clear" w:color="auto" w:fill="FFFFFF"/>
                    </w:rPr>
                    <w:t>废矿物油</w:t>
                  </w:r>
                </w:p>
              </w:tc>
              <w:tc>
                <w:tcPr>
                  <w:tcW w:w="751" w:type="pct"/>
                  <w:vAlign w:val="center"/>
                </w:tcPr>
                <w:p w14:paraId="7302F073">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lang w:val="zh-CN"/>
                    </w:rPr>
                    <w:t>/</w:t>
                  </w:r>
                </w:p>
              </w:tc>
              <w:tc>
                <w:tcPr>
                  <w:tcW w:w="751" w:type="pct"/>
                  <w:vAlign w:val="center"/>
                </w:tcPr>
                <w:p w14:paraId="664CDCD7">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rPr>
                    <w:t>0.05</w:t>
                  </w:r>
                </w:p>
              </w:tc>
              <w:tc>
                <w:tcPr>
                  <w:tcW w:w="1419" w:type="pct"/>
                  <w:vAlign w:val="center"/>
                </w:tcPr>
                <w:p w14:paraId="459D691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lang w:val="zh-CN"/>
                    </w:rPr>
                    <w:t>2500（油类物质）</w:t>
                  </w:r>
                </w:p>
              </w:tc>
              <w:tc>
                <w:tcPr>
                  <w:tcW w:w="668" w:type="pct"/>
                  <w:vAlign w:val="center"/>
                </w:tcPr>
                <w:p w14:paraId="3F315EA2">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lang w:val="zh-CN"/>
                    </w:rPr>
                  </w:pPr>
                  <w:r>
                    <w:rPr>
                      <w:rFonts w:hint="default" w:ascii="Times New Roman" w:hAnsi="Times New Roman" w:eastAsia="仿宋_GB2312" w:cs="Times New Roman"/>
                      <w:color w:val="auto"/>
                      <w:kern w:val="0"/>
                      <w:sz w:val="21"/>
                      <w:lang w:val="zh-CN"/>
                    </w:rPr>
                    <w:t>0.00002</w:t>
                  </w:r>
                </w:p>
              </w:tc>
            </w:tr>
            <w:tr w14:paraId="0C8B6D8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17" w:type="pct"/>
                  <w:vAlign w:val="center"/>
                </w:tcPr>
                <w:p w14:paraId="578B4FE1">
                  <w:pPr>
                    <w:keepNext w:val="0"/>
                    <w:keepLines w:val="0"/>
                    <w:widowControl w:val="0"/>
                    <w:suppressLineNumbers w:val="0"/>
                    <w:snapToGrid w:val="0"/>
                    <w:spacing w:before="0" w:beforeAutospacing="0" w:after="0" w:afterAutospacing="0" w:line="320" w:lineRule="exact"/>
                    <w:ind w:left="0" w:right="0"/>
                    <w:jc w:val="center"/>
                    <w:rPr>
                      <w:rFonts w:hint="eastAsia" w:ascii="Times New Roman" w:hAnsi="Times New Roman" w:eastAsia="仿宋_GB2312" w:cs="Times New Roman"/>
                      <w:color w:val="auto"/>
                      <w:sz w:val="21"/>
                      <w:lang w:eastAsia="zh-CN"/>
                    </w:rPr>
                  </w:pPr>
                  <w:r>
                    <w:rPr>
                      <w:rFonts w:hint="eastAsia" w:ascii="Times New Roman" w:hAnsi="Times New Roman" w:eastAsia="仿宋_GB2312" w:cs="Times New Roman"/>
                      <w:color w:val="auto"/>
                      <w:sz w:val="21"/>
                      <w:lang w:val="en-US" w:eastAsia="zh-CN"/>
                    </w:rPr>
                    <w:t>3</w:t>
                  </w:r>
                </w:p>
              </w:tc>
              <w:tc>
                <w:tcPr>
                  <w:tcW w:w="993" w:type="pct"/>
                  <w:vAlign w:val="center"/>
                </w:tcPr>
                <w:p w14:paraId="18ADE73C">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sz w:val="21"/>
                      <w:shd w:val="clear" w:color="auto" w:fill="FFFFFF"/>
                    </w:rPr>
                  </w:pPr>
                  <w:r>
                    <w:rPr>
                      <w:rFonts w:hint="default" w:ascii="Times New Roman" w:hAnsi="Times New Roman" w:eastAsia="仿宋_GB2312" w:cs="Times New Roman"/>
                      <w:color w:val="auto"/>
                      <w:sz w:val="21"/>
                      <w:shd w:val="clear" w:color="auto" w:fill="FFFFFF"/>
                    </w:rPr>
                    <w:t>质检区废液</w:t>
                  </w:r>
                </w:p>
              </w:tc>
              <w:tc>
                <w:tcPr>
                  <w:tcW w:w="751" w:type="pct"/>
                  <w:vAlign w:val="center"/>
                </w:tcPr>
                <w:p w14:paraId="15076CF5">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w:t>
                  </w:r>
                </w:p>
              </w:tc>
              <w:tc>
                <w:tcPr>
                  <w:tcW w:w="751" w:type="pct"/>
                  <w:vAlign w:val="center"/>
                </w:tcPr>
                <w:p w14:paraId="225F16B8">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0.2</w:t>
                  </w:r>
                </w:p>
              </w:tc>
              <w:tc>
                <w:tcPr>
                  <w:tcW w:w="1419" w:type="pct"/>
                  <w:vAlign w:val="center"/>
                </w:tcPr>
                <w:p w14:paraId="2543165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10（COD</w:t>
                  </w:r>
                  <w:r>
                    <w:rPr>
                      <w:rFonts w:hint="default" w:ascii="Times New Roman" w:hAnsi="Times New Roman" w:eastAsia="仿宋_GB2312" w:cs="Times New Roman"/>
                      <w:color w:val="auto"/>
                      <w:kern w:val="0"/>
                      <w:sz w:val="21"/>
                      <w:vertAlign w:val="subscript"/>
                    </w:rPr>
                    <w:t>Cr</w:t>
                  </w:r>
                  <w:r>
                    <w:rPr>
                      <w:rFonts w:hint="default" w:ascii="Times New Roman" w:hAnsi="Times New Roman" w:eastAsia="仿宋_GB2312" w:cs="Times New Roman"/>
                      <w:color w:val="auto"/>
                      <w:kern w:val="0"/>
                      <w:sz w:val="21"/>
                    </w:rPr>
                    <w:t>浓度≥10000mg/L的有机废液）</w:t>
                  </w:r>
                </w:p>
              </w:tc>
              <w:tc>
                <w:tcPr>
                  <w:tcW w:w="668" w:type="pct"/>
                  <w:vAlign w:val="center"/>
                </w:tcPr>
                <w:p w14:paraId="60F1E79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kern w:val="0"/>
                      <w:sz w:val="21"/>
                    </w:rPr>
                    <w:t>0.02</w:t>
                  </w:r>
                </w:p>
              </w:tc>
            </w:tr>
            <w:tr w14:paraId="513AECE1">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28" w:type="dxa"/>
                  <w:bottom w:w="0" w:type="dxa"/>
                  <w:right w:w="28" w:type="dxa"/>
                </w:tblCellMar>
              </w:tblPrEx>
              <w:trPr>
                <w:trHeight w:val="340" w:hRule="atLeast"/>
                <w:jc w:val="center"/>
              </w:trPr>
              <w:tc>
                <w:tcPr>
                  <w:tcW w:w="4331" w:type="pct"/>
                  <w:gridSpan w:val="5"/>
                  <w:vAlign w:val="center"/>
                </w:tcPr>
                <w:p w14:paraId="5D5A8E0B">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项目Q值∑</w:t>
                  </w:r>
                </w:p>
              </w:tc>
              <w:tc>
                <w:tcPr>
                  <w:tcW w:w="668" w:type="pct"/>
                  <w:vAlign w:val="center"/>
                </w:tcPr>
                <w:p w14:paraId="363DC539">
                  <w:pPr>
                    <w:keepNext w:val="0"/>
                    <w:keepLines w:val="0"/>
                    <w:widowControl w:val="0"/>
                    <w:suppressLineNumbers w:val="0"/>
                    <w:snapToGrid w:val="0"/>
                    <w:spacing w:before="0" w:beforeAutospacing="0" w:after="0" w:afterAutospacing="0" w:line="320" w:lineRule="exact"/>
                    <w:ind w:left="0" w:right="0"/>
                    <w:jc w:val="center"/>
                    <w:rPr>
                      <w:rFonts w:hint="default" w:ascii="Times New Roman" w:hAnsi="Times New Roman" w:eastAsia="仿宋_GB2312" w:cs="Times New Roman"/>
                      <w:b/>
                      <w:color w:val="auto"/>
                      <w:sz w:val="21"/>
                      <w:lang w:val="en-US" w:eastAsia="zh-CN"/>
                    </w:rPr>
                  </w:pPr>
                  <w:r>
                    <w:rPr>
                      <w:rFonts w:hint="default" w:ascii="Times New Roman" w:hAnsi="Times New Roman" w:eastAsia="仿宋_GB2312" w:cs="Times New Roman"/>
                      <w:b/>
                      <w:color w:val="auto"/>
                      <w:sz w:val="21"/>
                    </w:rPr>
                    <w:t>0.03</w:t>
                  </w:r>
                  <w:r>
                    <w:rPr>
                      <w:rFonts w:hint="eastAsia" w:ascii="Times New Roman" w:hAnsi="Times New Roman" w:eastAsia="仿宋_GB2312" w:cs="Times New Roman"/>
                      <w:b/>
                      <w:color w:val="auto"/>
                      <w:sz w:val="21"/>
                      <w:lang w:val="en-US" w:eastAsia="zh-CN"/>
                    </w:rPr>
                    <w:t>302</w:t>
                  </w:r>
                </w:p>
              </w:tc>
            </w:tr>
            <w:bookmarkEnd w:id="55"/>
          </w:tbl>
          <w:p w14:paraId="743BE00E">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由上表可知，</w:t>
            </w:r>
            <w:r>
              <w:rPr>
                <w:rFonts w:hint="eastAsia" w:eastAsia="仿宋_GB2312"/>
                <w:color w:val="auto"/>
                <w:kern w:val="0"/>
                <w:sz w:val="24"/>
              </w:rPr>
              <w:t>由上表可知，本项目厂内涉及的危险物质数量与临界量比值Q为0.03302（</w:t>
            </w:r>
            <w:r>
              <w:rPr>
                <w:rFonts w:hint="default" w:eastAsia="仿宋_GB2312"/>
                <w:color w:val="auto"/>
                <w:kern w:val="0"/>
                <w:sz w:val="24"/>
              </w:rPr>
              <w:t>Q&lt;1</w:t>
            </w:r>
            <w:r>
              <w:rPr>
                <w:rFonts w:hint="eastAsia" w:eastAsia="仿宋_GB2312"/>
                <w:color w:val="auto"/>
                <w:kern w:val="0"/>
                <w:sz w:val="24"/>
              </w:rPr>
              <w:t>）</w:t>
            </w:r>
            <w:r>
              <w:rPr>
                <w:rFonts w:hint="default" w:eastAsia="仿宋_GB2312"/>
                <w:color w:val="auto"/>
                <w:kern w:val="0"/>
                <w:sz w:val="24"/>
              </w:rPr>
              <w:t>。</w:t>
            </w:r>
          </w:p>
          <w:p w14:paraId="7B838762">
            <w:pPr>
              <w:keepNext w:val="0"/>
              <w:keepLines w:val="0"/>
              <w:suppressLineNumbers w:val="0"/>
              <w:spacing w:before="0" w:beforeAutospacing="0" w:after="0" w:afterAutospacing="0" w:line="500" w:lineRule="exact"/>
              <w:ind w:left="0" w:right="0" w:firstLine="482" w:firstLineChars="200"/>
              <w:rPr>
                <w:rFonts w:hint="default" w:eastAsia="仿宋_GB2312"/>
                <w:b/>
                <w:bCs/>
                <w:color w:val="auto"/>
                <w:kern w:val="0"/>
                <w:sz w:val="24"/>
                <w:szCs w:val="20"/>
              </w:rPr>
            </w:pPr>
            <w:r>
              <w:rPr>
                <w:rFonts w:hint="default" w:eastAsia="仿宋_GB2312"/>
                <w:b/>
                <w:bCs/>
                <w:color w:val="auto"/>
                <w:kern w:val="0"/>
                <w:sz w:val="24"/>
                <w:szCs w:val="20"/>
              </w:rPr>
              <w:t>2</w:t>
            </w:r>
            <w:r>
              <w:rPr>
                <w:rFonts w:hint="eastAsia" w:eastAsia="仿宋_GB2312"/>
                <w:b/>
                <w:bCs/>
                <w:color w:val="auto"/>
                <w:kern w:val="0"/>
                <w:sz w:val="24"/>
                <w:szCs w:val="20"/>
              </w:rPr>
              <w:t>、风险识别</w:t>
            </w:r>
          </w:p>
          <w:p w14:paraId="4DF88194">
            <w:pPr>
              <w:keepNext w:val="0"/>
              <w:keepLines w:val="0"/>
              <w:suppressLineNumbers w:val="0"/>
              <w:spacing w:before="0" w:beforeAutospacing="0" w:after="0" w:afterAutospacing="0" w:line="500" w:lineRule="exact"/>
              <w:ind w:left="0" w:right="0" w:firstLine="480" w:firstLineChars="200"/>
              <w:rPr>
                <w:rFonts w:hint="default" w:eastAsia="仿宋_GB2312"/>
                <w:color w:val="auto"/>
                <w:kern w:val="0"/>
                <w:sz w:val="24"/>
                <w:szCs w:val="20"/>
              </w:rPr>
            </w:pPr>
            <w:r>
              <w:rPr>
                <w:rFonts w:hint="eastAsia" w:eastAsia="仿宋_GB2312"/>
                <w:color w:val="auto"/>
                <w:kern w:val="0"/>
                <w:sz w:val="24"/>
                <w:szCs w:val="20"/>
              </w:rPr>
              <w:t>本项目不涉及高危工艺，主要危险性具体分析为：</w:t>
            </w:r>
          </w:p>
          <w:p w14:paraId="7EC34732">
            <w:pPr>
              <w:keepNext w:val="0"/>
              <w:keepLines w:val="0"/>
              <w:numPr>
                <w:ilvl w:val="0"/>
                <w:numId w:val="0"/>
              </w:numPr>
              <w:suppressLineNumbers w:val="0"/>
              <w:spacing w:before="0" w:beforeAutospacing="0" w:after="0" w:afterAutospacing="0" w:line="500" w:lineRule="exact"/>
              <w:ind w:left="0" w:right="0" w:firstLine="482" w:firstLineChars="200"/>
              <w:jc w:val="left"/>
              <w:rPr>
                <w:rFonts w:hint="eastAsia" w:eastAsia="仿宋_GB2312"/>
                <w:b/>
                <w:bCs/>
                <w:color w:val="auto"/>
                <w:kern w:val="0"/>
                <w:sz w:val="24"/>
                <w:szCs w:val="20"/>
              </w:rPr>
            </w:pPr>
            <w:r>
              <w:rPr>
                <w:rFonts w:hint="eastAsia" w:ascii="Times New Roman" w:hAnsi="Times New Roman" w:eastAsia="仿宋_GB2312" w:cs="Times New Roman"/>
                <w:b/>
                <w:bCs/>
                <w:color w:val="auto"/>
                <w:kern w:val="0"/>
                <w:sz w:val="24"/>
                <w:szCs w:val="20"/>
                <w:lang w:val="en-US" w:eastAsia="zh-CN" w:bidi="ar-SA"/>
              </w:rPr>
              <w:t>（1）</w:t>
            </w:r>
            <w:r>
              <w:rPr>
                <w:rFonts w:hint="eastAsia" w:eastAsia="仿宋_GB2312"/>
                <w:b/>
                <w:bCs/>
                <w:color w:val="auto"/>
                <w:kern w:val="0"/>
                <w:sz w:val="24"/>
                <w:szCs w:val="20"/>
              </w:rPr>
              <w:t>生产工艺风险识别：</w:t>
            </w:r>
          </w:p>
          <w:p w14:paraId="6FDD7912">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①灭菌</w:t>
            </w:r>
          </w:p>
          <w:p w14:paraId="238D0312">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生产过程中使用到高温蒸汽对种子培养罐、发酵罐等设备进行灭菌，若管道、设备的法兰、阀门等处密封不严，会有高温蒸汽泄漏，也会对人员造成烫伤。</w:t>
            </w:r>
          </w:p>
          <w:p w14:paraId="3C545BE5">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②物料输送</w:t>
            </w:r>
          </w:p>
          <w:p w14:paraId="64D8EE28">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在生产中使用的36%盐酸、氢氧化钠等均为腐蚀品，这些物料在装置、容器、管道、法兰、接头、泵、阀内流动或存放，将对上述装置的内表面产生腐蚀，特别是金属部分，这种腐蚀破坏作用不容易被察觉，一旦装置被腐蚀，可导致物料泄漏事故发生，进而引起火灾爆炸事故。</w:t>
            </w:r>
          </w:p>
          <w:p w14:paraId="4E583622">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③高温烫伤</w:t>
            </w:r>
          </w:p>
          <w:p w14:paraId="5C5057D3">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本项目生产过程中使用蒸汽加热，若管道、设备的法兰、阀门等处密封不严，会有高温蒸汽泄漏，也会对人员造成烫伤。</w:t>
            </w:r>
          </w:p>
          <w:p w14:paraId="5A16049A">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④旋转蒸发</w:t>
            </w:r>
          </w:p>
          <w:p w14:paraId="58318B87">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本项目生产过程中使用旋转蒸发仪，来浓缩物料。若旋转蒸发仪操作不当如加液过快、蒸发瓶密封不严等，可能导致物料飞溅。这些飞溅的物料可能直接接触到实验人员的皮肤或眼睛，造成伤害。旋转蒸发仪在工作时会产生高温，若操作不当，如误触加热部位或未戴防护手套等，都可能导致高温烫伤。</w:t>
            </w:r>
          </w:p>
          <w:p w14:paraId="0E173CEB">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ascii="微软雅黑" w:hAnsi="微软雅黑" w:eastAsia="微软雅黑" w:cs="微软雅黑"/>
                <w:color w:val="auto"/>
                <w:kern w:val="0"/>
                <w:sz w:val="24"/>
                <w:szCs w:val="20"/>
              </w:rPr>
              <w:t>⑤</w:t>
            </w:r>
            <w:r>
              <w:rPr>
                <w:rFonts w:hint="eastAsia" w:eastAsia="仿宋_GB2312"/>
                <w:color w:val="auto"/>
                <w:kern w:val="0"/>
                <w:sz w:val="24"/>
                <w:szCs w:val="20"/>
              </w:rPr>
              <w:t>质检过程中使用的化学品包括有易燃液体、可燃液体、腐蚀性化学品等，若未正规存放在化学品柜、药品柜等场所，操作台随意放置，可能导致互为禁忌物料接触，进而导致火灾、爆炸、中毒等事故的发生。</w:t>
            </w:r>
          </w:p>
          <w:p w14:paraId="0D9EBB25">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ascii="微软雅黑" w:hAnsi="微软雅黑" w:eastAsia="微软雅黑" w:cs="微软雅黑"/>
                <w:color w:val="auto"/>
                <w:kern w:val="0"/>
                <w:sz w:val="24"/>
                <w:szCs w:val="20"/>
              </w:rPr>
              <w:t>⑥</w:t>
            </w:r>
            <w:r>
              <w:rPr>
                <w:rFonts w:hint="eastAsia" w:eastAsia="仿宋_GB2312"/>
                <w:color w:val="auto"/>
                <w:kern w:val="0"/>
                <w:sz w:val="24"/>
                <w:szCs w:val="20"/>
              </w:rPr>
              <w:t>在操作有毒、刺激性、挥发的物质实验时，未在通风橱内进行作业，造成相关有毒、刺激性、挥发性物质在实验</w:t>
            </w:r>
          </w:p>
          <w:p w14:paraId="3A6DDB4A">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室内部挥发，可能造成火灾、爆炸、中毒事故的发生。</w:t>
            </w:r>
          </w:p>
          <w:p w14:paraId="0D58934A">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ascii="微软雅黑" w:hAnsi="微软雅黑" w:eastAsia="微软雅黑" w:cs="微软雅黑"/>
                <w:color w:val="auto"/>
                <w:kern w:val="0"/>
                <w:sz w:val="24"/>
                <w:szCs w:val="20"/>
              </w:rPr>
              <w:t>⑦</w:t>
            </w:r>
            <w:r>
              <w:rPr>
                <w:rFonts w:hint="eastAsia" w:eastAsia="仿宋_GB2312"/>
                <w:color w:val="auto"/>
                <w:kern w:val="0"/>
                <w:sz w:val="24"/>
                <w:szCs w:val="20"/>
              </w:rPr>
              <w:t>若实验室内未设置应急照明设施或应急照明设施失效，发生突发情况断电，可能导致无法及时疏散，进而导致事故的发生。</w:t>
            </w:r>
          </w:p>
          <w:p w14:paraId="1CE877BE">
            <w:pPr>
              <w:keepNext w:val="0"/>
              <w:keepLines w:val="0"/>
              <w:numPr>
                <w:ilvl w:val="0"/>
                <w:numId w:val="0"/>
              </w:numPr>
              <w:suppressLineNumbers w:val="0"/>
              <w:spacing w:before="0" w:beforeAutospacing="0" w:after="0" w:afterAutospacing="0" w:line="500" w:lineRule="exact"/>
              <w:ind w:left="0" w:right="0" w:firstLine="482" w:firstLineChars="200"/>
              <w:jc w:val="left"/>
              <w:rPr>
                <w:rFonts w:hint="default" w:ascii="Times New Roman" w:hAnsi="Times New Roman" w:eastAsia="仿宋_GB2312" w:cs="Times New Roman"/>
                <w:b/>
                <w:bCs/>
                <w:color w:val="auto"/>
                <w:kern w:val="0"/>
                <w:sz w:val="24"/>
                <w:szCs w:val="20"/>
                <w:lang w:val="en-US" w:eastAsia="zh-CN" w:bidi="ar-SA"/>
              </w:rPr>
            </w:pPr>
            <w:r>
              <w:rPr>
                <w:rFonts w:hint="default" w:ascii="Times New Roman" w:hAnsi="Times New Roman" w:eastAsia="仿宋_GB2312" w:cs="Times New Roman"/>
                <w:b/>
                <w:bCs/>
                <w:color w:val="auto"/>
                <w:kern w:val="0"/>
                <w:sz w:val="24"/>
                <w:szCs w:val="20"/>
                <w:lang w:val="en-US" w:eastAsia="zh-CN" w:bidi="ar-SA"/>
              </w:rPr>
              <w:t>（</w:t>
            </w:r>
            <w:r>
              <w:rPr>
                <w:rFonts w:hint="eastAsia" w:eastAsia="仿宋_GB2312" w:cs="Times New Roman"/>
                <w:b/>
                <w:bCs/>
                <w:color w:val="auto"/>
                <w:kern w:val="0"/>
                <w:sz w:val="24"/>
                <w:szCs w:val="20"/>
                <w:lang w:val="en-US" w:eastAsia="zh-CN" w:bidi="ar-SA"/>
              </w:rPr>
              <w:t>2</w:t>
            </w:r>
            <w:r>
              <w:rPr>
                <w:rFonts w:hint="default" w:ascii="Times New Roman" w:hAnsi="Times New Roman" w:eastAsia="仿宋_GB2312" w:cs="Times New Roman"/>
                <w:b/>
                <w:bCs/>
                <w:color w:val="auto"/>
                <w:kern w:val="0"/>
                <w:sz w:val="24"/>
                <w:szCs w:val="20"/>
                <w:lang w:val="en-US" w:eastAsia="zh-CN" w:bidi="ar-SA"/>
              </w:rPr>
              <w:t>）</w:t>
            </w:r>
            <w:r>
              <w:rPr>
                <w:rFonts w:hint="eastAsia" w:ascii="Times New Roman" w:hAnsi="Times New Roman" w:eastAsia="仿宋_GB2312" w:cs="Times New Roman"/>
                <w:b/>
                <w:bCs/>
                <w:color w:val="auto"/>
                <w:kern w:val="0"/>
                <w:sz w:val="24"/>
                <w:szCs w:val="20"/>
                <w:lang w:val="en-US" w:eastAsia="zh-CN" w:bidi="ar-SA"/>
              </w:rPr>
              <w:t>生产设施风险识别</w:t>
            </w:r>
            <w:r>
              <w:rPr>
                <w:rFonts w:hint="eastAsia" w:eastAsia="仿宋_GB2312" w:cs="Times New Roman"/>
                <w:b/>
                <w:bCs/>
                <w:color w:val="auto"/>
                <w:kern w:val="0"/>
                <w:sz w:val="24"/>
                <w:szCs w:val="20"/>
                <w:lang w:val="en-US" w:eastAsia="zh-CN" w:bidi="ar-SA"/>
              </w:rPr>
              <w:t>：</w:t>
            </w:r>
          </w:p>
          <w:p w14:paraId="756FC190">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①机械伤害：本项目使用的旋转、直线运动设备，如混合机、包装机等，如使用或防护不当，可能直接与人体接触，引起夹击、碰撞、剪切、卷入、绞、碾、割、剌等伤害。</w:t>
            </w:r>
          </w:p>
          <w:p w14:paraId="1CF76EB2">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②噪声危害：生产过程中的各类设备如空压机、风机、空气压缩机、泵等在运行时产生噪声，人员长期在噪声环境中作业会产生噪声危害。</w:t>
            </w:r>
          </w:p>
          <w:p w14:paraId="4DD431B0">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③在设备检修、擦洗过程中，往往因检修设备的意外启动，或者在调试设备过程中无安全防护、或在设备未停止的状态下检修，极有可能造成机械伤害。</w:t>
            </w:r>
          </w:p>
          <w:p w14:paraId="46A96D0B">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eastAsia="仿宋_GB2312"/>
                <w:color w:val="auto"/>
                <w:kern w:val="0"/>
                <w:sz w:val="24"/>
                <w:szCs w:val="20"/>
              </w:rPr>
              <w:t>④在易燃易爆场所进行动火检修作业，若未办理动火作业审批，未落实安全措施，无人监护，有可能发生火灾爆炸事故。</w:t>
            </w:r>
          </w:p>
          <w:p w14:paraId="2F51BF49">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rPr>
            </w:pPr>
            <w:r>
              <w:rPr>
                <w:rFonts w:hint="eastAsia" w:ascii="微软雅黑" w:hAnsi="微软雅黑" w:eastAsia="微软雅黑" w:cs="微软雅黑"/>
                <w:color w:val="auto"/>
                <w:kern w:val="0"/>
                <w:sz w:val="24"/>
                <w:szCs w:val="20"/>
              </w:rPr>
              <w:t>⑤</w:t>
            </w:r>
            <w:r>
              <w:rPr>
                <w:rFonts w:hint="eastAsia" w:eastAsia="仿宋_GB2312"/>
                <w:color w:val="auto"/>
                <w:kern w:val="0"/>
                <w:sz w:val="24"/>
                <w:szCs w:val="20"/>
              </w:rPr>
              <w:t>设备检修调试作业中如人员配合不当、停送电作业的安全防范不到位等易发生物体打击、触电等事故。</w:t>
            </w:r>
          </w:p>
          <w:p w14:paraId="16061F3E">
            <w:pPr>
              <w:keepNext w:val="0"/>
              <w:keepLines w:val="0"/>
              <w:numPr>
                <w:ilvl w:val="0"/>
                <w:numId w:val="0"/>
              </w:numPr>
              <w:suppressLineNumbers w:val="0"/>
              <w:spacing w:before="0" w:beforeAutospacing="0" w:after="0" w:afterAutospacing="0" w:line="500" w:lineRule="exact"/>
              <w:ind w:left="0" w:right="0" w:firstLine="482" w:firstLineChars="200"/>
              <w:jc w:val="left"/>
              <w:rPr>
                <w:rFonts w:hint="eastAsia" w:eastAsia="仿宋_GB2312"/>
                <w:b/>
                <w:bCs/>
                <w:color w:val="auto"/>
                <w:kern w:val="0"/>
                <w:sz w:val="24"/>
                <w:szCs w:val="20"/>
              </w:rPr>
            </w:pPr>
            <w:r>
              <w:rPr>
                <w:rFonts w:hint="eastAsia" w:ascii="Times New Roman" w:hAnsi="Times New Roman" w:eastAsia="仿宋_GB2312" w:cs="Times New Roman"/>
                <w:b/>
                <w:bCs/>
                <w:color w:val="auto"/>
                <w:kern w:val="0"/>
                <w:sz w:val="24"/>
                <w:szCs w:val="20"/>
                <w:lang w:val="en-US" w:eastAsia="zh-CN" w:bidi="ar-SA"/>
              </w:rPr>
              <w:t>（3）</w:t>
            </w:r>
            <w:r>
              <w:rPr>
                <w:rFonts w:hint="eastAsia" w:eastAsia="仿宋_GB2312"/>
                <w:b/>
                <w:bCs/>
                <w:color w:val="auto"/>
                <w:kern w:val="0"/>
                <w:sz w:val="24"/>
                <w:szCs w:val="20"/>
              </w:rPr>
              <w:t>储运设施风险识别：</w:t>
            </w:r>
          </w:p>
          <w:p w14:paraId="2A7F12C2">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eastAsia="仿宋_GB2312"/>
                <w:color w:val="auto"/>
                <w:kern w:val="0"/>
                <w:sz w:val="24"/>
                <w:szCs w:val="20"/>
              </w:rPr>
              <w:t>①</w:t>
            </w:r>
            <w:r>
              <w:rPr>
                <w:rFonts w:hint="eastAsia" w:ascii="Times New Roman" w:hAnsi="Times New Roman" w:eastAsia="仿宋_GB2312" w:cs="Times New Roman"/>
                <w:color w:val="auto"/>
                <w:kern w:val="0"/>
                <w:sz w:val="24"/>
                <w:szCs w:val="20"/>
                <w:lang w:val="en-US" w:eastAsia="zh-CN" w:bidi="ar-SA"/>
              </w:rPr>
              <w:t>仓库储存</w:t>
            </w:r>
          </w:p>
          <w:p w14:paraId="1D1C5DEC">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企业物料存储采用仓储方式，仓储中若违章将禁忌类物料混存、储存场所温度高、通风不良，不能符合物料相应的仓储条件，可引发火灾、爆炸事故。</w:t>
            </w:r>
          </w:p>
          <w:p w14:paraId="26ECF999">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1）物料储存配置</w:t>
            </w:r>
          </w:p>
          <w:p w14:paraId="1363B9E6">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a.禁忌物料的配置。仓储物料应根据其性能分区、分类、隔离储存，若禁忌类物料混合储存，则可能因物料的泄漏、挥发等原因发生物料间的化学反应而引起事故。</w:t>
            </w:r>
          </w:p>
          <w:p w14:paraId="3F8D4225">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b.物料储存量与储存安排。物料平均单位面积储存量、单一储存区最大储量、垛距、墙距、通道宽度、与禁忌品距离若不符合仓储要求，则事故发生的可能性和严重程度可增大。</w:t>
            </w:r>
          </w:p>
          <w:p w14:paraId="394D160A">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2）物料的泄漏、变质</w:t>
            </w:r>
          </w:p>
          <w:p w14:paraId="0ACC20B9">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a.在物料的搬运、堆码过程中若操作不当（摔、碰、撞、击、拖拉、滚动等），可能发生物料泄漏。</w:t>
            </w:r>
          </w:p>
          <w:p w14:paraId="294A60F5">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b.物料的包装存在缺陷（破损、不严密、超装、渗漏等）发生泄漏。</w:t>
            </w:r>
          </w:p>
          <w:p w14:paraId="0B2D4E3F">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c.储运过程中最主要的危险有害因素是储运物料的泄漏而发生的火灾、爆炸、中毒事故。泄漏可能发生在装卸、运输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7BBA5658">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3）仓储场所条件</w:t>
            </w:r>
          </w:p>
          <w:p w14:paraId="6BE36948">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a.仓储温度。仓储温度应根据储存物料的理化特性相应确定。若超温（夏季高温、违章露天存放等），则可能引起储存物料容器超压爆破等事故。</w:t>
            </w:r>
          </w:p>
          <w:p w14:paraId="0010F365">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b.仓储积水、温度。若雨天库房进水、屋漏等造成的库房积水、库房湿度大、违章露天存放遇水等，仓储物料尤其是袋装固体物料可因遇水造成危害。</w:t>
            </w:r>
          </w:p>
          <w:p w14:paraId="533D1CE1">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c.仓储光照。库房应保持阴凉避免阳光直射，否则可引起仓储物料温度升高而造成事故。</w:t>
            </w:r>
          </w:p>
          <w:p w14:paraId="1A41941C">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d.通风。物料储存中因泄漏、挥发，其蒸汽或粉尘可与空气形成爆炸性混合物或其毒性可对人体造成健康危害。若通风不良，混合物则可能处于爆炸极限范围之内对人体造成健康危害。</w:t>
            </w:r>
          </w:p>
          <w:p w14:paraId="1B3C564E">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eastAsia="仿宋_GB2312"/>
                <w:color w:val="auto"/>
                <w:kern w:val="0"/>
                <w:sz w:val="24"/>
                <w:szCs w:val="20"/>
              </w:rPr>
              <w:t>②</w:t>
            </w:r>
            <w:r>
              <w:rPr>
                <w:rFonts w:hint="eastAsia" w:ascii="Times New Roman" w:hAnsi="Times New Roman" w:eastAsia="仿宋_GB2312" w:cs="Times New Roman"/>
                <w:color w:val="auto"/>
                <w:kern w:val="0"/>
                <w:sz w:val="24"/>
                <w:szCs w:val="20"/>
                <w:lang w:val="en-US" w:eastAsia="zh-CN" w:bidi="ar-SA"/>
              </w:rPr>
              <w:t>厂内物料运输</w:t>
            </w:r>
          </w:p>
          <w:p w14:paraId="4F282D94">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1）厂区人流、物流管理不善，道路不畅通，货物车辆未按规定路线行驶，则可能因交通事故而引发安全事故。厂内道路设计、架空管线净高不符合规范要求，无安全警示及限速标志、无限制车辆通行或禁止车辆通行的路段标志，车辆超速行驶极易引起厂内道路交通事故。</w:t>
            </w:r>
          </w:p>
          <w:p w14:paraId="531D0004">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危化品运输车辆发生碰撞、侧翻、泄漏，可因其内盛装物料的危险有害特性引起火灾爆炸、中毒、腐蚀等安全事故。</w:t>
            </w:r>
          </w:p>
          <w:p w14:paraId="0846ABA5">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2）厂内机动车辆未经资质单位年检合格，装卸管理人员、驾驶及押运人员不具备从业资格，未经培训上岗作业或未定期复审等，可因车辆故障或违章操作引起安全事故。</w:t>
            </w:r>
          </w:p>
          <w:p w14:paraId="14D45061">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3）危化品装卸无专人管理，装卸前未向作业人员详细交代清楚并进行监督检查，装卸过程中可能发生泄漏引发安全事故。</w:t>
            </w:r>
          </w:p>
          <w:p w14:paraId="7832D965">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4）装卸车辆进入厂区未按规定路线、速度行驶，违章停放在非规定地点等均可能引发安全事故。装卸车辆进入厂区未按规定佩带阻火器等安全设施，装卸前车辆未熄火、未采取可靠的防滑溜措施，装卸时易引起安全事故。装卸未在专用装卸场地进行，装卸、搬运设备未定期检查维护等也可引起安全事故。</w:t>
            </w:r>
          </w:p>
          <w:p w14:paraId="38D20DCC">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5）未委托有效资质单位承运危化品，车辆不符合安全要求，驾驶及押运人员无安全及应急处置知识，运输及装卸过程存在的风险极大。</w:t>
            </w:r>
          </w:p>
          <w:p w14:paraId="07322A98">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6）装卸、搬运过程中因物料装车不稳固，可能发生物料的倾倒、翻落、撞击引起泄漏。另外，因原辅材料用量增加及产品运输量增加，运输车辆进出频次增加，在厂区运输中若管理不严或人为失误，易造成装卸、搬运人员伤亡事故。</w:t>
            </w:r>
          </w:p>
          <w:p w14:paraId="089D9A25">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eastAsia="仿宋_GB2312"/>
                <w:color w:val="auto"/>
                <w:kern w:val="0"/>
                <w:sz w:val="24"/>
                <w:szCs w:val="20"/>
              </w:rPr>
              <w:t>③</w:t>
            </w:r>
            <w:r>
              <w:rPr>
                <w:rFonts w:hint="eastAsia" w:ascii="Times New Roman" w:hAnsi="Times New Roman" w:eastAsia="仿宋_GB2312" w:cs="Times New Roman"/>
                <w:color w:val="auto"/>
                <w:kern w:val="0"/>
                <w:sz w:val="24"/>
                <w:szCs w:val="20"/>
                <w:lang w:val="en-US" w:eastAsia="zh-CN" w:bidi="ar-SA"/>
              </w:rPr>
              <w:t>固废堆放场所</w:t>
            </w:r>
          </w:p>
          <w:p w14:paraId="0B1E7CA4">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本项目产生的危废量相对较小，但在收集、贮存、运输过程中也存在风险。危险废物分类收集、贮存、运输过程中散落、泄漏的环境影响如下：</w:t>
            </w:r>
          </w:p>
          <w:p w14:paraId="39BCB5CA">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1）固体废物的分类收集、贮存，危险废物与一般工业固体废物、生活垃圾的混放</w:t>
            </w:r>
          </w:p>
          <w:p w14:paraId="1A4BE3DD">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全厂危险废物中含有有毒、易燃性物质，若与一般工业固体废物或生活垃圾混放，会对其造成污染，受污染的固体废物若按照原有的处置方式进行处理，可能会对大气环境、水环境以及土壤造成污染；若误将危险固废当做一般工业固体废物或生活垃圾进行处理，会对大气环境、水环境以及土壤造成污染；此外，危险废物与一般工业固体废物、生活垃圾的混放会加大发生火灾事故的风险，从而造成对大气环境、水环境以及土壤的污染。</w:t>
            </w:r>
          </w:p>
          <w:p w14:paraId="1386B454">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2）包装、运输过程中散落、泄漏</w:t>
            </w:r>
          </w:p>
          <w:p w14:paraId="08166E58">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本项目危险废物在包装、运输过程中发生散落、泄漏时，若接触土壤或进入水体，则会对泄漏处的水环境和土壤造成污染；本项目危险固废中含有有毒、易燃性物质，散落、泄漏事故发生后，若未及时处置或在种种外力作用下发生火灾，会造成次生、伴生的环境污染。</w:t>
            </w:r>
          </w:p>
          <w:p w14:paraId="785CF8C4">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3）堆放、贮存场所</w:t>
            </w:r>
          </w:p>
          <w:p w14:paraId="754ECE0F">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本项目危险废物呈固态、半固态以及液态，其中含有有毒、易燃性物质。若是堆放、贮存场所未按照要求严格做到防火、防雨、防扬散、防渗漏或堆场内的危险固废未得到及时清运，可能会造成泄漏、火灾等环境事故，从而造成对大气环境、水环境以及土壤的污染。</w:t>
            </w:r>
          </w:p>
          <w:p w14:paraId="61E524BA">
            <w:pPr>
              <w:keepNext w:val="0"/>
              <w:keepLines w:val="0"/>
              <w:numPr>
                <w:ilvl w:val="0"/>
                <w:numId w:val="0"/>
              </w:numPr>
              <w:suppressLineNumbers w:val="0"/>
              <w:spacing w:before="0" w:beforeAutospacing="0" w:after="0" w:afterAutospacing="0" w:line="500" w:lineRule="exact"/>
              <w:ind w:left="0" w:right="0" w:firstLine="480" w:firstLineChars="200"/>
              <w:jc w:val="left"/>
              <w:rPr>
                <w:rFonts w:hint="eastAsia"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4）综合利用、处理、处置的环境影响</w:t>
            </w:r>
          </w:p>
          <w:p w14:paraId="3D7CDA44">
            <w:pPr>
              <w:keepNext w:val="0"/>
              <w:keepLines w:val="0"/>
              <w:numPr>
                <w:ilvl w:val="0"/>
                <w:numId w:val="0"/>
              </w:numPr>
              <w:suppressLineNumbers w:val="0"/>
              <w:spacing w:before="0" w:beforeAutospacing="0" w:after="0" w:afterAutospacing="0" w:line="500" w:lineRule="exact"/>
              <w:ind w:left="0" w:right="0" w:firstLine="480" w:firstLineChars="200"/>
              <w:jc w:val="left"/>
              <w:rPr>
                <w:rFonts w:hint="default" w:ascii="Times New Roman" w:hAnsi="Times New Roman" w:eastAsia="仿宋_GB2312" w:cs="Times New Roman"/>
                <w:color w:val="auto"/>
                <w:kern w:val="0"/>
                <w:sz w:val="24"/>
                <w:szCs w:val="20"/>
                <w:lang w:val="en-US" w:eastAsia="zh-CN" w:bidi="ar-SA"/>
              </w:rPr>
            </w:pPr>
            <w:r>
              <w:rPr>
                <w:rFonts w:hint="eastAsia" w:ascii="Times New Roman" w:hAnsi="Times New Roman" w:eastAsia="仿宋_GB2312" w:cs="Times New Roman"/>
                <w:color w:val="auto"/>
                <w:kern w:val="0"/>
                <w:sz w:val="24"/>
                <w:szCs w:val="20"/>
                <w:lang w:val="en-US" w:eastAsia="zh-CN" w:bidi="ar-SA"/>
              </w:rPr>
              <w:t>本项目危险废物若未做好分类收集、有效处理，可能会对大气、土壤和水环境造成二次污染。</w:t>
            </w:r>
          </w:p>
          <w:p w14:paraId="10E8A01B">
            <w:pPr>
              <w:keepNext w:val="0"/>
              <w:keepLines w:val="0"/>
              <w:suppressLineNumbers w:val="0"/>
              <w:spacing w:before="0" w:beforeAutospacing="0" w:after="0" w:afterAutospacing="0" w:line="500" w:lineRule="exact"/>
              <w:ind w:left="0" w:right="0" w:firstLine="482" w:firstLineChars="200"/>
              <w:rPr>
                <w:rFonts w:hint="eastAsia" w:ascii="仿宋" w:hAnsi="仿宋" w:eastAsia="仿宋"/>
                <w:color w:val="auto"/>
                <w:kern w:val="0"/>
                <w:sz w:val="24"/>
              </w:rPr>
            </w:pPr>
            <w:r>
              <w:rPr>
                <w:rFonts w:hint="eastAsia" w:ascii="仿宋" w:hAnsi="仿宋" w:eastAsia="仿宋"/>
                <w:b/>
                <w:bCs/>
                <w:color w:val="auto"/>
                <w:kern w:val="0"/>
                <w:sz w:val="24"/>
              </w:rPr>
              <w:t>3、</w:t>
            </w:r>
            <w:r>
              <w:rPr>
                <w:rFonts w:hint="default" w:ascii="仿宋" w:hAnsi="仿宋" w:eastAsia="仿宋"/>
                <w:b/>
                <w:bCs/>
                <w:color w:val="auto"/>
                <w:kern w:val="0"/>
                <w:sz w:val="24"/>
              </w:rPr>
              <w:t>风险防控措施</w:t>
            </w:r>
          </w:p>
          <w:p w14:paraId="337553F5">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w:t>
            </w:r>
            <w:r>
              <w:rPr>
                <w:rFonts w:hint="eastAsia" w:eastAsia="仿宋_GB2312"/>
                <w:color w:val="auto"/>
                <w:kern w:val="0"/>
                <w:sz w:val="24"/>
                <w:szCs w:val="20"/>
                <w:lang w:val="en-US" w:eastAsia="zh-CN"/>
              </w:rPr>
              <w:t>1</w:t>
            </w:r>
            <w:r>
              <w:rPr>
                <w:rFonts w:hint="eastAsia" w:eastAsia="仿宋_GB2312"/>
                <w:color w:val="auto"/>
                <w:kern w:val="0"/>
                <w:sz w:val="24"/>
                <w:szCs w:val="20"/>
                <w:lang w:val="zh-CN"/>
              </w:rPr>
              <w:t>）</w:t>
            </w:r>
            <w:r>
              <w:rPr>
                <w:rFonts w:hint="default" w:eastAsia="仿宋_GB2312"/>
                <w:color w:val="auto"/>
                <w:kern w:val="0"/>
                <w:sz w:val="24"/>
                <w:szCs w:val="20"/>
                <w:lang w:val="zh-CN"/>
              </w:rPr>
              <w:t>物料泄漏事故的防范措施</w:t>
            </w:r>
          </w:p>
          <w:p w14:paraId="27AE0828">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定期</w:t>
            </w:r>
            <w:r>
              <w:rPr>
                <w:rFonts w:hint="default" w:eastAsia="仿宋_GB2312"/>
                <w:color w:val="auto"/>
                <w:kern w:val="0"/>
                <w:sz w:val="24"/>
                <w:szCs w:val="20"/>
                <w:lang w:val="zh-CN"/>
              </w:rPr>
              <w:t>对</w:t>
            </w:r>
            <w:r>
              <w:rPr>
                <w:rFonts w:hint="eastAsia" w:eastAsia="仿宋_GB2312"/>
                <w:color w:val="auto"/>
                <w:kern w:val="0"/>
                <w:sz w:val="24"/>
                <w:szCs w:val="20"/>
                <w:lang w:val="zh-CN"/>
              </w:rPr>
              <w:t>仓库</w:t>
            </w:r>
            <w:r>
              <w:rPr>
                <w:rFonts w:hint="default" w:eastAsia="仿宋_GB2312"/>
                <w:color w:val="auto"/>
                <w:kern w:val="0"/>
                <w:sz w:val="24"/>
                <w:szCs w:val="20"/>
                <w:lang w:val="zh-CN"/>
              </w:rPr>
              <w:t>物料包装容器进行检查和维修。</w:t>
            </w:r>
          </w:p>
          <w:p w14:paraId="73C3D0E1">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w:t>
            </w:r>
            <w:r>
              <w:rPr>
                <w:rFonts w:hint="eastAsia" w:eastAsia="仿宋_GB2312"/>
                <w:color w:val="auto"/>
                <w:kern w:val="0"/>
                <w:sz w:val="24"/>
                <w:szCs w:val="20"/>
                <w:lang w:val="en-US" w:eastAsia="zh-CN"/>
              </w:rPr>
              <w:t>2</w:t>
            </w:r>
            <w:r>
              <w:rPr>
                <w:rFonts w:hint="eastAsia" w:eastAsia="仿宋_GB2312"/>
                <w:color w:val="auto"/>
                <w:kern w:val="0"/>
                <w:sz w:val="24"/>
                <w:szCs w:val="20"/>
                <w:lang w:val="zh-CN"/>
              </w:rPr>
              <w:t>）</w:t>
            </w:r>
            <w:r>
              <w:rPr>
                <w:rFonts w:hint="default" w:eastAsia="仿宋_GB2312"/>
                <w:color w:val="auto"/>
                <w:kern w:val="0"/>
                <w:sz w:val="24"/>
                <w:szCs w:val="20"/>
                <w:lang w:val="zh-CN"/>
              </w:rPr>
              <w:t>火灾和爆炸事故的防范措施</w:t>
            </w:r>
          </w:p>
          <w:p w14:paraId="6C302A84">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default" w:eastAsia="仿宋_GB2312"/>
                <w:color w:val="auto"/>
                <w:kern w:val="0"/>
                <w:sz w:val="24"/>
                <w:szCs w:val="20"/>
                <w:lang w:val="zh-CN"/>
              </w:rPr>
              <w:t>火灾和爆炸事故的防范措施主要是提高企业运行管理水平和装置性能，以及采取有效的防火防爆措施。本项目采取措施如下：</w:t>
            </w:r>
          </w:p>
          <w:p w14:paraId="6FA01F6A">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①</w:t>
            </w:r>
            <w:r>
              <w:rPr>
                <w:rFonts w:hint="default" w:eastAsia="仿宋_GB2312"/>
                <w:color w:val="auto"/>
                <w:kern w:val="0"/>
                <w:sz w:val="24"/>
                <w:szCs w:val="20"/>
                <w:lang w:val="zh-CN"/>
              </w:rPr>
              <w:t>应加强火源的管理，严禁烟火带入，对需进行维修焊接</w:t>
            </w:r>
            <w:r>
              <w:rPr>
                <w:rFonts w:hint="eastAsia" w:eastAsia="仿宋_GB2312"/>
                <w:color w:val="auto"/>
                <w:kern w:val="0"/>
                <w:sz w:val="24"/>
                <w:szCs w:val="20"/>
                <w:lang w:val="zh-CN"/>
              </w:rPr>
              <w:t>的</w:t>
            </w:r>
            <w:r>
              <w:rPr>
                <w:rFonts w:hint="default" w:eastAsia="仿宋_GB2312"/>
                <w:color w:val="auto"/>
                <w:kern w:val="0"/>
                <w:sz w:val="24"/>
                <w:szCs w:val="20"/>
                <w:lang w:val="zh-CN"/>
              </w:rPr>
              <w:t>工作，应经安全部门确认、准许，并有记录。机动车在厂内行驶，须安装阻火器，必要设备安装防火、防爆装置。</w:t>
            </w:r>
          </w:p>
          <w:p w14:paraId="6E00A75F">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②本项目依托使用的危废仓库配置若干灭火器、消火栓等消防器材。</w:t>
            </w:r>
          </w:p>
          <w:p w14:paraId="58EF84AB">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③本项目依托使用的危废仓库应设置防火、防爆措施，并设置可燃气体报警等监控预警措施。</w:t>
            </w:r>
          </w:p>
          <w:p w14:paraId="4C8D2111">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w:t>
            </w:r>
            <w:r>
              <w:rPr>
                <w:rFonts w:hint="eastAsia" w:eastAsia="仿宋_GB2312"/>
                <w:color w:val="auto"/>
                <w:kern w:val="0"/>
                <w:sz w:val="24"/>
                <w:szCs w:val="20"/>
                <w:lang w:val="en-US" w:eastAsia="zh-CN"/>
              </w:rPr>
              <w:t>3</w:t>
            </w:r>
            <w:r>
              <w:rPr>
                <w:rFonts w:hint="eastAsia" w:eastAsia="仿宋_GB2312"/>
                <w:color w:val="auto"/>
                <w:kern w:val="0"/>
                <w:sz w:val="24"/>
                <w:szCs w:val="20"/>
                <w:lang w:val="zh-CN"/>
              </w:rPr>
              <w:t>）</w:t>
            </w:r>
            <w:r>
              <w:rPr>
                <w:rFonts w:hint="default" w:eastAsia="仿宋_GB2312"/>
                <w:color w:val="auto"/>
                <w:kern w:val="0"/>
                <w:sz w:val="24"/>
                <w:szCs w:val="20"/>
                <w:lang w:val="zh-CN"/>
              </w:rPr>
              <w:t>固废风险防范措施</w:t>
            </w:r>
          </w:p>
          <w:p w14:paraId="58BD0FB3">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本项目产生危废依托使用的危废库房采取防渗漏、防腐蚀、防淋溶、防流失措施；设置导流沟和收集井；设置视频监控，标识标牌，配备灭火器材。公司委派专人管理，做好危险废物名称、来源、数量、入库时间、出库时间、接受单位等记录，危险废物转移时，需按照规定办理相关转移手续。</w:t>
            </w:r>
          </w:p>
          <w:p w14:paraId="63D4CBE2">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w:t>
            </w:r>
            <w:r>
              <w:rPr>
                <w:rFonts w:hint="eastAsia" w:eastAsia="仿宋_GB2312"/>
                <w:color w:val="auto"/>
                <w:kern w:val="0"/>
                <w:sz w:val="24"/>
                <w:szCs w:val="20"/>
                <w:lang w:val="en-US" w:eastAsia="zh-CN"/>
              </w:rPr>
              <w:t>4</w:t>
            </w:r>
            <w:r>
              <w:rPr>
                <w:rFonts w:hint="eastAsia" w:eastAsia="仿宋_GB2312"/>
                <w:color w:val="auto"/>
                <w:kern w:val="0"/>
                <w:sz w:val="24"/>
                <w:szCs w:val="20"/>
                <w:lang w:val="zh-CN"/>
              </w:rPr>
              <w:t>）应急物资储备</w:t>
            </w:r>
          </w:p>
          <w:p w14:paraId="56239B26">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企业已配备应急物资以应对突发事件，本项目实施后出现突发状况下可依托已有应急物质进行处理。企业主要应急物资配置清单如下。</w:t>
            </w:r>
          </w:p>
          <w:p w14:paraId="176A516E">
            <w:pPr>
              <w:keepNext w:val="0"/>
              <w:keepLines w:val="0"/>
              <w:suppressLineNumbers w:val="0"/>
              <w:spacing w:before="0" w:beforeAutospacing="0" w:after="0" w:afterAutospacing="0" w:line="500" w:lineRule="exact"/>
              <w:ind w:left="0" w:right="0" w:firstLine="422" w:firstLineChars="200"/>
              <w:jc w:val="center"/>
              <w:rPr>
                <w:rFonts w:hint="default" w:eastAsia="仿宋_GB2312"/>
                <w:b/>
                <w:color w:val="auto"/>
                <w:szCs w:val="21"/>
              </w:rPr>
            </w:pPr>
            <w:r>
              <w:rPr>
                <w:rFonts w:hint="default" w:eastAsia="仿宋_GB2312"/>
                <w:b/>
                <w:color w:val="auto"/>
                <w:szCs w:val="21"/>
              </w:rPr>
              <w:t>表4</w:t>
            </w:r>
            <w:r>
              <w:rPr>
                <w:rFonts w:hint="eastAsia" w:eastAsia="仿宋_GB2312"/>
                <w:b/>
                <w:color w:val="auto"/>
                <w:szCs w:val="21"/>
                <w:lang w:val="en-US" w:eastAsia="zh-CN"/>
              </w:rPr>
              <w:t>-35</w:t>
            </w:r>
            <w:r>
              <w:rPr>
                <w:rFonts w:hint="eastAsia" w:eastAsia="仿宋_GB2312"/>
                <w:b/>
                <w:color w:val="auto"/>
                <w:szCs w:val="21"/>
              </w:rPr>
              <w:t xml:space="preserve">  本项目相关</w:t>
            </w:r>
            <w:r>
              <w:rPr>
                <w:rFonts w:hint="default" w:eastAsia="仿宋_GB2312"/>
                <w:b/>
                <w:color w:val="auto"/>
                <w:szCs w:val="21"/>
              </w:rPr>
              <w:t>环境应急</w:t>
            </w:r>
            <w:r>
              <w:rPr>
                <w:rFonts w:hint="eastAsia" w:eastAsia="仿宋_GB2312"/>
                <w:b/>
                <w:color w:val="auto"/>
                <w:szCs w:val="21"/>
              </w:rPr>
              <w:t>物资</w:t>
            </w:r>
            <w:r>
              <w:rPr>
                <w:rFonts w:hint="default" w:eastAsia="仿宋_GB2312"/>
                <w:b/>
                <w:color w:val="auto"/>
                <w:szCs w:val="21"/>
              </w:rPr>
              <w:t>配置清单</w:t>
            </w:r>
          </w:p>
          <w:tbl>
            <w:tblPr>
              <w:tblStyle w:val="87"/>
              <w:tblW w:w="507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57" w:type="dxa"/>
                <w:bottom w:w="0" w:type="dxa"/>
                <w:right w:w="57" w:type="dxa"/>
              </w:tblCellMar>
            </w:tblPr>
            <w:tblGrid>
              <w:gridCol w:w="1064"/>
              <w:gridCol w:w="2288"/>
              <w:gridCol w:w="5145"/>
              <w:gridCol w:w="1949"/>
            </w:tblGrid>
            <w:tr w14:paraId="1A56F8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852" w:type="dxa"/>
                  <w:vAlign w:val="center"/>
                </w:tcPr>
                <w:p w14:paraId="0C12B511">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b/>
                      <w:color w:val="auto"/>
                      <w:sz w:val="21"/>
                      <w:szCs w:val="21"/>
                    </w:rPr>
                  </w:pPr>
                  <w:r>
                    <w:rPr>
                      <w:rFonts w:hint="default" w:ascii="Times New Roman" w:hAnsi="Times New Roman"/>
                      <w:b/>
                      <w:color w:val="auto"/>
                      <w:sz w:val="21"/>
                      <w:szCs w:val="21"/>
                    </w:rPr>
                    <w:t>类别</w:t>
                  </w:r>
                </w:p>
              </w:tc>
              <w:tc>
                <w:tcPr>
                  <w:tcW w:w="1831" w:type="dxa"/>
                  <w:vAlign w:val="center"/>
                </w:tcPr>
                <w:p w14:paraId="61E2FC16">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b/>
                      <w:color w:val="auto"/>
                      <w:sz w:val="21"/>
                      <w:szCs w:val="21"/>
                    </w:rPr>
                  </w:pPr>
                  <w:r>
                    <w:rPr>
                      <w:rFonts w:hint="default" w:ascii="Times New Roman" w:hAnsi="Times New Roman"/>
                      <w:b/>
                      <w:color w:val="auto"/>
                      <w:sz w:val="21"/>
                      <w:szCs w:val="21"/>
                    </w:rPr>
                    <w:t>项目</w:t>
                  </w:r>
                </w:p>
              </w:tc>
              <w:tc>
                <w:tcPr>
                  <w:tcW w:w="4118" w:type="dxa"/>
                  <w:vAlign w:val="center"/>
                </w:tcPr>
                <w:p w14:paraId="4B7F0AC6">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b/>
                      <w:color w:val="auto"/>
                      <w:sz w:val="21"/>
                      <w:szCs w:val="21"/>
                    </w:rPr>
                  </w:pPr>
                  <w:r>
                    <w:rPr>
                      <w:rFonts w:hint="default" w:ascii="Times New Roman" w:hAnsi="Times New Roman"/>
                      <w:b/>
                      <w:color w:val="auto"/>
                      <w:sz w:val="21"/>
                      <w:szCs w:val="21"/>
                    </w:rPr>
                    <w:t>应急物资名称</w:t>
                  </w:r>
                </w:p>
              </w:tc>
              <w:tc>
                <w:tcPr>
                  <w:tcW w:w="1560" w:type="dxa"/>
                  <w:vAlign w:val="center"/>
                </w:tcPr>
                <w:p w14:paraId="3961B773">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b/>
                      <w:color w:val="auto"/>
                      <w:sz w:val="21"/>
                      <w:szCs w:val="21"/>
                    </w:rPr>
                  </w:pPr>
                  <w:r>
                    <w:rPr>
                      <w:rFonts w:hint="default" w:ascii="Times New Roman" w:hAnsi="Times New Roman"/>
                      <w:b/>
                      <w:color w:val="auto"/>
                      <w:sz w:val="21"/>
                      <w:szCs w:val="21"/>
                    </w:rPr>
                    <w:t>数量（台/套）</w:t>
                  </w:r>
                </w:p>
              </w:tc>
            </w:tr>
            <w:tr w14:paraId="29663A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852" w:type="dxa"/>
                  <w:vMerge w:val="restart"/>
                  <w:vAlign w:val="center"/>
                </w:tcPr>
                <w:p w14:paraId="6FF64106">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个人防护物资</w:t>
                  </w:r>
                </w:p>
              </w:tc>
              <w:tc>
                <w:tcPr>
                  <w:tcW w:w="1831" w:type="dxa"/>
                  <w:vMerge w:val="restart"/>
                  <w:vAlign w:val="center"/>
                </w:tcPr>
                <w:p w14:paraId="4E5A1626">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过滤式呼吸防护物资</w:t>
                  </w:r>
                </w:p>
              </w:tc>
              <w:tc>
                <w:tcPr>
                  <w:tcW w:w="4118" w:type="dxa"/>
                  <w:vAlign w:val="center"/>
                </w:tcPr>
                <w:p w14:paraId="3D91A46D">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防尘口罩</w:t>
                  </w:r>
                </w:p>
              </w:tc>
              <w:tc>
                <w:tcPr>
                  <w:tcW w:w="1560" w:type="dxa"/>
                  <w:vAlign w:val="center"/>
                </w:tcPr>
                <w:p w14:paraId="1ED0DC43">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若干</w:t>
                  </w:r>
                </w:p>
              </w:tc>
            </w:tr>
            <w:tr w14:paraId="2AF85D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852" w:type="dxa"/>
                  <w:vMerge w:val="continue"/>
                  <w:vAlign w:val="center"/>
                </w:tcPr>
                <w:p w14:paraId="5ADC7F0A">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p>
              </w:tc>
              <w:tc>
                <w:tcPr>
                  <w:tcW w:w="1831" w:type="dxa"/>
                  <w:vMerge w:val="continue"/>
                  <w:vAlign w:val="center"/>
                </w:tcPr>
                <w:p w14:paraId="64DC71B1">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p>
              </w:tc>
              <w:tc>
                <w:tcPr>
                  <w:tcW w:w="4118" w:type="dxa"/>
                  <w:vAlign w:val="center"/>
                </w:tcPr>
                <w:p w14:paraId="58F947A2">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过滤式防毒面具</w:t>
                  </w:r>
                </w:p>
              </w:tc>
              <w:tc>
                <w:tcPr>
                  <w:tcW w:w="1560" w:type="dxa"/>
                  <w:vAlign w:val="center"/>
                </w:tcPr>
                <w:p w14:paraId="6DDBC0B4">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若干</w:t>
                  </w:r>
                </w:p>
              </w:tc>
            </w:tr>
            <w:tr w14:paraId="49AC79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47" w:hRule="atLeast"/>
                <w:jc w:val="center"/>
              </w:trPr>
              <w:tc>
                <w:tcPr>
                  <w:tcW w:w="852" w:type="dxa"/>
                  <w:vMerge w:val="continue"/>
                  <w:vAlign w:val="center"/>
                </w:tcPr>
                <w:p w14:paraId="6B54D1C6">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p>
              </w:tc>
              <w:tc>
                <w:tcPr>
                  <w:tcW w:w="1831" w:type="dxa"/>
                  <w:vAlign w:val="center"/>
                </w:tcPr>
                <w:p w14:paraId="6FA209FD">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防护服类物资</w:t>
                  </w:r>
                </w:p>
              </w:tc>
              <w:tc>
                <w:tcPr>
                  <w:tcW w:w="4118" w:type="dxa"/>
                  <w:vAlign w:val="center"/>
                </w:tcPr>
                <w:p w14:paraId="72E33038">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阻燃防护服</w:t>
                  </w:r>
                </w:p>
              </w:tc>
              <w:tc>
                <w:tcPr>
                  <w:tcW w:w="1560" w:type="dxa"/>
                  <w:vAlign w:val="center"/>
                </w:tcPr>
                <w:p w14:paraId="1F6891A7">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2</w:t>
                  </w:r>
                </w:p>
              </w:tc>
            </w:tr>
            <w:tr w14:paraId="6688D6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852" w:type="dxa"/>
                  <w:vMerge w:val="continue"/>
                  <w:vAlign w:val="center"/>
                </w:tcPr>
                <w:p w14:paraId="41260390">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p>
              </w:tc>
              <w:tc>
                <w:tcPr>
                  <w:tcW w:w="1831" w:type="dxa"/>
                  <w:vAlign w:val="center"/>
                </w:tcPr>
                <w:p w14:paraId="69B672B9">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眼面部防护物资</w:t>
                  </w:r>
                </w:p>
              </w:tc>
              <w:tc>
                <w:tcPr>
                  <w:tcW w:w="4118" w:type="dxa"/>
                  <w:vAlign w:val="center"/>
                </w:tcPr>
                <w:p w14:paraId="234F3E0C">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护目镜</w:t>
                  </w:r>
                </w:p>
              </w:tc>
              <w:tc>
                <w:tcPr>
                  <w:tcW w:w="1560" w:type="dxa"/>
                  <w:vAlign w:val="center"/>
                </w:tcPr>
                <w:p w14:paraId="73E4FC89">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若干</w:t>
                  </w:r>
                </w:p>
              </w:tc>
            </w:tr>
            <w:tr w14:paraId="3E7DA8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57" w:hRule="atLeast"/>
                <w:jc w:val="center"/>
              </w:trPr>
              <w:tc>
                <w:tcPr>
                  <w:tcW w:w="852" w:type="dxa"/>
                  <w:vMerge w:val="continue"/>
                  <w:vAlign w:val="center"/>
                </w:tcPr>
                <w:p w14:paraId="12CD4681">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p>
              </w:tc>
              <w:tc>
                <w:tcPr>
                  <w:tcW w:w="1831" w:type="dxa"/>
                  <w:vMerge w:val="restart"/>
                  <w:vAlign w:val="center"/>
                </w:tcPr>
                <w:p w14:paraId="77D90CD9">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手足头部防护物资</w:t>
                  </w:r>
                </w:p>
              </w:tc>
              <w:tc>
                <w:tcPr>
                  <w:tcW w:w="4118" w:type="dxa"/>
                  <w:vAlign w:val="center"/>
                </w:tcPr>
                <w:p w14:paraId="4DCCD813">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防护手套</w:t>
                  </w:r>
                </w:p>
              </w:tc>
              <w:tc>
                <w:tcPr>
                  <w:tcW w:w="1560" w:type="dxa"/>
                  <w:vAlign w:val="center"/>
                </w:tcPr>
                <w:p w14:paraId="1825B42B">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若干</w:t>
                  </w:r>
                </w:p>
              </w:tc>
            </w:tr>
            <w:tr w14:paraId="6558A5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7" w:hRule="atLeast"/>
                <w:jc w:val="center"/>
              </w:trPr>
              <w:tc>
                <w:tcPr>
                  <w:tcW w:w="852" w:type="dxa"/>
                  <w:vMerge w:val="continue"/>
                  <w:vAlign w:val="center"/>
                </w:tcPr>
                <w:p w14:paraId="6DF27C41">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p>
              </w:tc>
              <w:tc>
                <w:tcPr>
                  <w:tcW w:w="1831" w:type="dxa"/>
                  <w:vMerge w:val="continue"/>
                  <w:vAlign w:val="center"/>
                </w:tcPr>
                <w:p w14:paraId="564A75E2">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p>
              </w:tc>
              <w:tc>
                <w:tcPr>
                  <w:tcW w:w="4118" w:type="dxa"/>
                  <w:vAlign w:val="center"/>
                </w:tcPr>
                <w:p w14:paraId="02162353">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安全帽</w:t>
                  </w:r>
                </w:p>
              </w:tc>
              <w:tc>
                <w:tcPr>
                  <w:tcW w:w="1560" w:type="dxa"/>
                  <w:vAlign w:val="center"/>
                </w:tcPr>
                <w:p w14:paraId="3FA252E9">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若干</w:t>
                  </w:r>
                </w:p>
              </w:tc>
            </w:tr>
            <w:tr w14:paraId="3C29B4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852" w:type="dxa"/>
                  <w:vMerge w:val="continue"/>
                  <w:vAlign w:val="center"/>
                </w:tcPr>
                <w:p w14:paraId="441F9B50">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p>
              </w:tc>
              <w:tc>
                <w:tcPr>
                  <w:tcW w:w="1831" w:type="dxa"/>
                  <w:vAlign w:val="center"/>
                </w:tcPr>
                <w:p w14:paraId="4E17E0F7">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其他个人防护物资</w:t>
                  </w:r>
                </w:p>
              </w:tc>
              <w:tc>
                <w:tcPr>
                  <w:tcW w:w="4118" w:type="dxa"/>
                  <w:vAlign w:val="center"/>
                </w:tcPr>
                <w:p w14:paraId="0629A9BE">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手套、安全鞋、工作服、安全警示背心、安全绳</w:t>
                  </w:r>
                </w:p>
              </w:tc>
              <w:tc>
                <w:tcPr>
                  <w:tcW w:w="1560" w:type="dxa"/>
                  <w:vAlign w:val="center"/>
                </w:tcPr>
                <w:p w14:paraId="615B3673">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若干</w:t>
                  </w:r>
                </w:p>
              </w:tc>
            </w:tr>
            <w:tr w14:paraId="29CCA2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852" w:type="dxa"/>
                  <w:vAlign w:val="center"/>
                </w:tcPr>
                <w:p w14:paraId="34C4A751">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围堵物资</w:t>
                  </w:r>
                </w:p>
              </w:tc>
              <w:tc>
                <w:tcPr>
                  <w:tcW w:w="1831" w:type="dxa"/>
                  <w:vAlign w:val="center"/>
                </w:tcPr>
                <w:p w14:paraId="3C6B57E8">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沙土</w:t>
                  </w:r>
                </w:p>
              </w:tc>
              <w:tc>
                <w:tcPr>
                  <w:tcW w:w="4118" w:type="dxa"/>
                  <w:vAlign w:val="center"/>
                </w:tcPr>
                <w:p w14:paraId="77543C7C">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沙包沙袋</w:t>
                  </w:r>
                </w:p>
              </w:tc>
              <w:tc>
                <w:tcPr>
                  <w:tcW w:w="1560" w:type="dxa"/>
                  <w:vAlign w:val="center"/>
                </w:tcPr>
                <w:p w14:paraId="155F6B2C">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1吨</w:t>
                  </w:r>
                </w:p>
              </w:tc>
            </w:tr>
            <w:tr w14:paraId="2CF3F0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852" w:type="dxa"/>
                  <w:vAlign w:val="center"/>
                </w:tcPr>
                <w:p w14:paraId="21D309B5">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处理处置物资</w:t>
                  </w:r>
                </w:p>
              </w:tc>
              <w:tc>
                <w:tcPr>
                  <w:tcW w:w="1831" w:type="dxa"/>
                  <w:vAlign w:val="center"/>
                </w:tcPr>
                <w:p w14:paraId="0FBA0C11">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灭火剂</w:t>
                  </w:r>
                </w:p>
              </w:tc>
              <w:tc>
                <w:tcPr>
                  <w:tcW w:w="4118" w:type="dxa"/>
                  <w:vAlign w:val="center"/>
                </w:tcPr>
                <w:p w14:paraId="07457C84">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干粉</w:t>
                  </w:r>
                </w:p>
              </w:tc>
              <w:tc>
                <w:tcPr>
                  <w:tcW w:w="1560" w:type="dxa"/>
                  <w:vAlign w:val="center"/>
                </w:tcPr>
                <w:p w14:paraId="21DAEC9C">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default" w:ascii="Times New Roman" w:hAnsi="Times New Roman"/>
                      <w:color w:val="auto"/>
                      <w:sz w:val="21"/>
                      <w:szCs w:val="21"/>
                    </w:rPr>
                  </w:pPr>
                  <w:r>
                    <w:rPr>
                      <w:rFonts w:hint="default" w:ascii="Times New Roman" w:hAnsi="Times New Roman"/>
                      <w:color w:val="auto"/>
                      <w:sz w:val="21"/>
                      <w:szCs w:val="21"/>
                    </w:rPr>
                    <w:t>若干</w:t>
                  </w:r>
                </w:p>
              </w:tc>
            </w:tr>
          </w:tbl>
          <w:p w14:paraId="0BB39102">
            <w:pPr>
              <w:keepNext w:val="0"/>
              <w:keepLines w:val="0"/>
              <w:suppressLineNumbers w:val="0"/>
              <w:spacing w:before="0" w:beforeAutospacing="0" w:after="0" w:afterAutospacing="0" w:line="500" w:lineRule="exact"/>
              <w:ind w:left="0" w:right="0" w:firstLine="480" w:firstLineChars="200"/>
              <w:jc w:val="left"/>
              <w:rPr>
                <w:rFonts w:hint="eastAsia" w:eastAsia="仿宋_GB2312"/>
                <w:color w:val="auto"/>
                <w:kern w:val="0"/>
                <w:sz w:val="24"/>
                <w:szCs w:val="20"/>
                <w:lang w:val="zh-CN"/>
              </w:rPr>
            </w:pPr>
            <w:r>
              <w:rPr>
                <w:rFonts w:hint="eastAsia" w:eastAsia="仿宋_GB2312"/>
                <w:color w:val="1D35AD"/>
                <w:kern w:val="0"/>
                <w:sz w:val="24"/>
                <w:szCs w:val="20"/>
                <w:highlight w:val="none"/>
                <w:lang w:val="zh-CN"/>
              </w:rPr>
              <w:t>与金城科技产业园内应急物资衔接：</w:t>
            </w:r>
            <w:r>
              <w:rPr>
                <w:rFonts w:hint="eastAsia" w:eastAsia="仿宋_GB2312"/>
                <w:color w:val="auto"/>
                <w:kern w:val="0"/>
                <w:sz w:val="24"/>
                <w:szCs w:val="20"/>
                <w:lang w:val="zh-CN"/>
              </w:rPr>
              <w:t>企业发生突发环境事故时，应按照应急预案中应急响应流程进行信息上报，由园区应急救援小组调配应急物资赶赴现场。园区环境应急物资主要依托金坛区人民政府、常州市金坛生态环境局应急设施和物资，主要包括应急通信和指挥类、安全防护类、污染源切断、控制、收集及降解类等，应急设施及物资均由专人负责管理，应急设施及物资定期维护、更新，并及时按需新增。同时园区重点企业均备有应急物资，如遇较大事故，可调用区级应急物资库和园区重点企业应急物资。</w:t>
            </w:r>
          </w:p>
          <w:p w14:paraId="2919D976">
            <w:pPr>
              <w:keepNext w:val="0"/>
              <w:keepLines w:val="0"/>
              <w:suppressLineNumbers w:val="0"/>
              <w:spacing w:before="0" w:beforeAutospacing="0" w:after="0" w:afterAutospacing="0" w:line="500" w:lineRule="exact"/>
              <w:ind w:left="0" w:right="0" w:firstLine="480" w:firstLineChars="200"/>
              <w:jc w:val="left"/>
              <w:rPr>
                <w:rFonts w:hint="default" w:eastAsia="仿宋_GB2312"/>
                <w:color w:val="auto"/>
                <w:kern w:val="0"/>
                <w:sz w:val="24"/>
                <w:szCs w:val="20"/>
                <w:lang w:val="zh-CN"/>
              </w:rPr>
            </w:pPr>
            <w:r>
              <w:rPr>
                <w:rFonts w:hint="eastAsia" w:eastAsia="仿宋_GB2312"/>
                <w:color w:val="auto"/>
                <w:kern w:val="0"/>
                <w:sz w:val="24"/>
                <w:szCs w:val="20"/>
                <w:lang w:val="zh-CN"/>
              </w:rPr>
              <w:t>（6）事故废水风险防范措施</w:t>
            </w:r>
          </w:p>
          <w:p w14:paraId="5C56B73D">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highlight w:val="yellow"/>
              </w:rPr>
            </w:pPr>
            <w:r>
              <w:rPr>
                <w:rFonts w:hint="eastAsia" w:eastAsia="仿宋_GB2312"/>
                <w:color w:val="auto"/>
                <w:sz w:val="24"/>
              </w:rPr>
              <w:t>本项目依事故废水托</w:t>
            </w:r>
            <w:r>
              <w:rPr>
                <w:rFonts w:hint="eastAsia" w:eastAsia="仿宋_GB2312"/>
                <w:color w:val="auto"/>
                <w:sz w:val="24"/>
                <w:lang w:eastAsia="zh-CN"/>
              </w:rPr>
              <w:t>出租方</w:t>
            </w:r>
            <w:r>
              <w:rPr>
                <w:rFonts w:hint="eastAsia" w:eastAsia="仿宋_GB2312"/>
                <w:color w:val="auto"/>
                <w:sz w:val="24"/>
              </w:rPr>
              <w:t>现有的两座事故应急池，容积各为400m</w:t>
            </w:r>
            <w:r>
              <w:rPr>
                <w:rFonts w:hint="eastAsia" w:eastAsia="仿宋_GB2312"/>
                <w:color w:val="auto"/>
                <w:sz w:val="24"/>
                <w:vertAlign w:val="superscript"/>
              </w:rPr>
              <w:t>3</w:t>
            </w:r>
            <w:r>
              <w:rPr>
                <w:rFonts w:hint="eastAsia" w:eastAsia="仿宋_GB2312"/>
                <w:color w:val="auto"/>
                <w:sz w:val="24"/>
              </w:rPr>
              <w:t>，总容积为800m</w:t>
            </w:r>
            <w:r>
              <w:rPr>
                <w:rFonts w:hint="eastAsia" w:eastAsia="仿宋_GB2312"/>
                <w:color w:val="auto"/>
                <w:sz w:val="24"/>
                <w:vertAlign w:val="superscript"/>
              </w:rPr>
              <w:t>3</w:t>
            </w:r>
            <w:r>
              <w:rPr>
                <w:rFonts w:hint="eastAsia" w:eastAsia="仿宋_GB2312"/>
                <w:color w:val="auto"/>
                <w:sz w:val="24"/>
              </w:rPr>
              <w:t>。全厂排水系统需按照“雨污分流”原则设计，分别连通现有厂区雨水管网和污水管网。本项目所在地块事故废水和泄</w:t>
            </w:r>
            <w:r>
              <w:rPr>
                <w:rFonts w:hint="eastAsia" w:eastAsia="仿宋_GB2312"/>
                <w:color w:val="auto"/>
                <w:sz w:val="24"/>
                <w:lang w:eastAsia="zh-CN"/>
              </w:rPr>
              <w:t>漏</w:t>
            </w:r>
            <w:r>
              <w:rPr>
                <w:rFonts w:hint="eastAsia" w:eastAsia="仿宋_GB2312"/>
                <w:color w:val="auto"/>
                <w:sz w:val="24"/>
              </w:rPr>
              <w:t>物可通过企业雨水管网送至事故应急池等设施暂存，防止进入污水系统或直接排入外环境。</w:t>
            </w:r>
          </w:p>
          <w:p w14:paraId="37036E6B">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参照《水体污染防控紧急措施设计导则》（中国石化建标[2006]43号）和《事故状态下水体污染的预防与控制技术要求》（Q/SY1190-2019），事故应急池总有效容积计算公式如下：</w:t>
            </w:r>
          </w:p>
          <w:p w14:paraId="204C49F6">
            <w:pPr>
              <w:keepNext w:val="0"/>
              <w:keepLines w:val="0"/>
              <w:suppressLineNumbers w:val="0"/>
              <w:adjustRightInd w:val="0"/>
              <w:spacing w:before="0" w:beforeAutospacing="0" w:after="0" w:afterAutospacing="0" w:line="500" w:lineRule="exact"/>
              <w:ind w:left="0" w:right="0" w:firstLine="480" w:firstLineChars="200"/>
              <w:contextualSpacing/>
              <w:jc w:val="center"/>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总</w:t>
            </w:r>
            <w:r>
              <w:rPr>
                <w:rFonts w:hint="default" w:eastAsia="仿宋_GB2312"/>
                <w:color w:val="auto"/>
                <w:sz w:val="24"/>
              </w:rPr>
              <w:t>=（V</w:t>
            </w:r>
            <w:r>
              <w:rPr>
                <w:rFonts w:hint="default" w:eastAsia="仿宋_GB2312"/>
                <w:color w:val="auto"/>
                <w:sz w:val="24"/>
                <w:vertAlign w:val="subscript"/>
              </w:rPr>
              <w:t>1</w:t>
            </w:r>
            <w:r>
              <w:rPr>
                <w:rFonts w:hint="default" w:eastAsia="仿宋_GB2312"/>
                <w:color w:val="auto"/>
                <w:sz w:val="24"/>
              </w:rPr>
              <w:t>+V</w:t>
            </w:r>
            <w:r>
              <w:rPr>
                <w:rFonts w:hint="default" w:eastAsia="仿宋_GB2312"/>
                <w:color w:val="auto"/>
                <w:sz w:val="24"/>
                <w:vertAlign w:val="subscript"/>
              </w:rPr>
              <w:t>2</w:t>
            </w:r>
            <w:r>
              <w:rPr>
                <w:rFonts w:hint="default" w:eastAsia="仿宋_GB2312"/>
                <w:color w:val="auto"/>
                <w:sz w:val="24"/>
              </w:rPr>
              <w:t>-V3）+V</w:t>
            </w:r>
            <w:r>
              <w:rPr>
                <w:rFonts w:hint="default" w:eastAsia="仿宋_GB2312"/>
                <w:color w:val="auto"/>
                <w:sz w:val="24"/>
                <w:vertAlign w:val="subscript"/>
              </w:rPr>
              <w:t>4</w:t>
            </w:r>
            <w:r>
              <w:rPr>
                <w:rFonts w:hint="default" w:eastAsia="仿宋_GB2312"/>
                <w:color w:val="auto"/>
                <w:sz w:val="24"/>
              </w:rPr>
              <w:t>+V</w:t>
            </w:r>
            <w:r>
              <w:rPr>
                <w:rFonts w:hint="default" w:eastAsia="仿宋_GB2312"/>
                <w:color w:val="auto"/>
                <w:sz w:val="24"/>
                <w:vertAlign w:val="subscript"/>
              </w:rPr>
              <w:t>5</w:t>
            </w:r>
          </w:p>
          <w:p w14:paraId="05741F7C">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1</w:t>
            </w:r>
            <w:r>
              <w:rPr>
                <w:rFonts w:hint="default" w:eastAsia="仿宋_GB2312"/>
                <w:color w:val="auto"/>
                <w:sz w:val="24"/>
              </w:rPr>
              <w:t>：事故一个罐或一个装置物料</w:t>
            </w:r>
          </w:p>
          <w:p w14:paraId="5CDA4C22">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2</w:t>
            </w:r>
            <w:r>
              <w:rPr>
                <w:rFonts w:hint="default" w:eastAsia="仿宋_GB2312"/>
                <w:color w:val="auto"/>
                <w:sz w:val="24"/>
              </w:rPr>
              <w:t>：事故的储罐或消防水量</w:t>
            </w:r>
          </w:p>
          <w:p w14:paraId="7FDD6468">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3</w:t>
            </w:r>
            <w:r>
              <w:rPr>
                <w:rFonts w:hint="default" w:eastAsia="仿宋_GB2312"/>
                <w:color w:val="auto"/>
                <w:sz w:val="24"/>
              </w:rPr>
              <w:t>：事故时可以转输到其它储存或处理设施的物料量</w:t>
            </w:r>
          </w:p>
          <w:p w14:paraId="453D89FC">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4</w:t>
            </w:r>
            <w:r>
              <w:rPr>
                <w:rFonts w:hint="default" w:eastAsia="仿宋_GB2312"/>
                <w:color w:val="auto"/>
                <w:sz w:val="24"/>
              </w:rPr>
              <w:t>：发生事故时必须进入该收集系统的生产废水量</w:t>
            </w:r>
          </w:p>
          <w:p w14:paraId="1419931E">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5</w:t>
            </w:r>
            <w:r>
              <w:rPr>
                <w:rFonts w:hint="default" w:eastAsia="仿宋_GB2312"/>
                <w:color w:val="auto"/>
                <w:sz w:val="24"/>
              </w:rPr>
              <w:t>：发生事故时可能进入该收集系统的降雨量</w:t>
            </w:r>
          </w:p>
          <w:p w14:paraId="288ACB33">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事故应急池具体溶积大小计算如下：</w:t>
            </w:r>
          </w:p>
          <w:p w14:paraId="4A99A5F5">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eastAsia" w:eastAsia="仿宋_GB2312"/>
                <w:color w:val="auto"/>
                <w:sz w:val="24"/>
                <w:vertAlign w:val="subscript"/>
              </w:rPr>
              <w:t>1</w:t>
            </w:r>
            <w:r>
              <w:rPr>
                <w:rFonts w:hint="eastAsia" w:eastAsia="仿宋_GB2312"/>
                <w:color w:val="auto"/>
                <w:sz w:val="24"/>
              </w:rPr>
              <w:t>：厂区内无储罐，原料包装均采取桶装方式</w:t>
            </w:r>
            <w:r>
              <w:rPr>
                <w:rFonts w:hint="default" w:eastAsia="仿宋_GB2312"/>
                <w:color w:val="auto"/>
                <w:sz w:val="24"/>
              </w:rPr>
              <w:t>，V</w:t>
            </w:r>
            <w:r>
              <w:rPr>
                <w:rFonts w:hint="default" w:eastAsia="仿宋_GB2312"/>
                <w:color w:val="auto"/>
                <w:sz w:val="24"/>
                <w:vertAlign w:val="subscript"/>
              </w:rPr>
              <w:t>1</w:t>
            </w:r>
            <w:r>
              <w:rPr>
                <w:rFonts w:hint="default" w:eastAsia="仿宋_GB2312"/>
                <w:color w:val="auto"/>
                <w:sz w:val="24"/>
              </w:rPr>
              <w:t>=</w:t>
            </w:r>
            <w:r>
              <w:rPr>
                <w:rFonts w:hint="eastAsia" w:eastAsia="仿宋_GB2312"/>
                <w:color w:val="auto"/>
                <w:sz w:val="24"/>
                <w:lang w:val="en-US" w:eastAsia="zh-CN"/>
              </w:rPr>
              <w:t>0</w:t>
            </w:r>
            <w:r>
              <w:rPr>
                <w:rFonts w:hint="default" w:eastAsia="仿宋_GB2312"/>
                <w:color w:val="auto"/>
                <w:sz w:val="24"/>
              </w:rPr>
              <w:t>m</w:t>
            </w:r>
            <w:r>
              <w:rPr>
                <w:rFonts w:hint="default" w:eastAsia="仿宋_GB2312"/>
                <w:color w:val="auto"/>
                <w:sz w:val="24"/>
                <w:vertAlign w:val="superscript"/>
              </w:rPr>
              <w:t>3</w:t>
            </w:r>
            <w:r>
              <w:rPr>
                <w:rFonts w:hint="default" w:eastAsia="仿宋_GB2312"/>
                <w:color w:val="auto"/>
                <w:sz w:val="24"/>
              </w:rPr>
              <w:t>。</w:t>
            </w:r>
          </w:p>
          <w:p w14:paraId="48D644A0">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2</w:t>
            </w:r>
            <w:r>
              <w:rPr>
                <w:rFonts w:hint="default" w:eastAsia="仿宋_GB2312"/>
                <w:color w:val="auto"/>
                <w:sz w:val="24"/>
              </w:rPr>
              <w:t>：</w:t>
            </w:r>
            <w:r>
              <w:rPr>
                <w:rFonts w:hint="eastAsia" w:eastAsia="仿宋_GB2312"/>
                <w:color w:val="auto"/>
                <w:sz w:val="24"/>
              </w:rPr>
              <w:t>厂区同一时间内火灾次数为一次，厂房消防水量45L/S火灾延续时间按2小时考虑，则发生一次火灾时消防用水量为：324m</w:t>
            </w:r>
            <w:r>
              <w:rPr>
                <w:rFonts w:hint="eastAsia" w:eastAsia="仿宋_GB2312"/>
                <w:color w:val="auto"/>
                <w:sz w:val="24"/>
                <w:vertAlign w:val="superscript"/>
              </w:rPr>
              <w:t>3</w:t>
            </w:r>
            <w:r>
              <w:rPr>
                <w:rFonts w:hint="eastAsia" w:eastAsia="仿宋_GB2312"/>
                <w:color w:val="auto"/>
                <w:sz w:val="24"/>
              </w:rPr>
              <w:t>。</w:t>
            </w:r>
          </w:p>
          <w:p w14:paraId="568A3FBA">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3</w:t>
            </w:r>
            <w:r>
              <w:rPr>
                <w:rFonts w:hint="default" w:eastAsia="仿宋_GB2312"/>
                <w:color w:val="auto"/>
                <w:sz w:val="24"/>
              </w:rPr>
              <w:t>：</w:t>
            </w:r>
            <w:bookmarkStart w:id="56" w:name="OLE_LINK77"/>
            <w:r>
              <w:rPr>
                <w:rFonts w:hint="eastAsia" w:eastAsia="仿宋_GB2312"/>
                <w:color w:val="auto"/>
                <w:sz w:val="24"/>
              </w:rPr>
              <w:t>事故时可以转输到其它储存或处理设施的物料量，V</w:t>
            </w:r>
            <w:r>
              <w:rPr>
                <w:rFonts w:hint="eastAsia" w:eastAsia="仿宋_GB2312"/>
                <w:color w:val="auto"/>
                <w:sz w:val="24"/>
                <w:vertAlign w:val="subscript"/>
              </w:rPr>
              <w:t>3</w:t>
            </w:r>
            <w:r>
              <w:rPr>
                <w:rFonts w:hint="eastAsia" w:eastAsia="仿宋_GB2312"/>
                <w:color w:val="auto"/>
                <w:sz w:val="24"/>
              </w:rPr>
              <w:t>=0m</w:t>
            </w:r>
            <w:r>
              <w:rPr>
                <w:rFonts w:hint="eastAsia" w:eastAsia="仿宋_GB2312"/>
                <w:color w:val="auto"/>
                <w:sz w:val="24"/>
                <w:vertAlign w:val="superscript"/>
              </w:rPr>
              <w:t>3</w:t>
            </w:r>
            <w:r>
              <w:rPr>
                <w:rFonts w:hint="eastAsia" w:eastAsia="仿宋_GB2312"/>
                <w:color w:val="auto"/>
                <w:sz w:val="24"/>
              </w:rPr>
              <w:t>。</w:t>
            </w:r>
          </w:p>
          <w:bookmarkEnd w:id="56"/>
          <w:p w14:paraId="1B158683">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4</w:t>
            </w:r>
            <w:r>
              <w:rPr>
                <w:rFonts w:hint="default" w:eastAsia="仿宋_GB2312"/>
                <w:color w:val="auto"/>
                <w:sz w:val="24"/>
              </w:rPr>
              <w:t>：发生事故时无生产废水量进入该系统，V</w:t>
            </w:r>
            <w:r>
              <w:rPr>
                <w:rFonts w:hint="default" w:eastAsia="仿宋_GB2312"/>
                <w:color w:val="auto"/>
                <w:sz w:val="24"/>
                <w:vertAlign w:val="subscript"/>
              </w:rPr>
              <w:t>4</w:t>
            </w:r>
            <w:r>
              <w:rPr>
                <w:rFonts w:hint="default" w:eastAsia="仿宋_GB2312"/>
                <w:color w:val="auto"/>
                <w:sz w:val="24"/>
              </w:rPr>
              <w:t>=0。</w:t>
            </w:r>
          </w:p>
          <w:p w14:paraId="62842297">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w:t>
            </w:r>
            <w:r>
              <w:rPr>
                <w:rFonts w:hint="default" w:eastAsia="仿宋_GB2312"/>
                <w:color w:val="auto"/>
                <w:sz w:val="24"/>
                <w:vertAlign w:val="subscript"/>
              </w:rPr>
              <w:t>5</w:t>
            </w:r>
            <w:r>
              <w:rPr>
                <w:rFonts w:hint="default" w:eastAsia="仿宋_GB2312"/>
                <w:color w:val="auto"/>
                <w:sz w:val="24"/>
              </w:rPr>
              <w:t>：</w:t>
            </w:r>
            <w:bookmarkStart w:id="57" w:name="OLE_LINK83"/>
            <w:r>
              <w:rPr>
                <w:rFonts w:hint="eastAsia" w:eastAsia="仿宋_GB2312"/>
                <w:color w:val="auto"/>
                <w:sz w:val="24"/>
              </w:rPr>
              <w:t>发生事故时可能进入该收集系统的降雨量，m</w:t>
            </w:r>
            <w:r>
              <w:rPr>
                <w:rFonts w:hint="eastAsia" w:eastAsia="仿宋_GB2312"/>
                <w:color w:val="auto"/>
                <w:sz w:val="24"/>
                <w:vertAlign w:val="superscript"/>
              </w:rPr>
              <w:t>3</w:t>
            </w:r>
            <w:r>
              <w:rPr>
                <w:rFonts w:hint="eastAsia" w:eastAsia="仿宋_GB2312"/>
                <w:color w:val="auto"/>
                <w:sz w:val="24"/>
              </w:rPr>
              <w:t>；（常州平均降雨量1226.2mm；多年平均降雨天数120天，平均日降雨量q＝10.22mm，事故状态下进入事故废水收集系统的雨水汇水面积约2398.48平方米，计算V</w:t>
            </w:r>
            <w:r>
              <w:rPr>
                <w:rFonts w:hint="eastAsia" w:eastAsia="仿宋_GB2312"/>
                <w:color w:val="auto"/>
                <w:sz w:val="24"/>
                <w:vertAlign w:val="subscript"/>
              </w:rPr>
              <w:t>5</w:t>
            </w:r>
            <w:r>
              <w:rPr>
                <w:rFonts w:hint="eastAsia" w:eastAsia="仿宋_GB2312"/>
                <w:color w:val="auto"/>
                <w:sz w:val="24"/>
              </w:rPr>
              <w:t>＝25m</w:t>
            </w:r>
            <w:r>
              <w:rPr>
                <w:rFonts w:hint="eastAsia" w:eastAsia="仿宋_GB2312"/>
                <w:color w:val="auto"/>
                <w:sz w:val="24"/>
                <w:vertAlign w:val="superscript"/>
              </w:rPr>
              <w:t>3</w:t>
            </w:r>
            <w:r>
              <w:rPr>
                <w:rFonts w:hint="eastAsia" w:eastAsia="仿宋_GB2312"/>
                <w:color w:val="auto"/>
                <w:sz w:val="24"/>
              </w:rPr>
              <w:t>）</w:t>
            </w:r>
          </w:p>
          <w:p w14:paraId="71D252D3">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V5＝qF×10</w:t>
            </w:r>
            <w:r>
              <w:rPr>
                <w:rFonts w:hint="default" w:eastAsia="仿宋_GB2312"/>
                <w:color w:val="auto"/>
                <w:sz w:val="24"/>
                <w:vertAlign w:val="superscript"/>
              </w:rPr>
              <w:t>-3</w:t>
            </w:r>
          </w:p>
          <w:p w14:paraId="173C8D5C">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q—降雨强度，mm；</w:t>
            </w:r>
          </w:p>
          <w:p w14:paraId="1EFEF64F">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F—必须进入事故废水收集系统的雨水汇水面积，m</w:t>
            </w:r>
            <w:r>
              <w:rPr>
                <w:rFonts w:hint="default" w:eastAsia="仿宋_GB2312"/>
                <w:color w:val="auto"/>
                <w:sz w:val="24"/>
                <w:vertAlign w:val="superscript"/>
              </w:rPr>
              <w:t>2</w:t>
            </w:r>
            <w:r>
              <w:rPr>
                <w:rFonts w:hint="default" w:eastAsia="仿宋_GB2312"/>
                <w:color w:val="auto"/>
                <w:sz w:val="24"/>
              </w:rPr>
              <w:t>。</w:t>
            </w:r>
          </w:p>
          <w:bookmarkEnd w:id="57"/>
          <w:p w14:paraId="5868208B">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default" w:eastAsia="仿宋_GB2312"/>
                <w:color w:val="auto"/>
                <w:sz w:val="24"/>
              </w:rPr>
              <w:t>事故池容量：</w:t>
            </w:r>
          </w:p>
          <w:p w14:paraId="7A557E91">
            <w:pPr>
              <w:keepNext w:val="0"/>
              <w:keepLines w:val="0"/>
              <w:suppressLineNumbers w:val="0"/>
              <w:adjustRightInd w:val="0"/>
              <w:spacing w:before="0" w:beforeAutospacing="0" w:after="0" w:afterAutospacing="0" w:line="500" w:lineRule="exact"/>
              <w:ind w:left="0" w:right="0" w:firstLine="480" w:firstLineChars="200"/>
              <w:contextualSpacing/>
              <w:rPr>
                <w:rFonts w:hint="eastAsia" w:eastAsia="仿宋_GB2312"/>
                <w:color w:val="auto"/>
                <w:sz w:val="24"/>
                <w:vertAlign w:val="superscript"/>
              </w:rPr>
            </w:pPr>
            <w:r>
              <w:rPr>
                <w:rFonts w:hint="eastAsia" w:eastAsia="仿宋_GB2312"/>
                <w:color w:val="auto"/>
                <w:sz w:val="24"/>
              </w:rPr>
              <w:t>Va＝（V</w:t>
            </w:r>
            <w:r>
              <w:rPr>
                <w:rFonts w:hint="eastAsia" w:eastAsia="仿宋_GB2312"/>
                <w:color w:val="auto"/>
                <w:sz w:val="24"/>
                <w:vertAlign w:val="subscript"/>
              </w:rPr>
              <w:t>1</w:t>
            </w:r>
            <w:r>
              <w:rPr>
                <w:rFonts w:hint="eastAsia" w:eastAsia="仿宋_GB2312"/>
                <w:color w:val="auto"/>
                <w:sz w:val="24"/>
              </w:rPr>
              <w:t>+V</w:t>
            </w:r>
            <w:r>
              <w:rPr>
                <w:rFonts w:hint="eastAsia" w:eastAsia="仿宋_GB2312"/>
                <w:color w:val="auto"/>
                <w:sz w:val="24"/>
                <w:vertAlign w:val="subscript"/>
              </w:rPr>
              <w:t>2</w:t>
            </w:r>
            <w:r>
              <w:rPr>
                <w:rFonts w:hint="eastAsia" w:eastAsia="仿宋_GB2312"/>
                <w:color w:val="auto"/>
                <w:sz w:val="24"/>
              </w:rPr>
              <w:t>-V</w:t>
            </w:r>
            <w:r>
              <w:rPr>
                <w:rFonts w:hint="eastAsia" w:eastAsia="仿宋_GB2312"/>
                <w:color w:val="auto"/>
                <w:sz w:val="24"/>
                <w:vertAlign w:val="subscript"/>
              </w:rPr>
              <w:t>3</w:t>
            </w:r>
            <w:r>
              <w:rPr>
                <w:rFonts w:hint="eastAsia" w:eastAsia="仿宋_GB2312"/>
                <w:color w:val="auto"/>
                <w:sz w:val="24"/>
              </w:rPr>
              <w:t>）+V</w:t>
            </w:r>
            <w:r>
              <w:rPr>
                <w:rFonts w:hint="eastAsia" w:eastAsia="仿宋_GB2312"/>
                <w:color w:val="auto"/>
                <w:sz w:val="24"/>
                <w:vertAlign w:val="subscript"/>
              </w:rPr>
              <w:t>4</w:t>
            </w:r>
            <w:r>
              <w:rPr>
                <w:rFonts w:hint="eastAsia" w:eastAsia="仿宋_GB2312"/>
                <w:color w:val="auto"/>
                <w:sz w:val="24"/>
              </w:rPr>
              <w:t>+V5＝（0+324-0）+0+25=349m</w:t>
            </w:r>
            <w:r>
              <w:rPr>
                <w:rFonts w:hint="eastAsia" w:eastAsia="仿宋_GB2312"/>
                <w:color w:val="auto"/>
                <w:sz w:val="24"/>
                <w:vertAlign w:val="superscript"/>
              </w:rPr>
              <w:t>3</w:t>
            </w:r>
          </w:p>
          <w:p w14:paraId="3296C95C">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eastAsia" w:eastAsia="仿宋_GB2312"/>
                <w:color w:val="auto"/>
                <w:sz w:val="24"/>
              </w:rPr>
              <w:t>本项目依事故废水托</w:t>
            </w:r>
            <w:r>
              <w:rPr>
                <w:rFonts w:hint="eastAsia" w:eastAsia="仿宋_GB2312"/>
                <w:color w:val="auto"/>
                <w:sz w:val="24"/>
                <w:lang w:eastAsia="zh-CN"/>
              </w:rPr>
              <w:t>出租方</w:t>
            </w:r>
            <w:r>
              <w:rPr>
                <w:rFonts w:hint="eastAsia" w:eastAsia="仿宋_GB2312"/>
                <w:color w:val="auto"/>
                <w:sz w:val="24"/>
              </w:rPr>
              <w:t>现有的两座事故应急池，</w:t>
            </w:r>
            <w:r>
              <w:rPr>
                <w:rFonts w:hint="eastAsia" w:eastAsia="仿宋_GB2312"/>
                <w:color w:val="auto"/>
                <w:sz w:val="24"/>
                <w:lang w:eastAsia="zh-CN"/>
              </w:rPr>
              <w:t>有效</w:t>
            </w:r>
            <w:r>
              <w:rPr>
                <w:rFonts w:hint="eastAsia" w:eastAsia="仿宋_GB2312"/>
                <w:color w:val="auto"/>
                <w:sz w:val="24"/>
              </w:rPr>
              <w:t>容积各为400m</w:t>
            </w:r>
            <w:r>
              <w:rPr>
                <w:rFonts w:hint="eastAsia" w:eastAsia="仿宋_GB2312"/>
                <w:color w:val="auto"/>
                <w:sz w:val="24"/>
                <w:vertAlign w:val="superscript"/>
              </w:rPr>
              <w:t>3</w:t>
            </w:r>
            <w:r>
              <w:rPr>
                <w:rFonts w:hint="eastAsia" w:eastAsia="仿宋_GB2312"/>
                <w:color w:val="auto"/>
                <w:sz w:val="24"/>
              </w:rPr>
              <w:t>，总</w:t>
            </w:r>
            <w:r>
              <w:rPr>
                <w:rFonts w:hint="eastAsia" w:eastAsia="仿宋_GB2312"/>
                <w:color w:val="auto"/>
                <w:sz w:val="24"/>
                <w:lang w:eastAsia="zh-CN"/>
              </w:rPr>
              <w:t>有效</w:t>
            </w:r>
            <w:r>
              <w:rPr>
                <w:rFonts w:hint="eastAsia" w:eastAsia="仿宋_GB2312"/>
                <w:color w:val="auto"/>
                <w:sz w:val="24"/>
              </w:rPr>
              <w:t>容积为800m</w:t>
            </w:r>
            <w:r>
              <w:rPr>
                <w:rFonts w:hint="eastAsia" w:eastAsia="仿宋_GB2312"/>
                <w:color w:val="auto"/>
                <w:sz w:val="24"/>
                <w:vertAlign w:val="superscript"/>
              </w:rPr>
              <w:t>3</w:t>
            </w:r>
            <w:r>
              <w:rPr>
                <w:rFonts w:hint="default" w:eastAsia="仿宋_GB2312"/>
                <w:color w:val="auto"/>
                <w:sz w:val="24"/>
              </w:rPr>
              <w:t>，并配套相应的应急管道，能够满足突发环境事件下应急需求。在发生事故时关闭雨水排放口的截流阀，将事故废水截留在雨水收集系统内以待进一步处理，防止伴生和次生的泄漏物料、污水、消防水直接进入厂内污水管网和雨水管网，给污水处理厂造成一定的冲击。</w:t>
            </w:r>
          </w:p>
          <w:p w14:paraId="4240C42C">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1D35AD"/>
                <w:sz w:val="24"/>
                <w:lang w:val="en-US" w:eastAsia="zh-CN"/>
              </w:rPr>
            </w:pPr>
            <w:r>
              <w:rPr>
                <w:rFonts w:hint="eastAsia" w:eastAsia="仿宋_GB2312"/>
                <w:color w:val="1D35AD"/>
                <w:sz w:val="24"/>
                <w:lang w:eastAsia="zh-CN"/>
              </w:rPr>
              <w:t>事故应急池依托可行性分析：</w:t>
            </w:r>
          </w:p>
          <w:p w14:paraId="407C54E8">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1D35AD"/>
                <w:sz w:val="24"/>
              </w:rPr>
            </w:pPr>
            <w:r>
              <w:rPr>
                <w:rFonts w:hint="eastAsia" w:eastAsia="仿宋_GB2312"/>
                <w:color w:val="1D35AD"/>
                <w:sz w:val="24"/>
                <w:shd w:val="clear" w:color="auto" w:fill="auto"/>
                <w:lang w:eastAsia="zh-CN"/>
              </w:rPr>
              <w:t>本项目所需事故应急池容积为</w:t>
            </w:r>
            <w:r>
              <w:rPr>
                <w:rFonts w:hint="eastAsia" w:eastAsia="仿宋_GB2312"/>
                <w:color w:val="1D35AD"/>
                <w:sz w:val="24"/>
                <w:shd w:val="clear" w:color="auto" w:fill="auto"/>
              </w:rPr>
              <w:t>349m</w:t>
            </w:r>
            <w:r>
              <w:rPr>
                <w:rFonts w:hint="eastAsia" w:eastAsia="仿宋_GB2312"/>
                <w:color w:val="1D35AD"/>
                <w:sz w:val="24"/>
                <w:shd w:val="clear" w:color="auto" w:fill="auto"/>
                <w:vertAlign w:val="superscript"/>
              </w:rPr>
              <w:t>3</w:t>
            </w:r>
            <w:r>
              <w:rPr>
                <w:rFonts w:hint="eastAsia" w:eastAsia="仿宋_GB2312"/>
                <w:color w:val="1D35AD"/>
                <w:sz w:val="24"/>
                <w:shd w:val="clear" w:color="auto" w:fill="auto"/>
                <w:vertAlign w:val="baseline"/>
                <w:lang w:eastAsia="zh-CN"/>
              </w:rPr>
              <w:t>。</w:t>
            </w:r>
            <w:r>
              <w:rPr>
                <w:rFonts w:hint="default" w:eastAsia="仿宋_GB2312"/>
                <w:color w:val="1D35AD"/>
                <w:sz w:val="24"/>
              </w:rPr>
              <w:t>本项目依托</w:t>
            </w:r>
            <w:r>
              <w:rPr>
                <w:rFonts w:hint="eastAsia" w:eastAsia="仿宋_GB2312"/>
                <w:color w:val="1D35AD"/>
                <w:sz w:val="24"/>
                <w:lang w:eastAsia="zh-CN"/>
              </w:rPr>
              <w:t>出租方</w:t>
            </w:r>
            <w:r>
              <w:rPr>
                <w:rFonts w:hint="default" w:eastAsia="仿宋_GB2312"/>
                <w:color w:val="1D35AD"/>
                <w:sz w:val="24"/>
              </w:rPr>
              <w:t>现有的两座事故应急池</w:t>
            </w:r>
            <w:r>
              <w:rPr>
                <w:rFonts w:hint="eastAsia" w:eastAsia="仿宋_GB2312"/>
                <w:color w:val="1D35AD"/>
                <w:sz w:val="24"/>
                <w:lang w:eastAsia="zh-CN"/>
              </w:rPr>
              <w:t>（其不与景观水体联通）</w:t>
            </w:r>
            <w:r>
              <w:rPr>
                <w:rFonts w:hint="default" w:eastAsia="仿宋_GB2312"/>
                <w:color w:val="1D35AD"/>
                <w:sz w:val="24"/>
              </w:rPr>
              <w:t>，</w:t>
            </w:r>
            <w:r>
              <w:rPr>
                <w:rFonts w:hint="eastAsia" w:eastAsia="仿宋_GB2312"/>
                <w:color w:val="1D35AD"/>
                <w:sz w:val="24"/>
                <w:lang w:eastAsia="zh-CN"/>
              </w:rPr>
              <w:t>有效</w:t>
            </w:r>
            <w:r>
              <w:rPr>
                <w:rFonts w:hint="default" w:eastAsia="仿宋_GB2312"/>
                <w:color w:val="1D35AD"/>
                <w:sz w:val="24"/>
              </w:rPr>
              <w:t>容积各为400m</w:t>
            </w:r>
            <w:r>
              <w:rPr>
                <w:rFonts w:hint="default" w:eastAsia="仿宋_GB2312"/>
                <w:color w:val="1D35AD"/>
                <w:sz w:val="24"/>
                <w:vertAlign w:val="superscript"/>
              </w:rPr>
              <w:t>3</w:t>
            </w:r>
            <w:r>
              <w:rPr>
                <w:rFonts w:hint="default" w:eastAsia="仿宋_GB2312"/>
                <w:color w:val="1D35AD"/>
                <w:sz w:val="24"/>
              </w:rPr>
              <w:t>，总</w:t>
            </w:r>
            <w:r>
              <w:rPr>
                <w:rFonts w:hint="eastAsia" w:eastAsia="仿宋_GB2312"/>
                <w:color w:val="1D35AD"/>
                <w:sz w:val="24"/>
                <w:lang w:eastAsia="zh-CN"/>
              </w:rPr>
              <w:t>有效</w:t>
            </w:r>
            <w:r>
              <w:rPr>
                <w:rFonts w:hint="default" w:eastAsia="仿宋_GB2312"/>
                <w:color w:val="1D35AD"/>
                <w:sz w:val="24"/>
              </w:rPr>
              <w:t>容积为800m</w:t>
            </w:r>
            <w:r>
              <w:rPr>
                <w:rFonts w:hint="default" w:eastAsia="仿宋_GB2312"/>
                <w:color w:val="1D35AD"/>
                <w:sz w:val="24"/>
                <w:vertAlign w:val="superscript"/>
              </w:rPr>
              <w:t>3</w:t>
            </w:r>
            <w:r>
              <w:rPr>
                <w:rFonts w:hint="eastAsia" w:eastAsia="仿宋_GB2312"/>
                <w:color w:val="1D35AD"/>
                <w:sz w:val="24"/>
                <w:vertAlign w:val="baseline"/>
                <w:lang w:eastAsia="zh-CN"/>
              </w:rPr>
              <w:t>，能够满足包含本企业和其他企业应急需求。</w:t>
            </w:r>
            <w:r>
              <w:rPr>
                <w:rFonts w:hint="default" w:eastAsia="仿宋_GB2312"/>
                <w:color w:val="1D35AD"/>
                <w:sz w:val="24"/>
              </w:rPr>
              <w:t>出租方已建事故应急池按照要求与厂区雨水管网相连，并设置切换阀，当发生事故，第一时间切断雨水口装置，打开事故应急池的切换阀，确保消防废水经消收集系统进入事故池。经现场勘查，雨水口和事故应急池切换阀均可正常运行。企业已与江苏金坛经济开发区管理委签署协议，事故应急池环保责任主体为江苏金坛经济开发区管理委。</w:t>
            </w:r>
          </w:p>
          <w:p w14:paraId="012A5833">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highlight w:val="yellow"/>
              </w:rPr>
            </w:pPr>
            <w:r>
              <w:rPr>
                <w:rFonts w:hint="eastAsia" w:eastAsia="仿宋_GB2312"/>
                <w:color w:val="auto"/>
                <w:sz w:val="24"/>
              </w:rPr>
              <w:t>（7）应急预案编制及衔接要求</w:t>
            </w:r>
          </w:p>
          <w:p w14:paraId="74B29A08">
            <w:pPr>
              <w:keepNext w:val="0"/>
              <w:keepLines w:val="0"/>
              <w:suppressLineNumbers w:val="0"/>
              <w:adjustRightInd w:val="0"/>
              <w:spacing w:before="0" w:beforeAutospacing="0" w:after="0" w:afterAutospacing="0" w:line="500" w:lineRule="exact"/>
              <w:ind w:left="0" w:right="0" w:firstLine="482" w:firstLineChars="200"/>
              <w:contextualSpacing/>
              <w:rPr>
                <w:rFonts w:hint="default" w:eastAsia="仿宋_GB2312"/>
                <w:b/>
                <w:bCs/>
                <w:color w:val="auto"/>
                <w:sz w:val="24"/>
              </w:rPr>
            </w:pPr>
            <w:r>
              <w:rPr>
                <w:rFonts w:hint="eastAsia" w:eastAsia="仿宋_GB2312"/>
                <w:b/>
                <w:bCs/>
                <w:color w:val="auto"/>
                <w:sz w:val="24"/>
              </w:rPr>
              <w:t>应急预案编制</w:t>
            </w:r>
          </w:p>
          <w:p w14:paraId="56E82822">
            <w:pPr>
              <w:keepNext w:val="0"/>
              <w:keepLines w:val="0"/>
              <w:suppressLineNumbers w:val="0"/>
              <w:adjustRightInd w:val="0"/>
              <w:spacing w:before="0" w:beforeAutospacing="0" w:after="0" w:afterAutospacing="0" w:line="500" w:lineRule="exact"/>
              <w:ind w:left="0" w:right="0" w:firstLine="480" w:firstLineChars="200"/>
              <w:contextualSpacing/>
              <w:rPr>
                <w:rFonts w:hint="default" w:eastAsia="仿宋_GB2312"/>
                <w:color w:val="auto"/>
                <w:sz w:val="24"/>
              </w:rPr>
            </w:pPr>
            <w:r>
              <w:rPr>
                <w:rFonts w:hint="eastAsia" w:eastAsia="仿宋_GB2312"/>
                <w:color w:val="auto"/>
                <w:sz w:val="24"/>
              </w:rPr>
              <w:t>按照《企业事业单位突发环境事件应急预案备案管理办法（试行）》（环发[2015]4号）要求、《企事业单位和工业园区突发环境事件应急预案编制导则》（DB32/T 3795-2020）等文件要求建设单位应开展环境风险评估，编制应急预案，并报送生态环境主管部门备案。应急预案内容应包括预案适用范围、环境事件分类与分级、组织机构与职责、监控和预警、应急响应、应急保障、善后处置、预案管理与演练等内容。企业环境应急预案每三年至少修订一次，此外，若生产工艺和技术发生变化时，需及时修订、备案。</w:t>
            </w:r>
          </w:p>
          <w:p w14:paraId="5CC3613A">
            <w:pPr>
              <w:keepNext w:val="0"/>
              <w:keepLines w:val="0"/>
              <w:suppressLineNumbers w:val="0"/>
              <w:spacing w:before="0" w:beforeAutospacing="0" w:after="0" w:afterAutospacing="0" w:line="500" w:lineRule="exact"/>
              <w:ind w:left="0" w:right="0" w:firstLine="480" w:firstLineChars="200"/>
              <w:jc w:val="left"/>
              <w:rPr>
                <w:rFonts w:hint="eastAsia" w:eastAsia="仿宋_GB2312"/>
                <w:color w:val="auto"/>
                <w:sz w:val="24"/>
              </w:rPr>
            </w:pPr>
            <w:r>
              <w:rPr>
                <w:rFonts w:hint="eastAsia" w:eastAsia="仿宋_GB2312"/>
                <w:color w:val="auto"/>
                <w:sz w:val="24"/>
              </w:rPr>
              <w:t>应急预案衔接要求：当事件超出公司内部应急处置能力时，企业应迅速向园区、</w:t>
            </w:r>
            <w:r>
              <w:rPr>
                <w:rFonts w:hint="eastAsia" w:eastAsia="仿宋_GB2312"/>
                <w:color w:val="auto"/>
                <w:sz w:val="24"/>
                <w:lang w:eastAsia="zh-CN"/>
              </w:rPr>
              <w:t>金坛</w:t>
            </w:r>
            <w:r>
              <w:rPr>
                <w:rFonts w:hint="eastAsia" w:eastAsia="仿宋_GB2312"/>
                <w:color w:val="auto"/>
                <w:sz w:val="24"/>
              </w:rPr>
              <w:t>区政府等上级领导机关报告并请求外部增援。当地政府及有关部门介入后，公司内部应急救援组织将服从外部救援队伍的指挥，并协助进行相应职责的应急救援工作。在处理环境影响事故时，当公司突发环境事件应急预案与上级应急预案相抵触时，以上级应急预案为准。</w:t>
            </w:r>
          </w:p>
          <w:p w14:paraId="7C249901">
            <w:pPr>
              <w:keepNext w:val="0"/>
              <w:keepLines w:val="0"/>
              <w:suppressLineNumbers w:val="0"/>
              <w:spacing w:before="0" w:beforeAutospacing="0" w:after="0" w:afterAutospacing="0" w:line="500" w:lineRule="exact"/>
              <w:ind w:left="0" w:right="0" w:firstLine="480" w:firstLineChars="200"/>
              <w:jc w:val="left"/>
              <w:rPr>
                <w:rFonts w:hint="eastAsia" w:eastAsia="仿宋_GB2312"/>
                <w:color w:val="auto"/>
                <w:sz w:val="24"/>
                <w:lang w:eastAsia="zh-CN"/>
              </w:rPr>
            </w:pPr>
            <w:r>
              <w:rPr>
                <w:rFonts w:hint="eastAsia" w:eastAsia="仿宋_GB2312"/>
                <w:color w:val="auto"/>
                <w:sz w:val="24"/>
                <w:lang w:eastAsia="zh-CN"/>
              </w:rPr>
              <w:t>当企业发生突发环境事件时，相关应急部门情况具体如下：</w:t>
            </w:r>
          </w:p>
          <w:p w14:paraId="2E757027">
            <w:pPr>
              <w:pStyle w:val="3"/>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firstLine="422" w:firstLineChars="200"/>
              <w:jc w:val="center"/>
              <w:textAlignment w:val="auto"/>
              <w:rPr>
                <w:rFonts w:hint="default" w:ascii="Times New Roman" w:hAnsi="Times New Roman" w:eastAsia="仿宋_GB2312" w:cs="Times New Roman"/>
                <w:b/>
                <w:color w:val="auto"/>
                <w:kern w:val="2"/>
                <w:sz w:val="21"/>
                <w:szCs w:val="21"/>
                <w:highlight w:val="yellow"/>
                <w:lang w:val="en-US" w:eastAsia="zh-CN" w:bidi="ar-SA"/>
              </w:rPr>
            </w:pPr>
            <w:r>
              <w:rPr>
                <w:rFonts w:hint="default" w:eastAsia="仿宋_GB2312"/>
                <w:b/>
                <w:color w:val="auto"/>
                <w:szCs w:val="21"/>
              </w:rPr>
              <w:t>表4</w:t>
            </w:r>
            <w:r>
              <w:rPr>
                <w:rFonts w:hint="eastAsia" w:eastAsia="仿宋_GB2312"/>
                <w:b/>
                <w:color w:val="auto"/>
                <w:szCs w:val="21"/>
                <w:lang w:val="en-US" w:eastAsia="zh-CN"/>
              </w:rPr>
              <w:t xml:space="preserve">-36  </w:t>
            </w:r>
            <w:r>
              <w:rPr>
                <w:rFonts w:hint="default" w:ascii="Times New Roman" w:hAnsi="Times New Roman" w:eastAsia="仿宋_GB2312" w:cs="Times New Roman"/>
                <w:b/>
                <w:color w:val="auto"/>
                <w:kern w:val="2"/>
                <w:sz w:val="21"/>
                <w:szCs w:val="21"/>
                <w:highlight w:val="none"/>
                <w:lang w:val="en-US" w:eastAsia="zh-CN" w:bidi="ar-SA"/>
              </w:rPr>
              <w:t>应急部门</w:t>
            </w:r>
            <w:r>
              <w:rPr>
                <w:rFonts w:hint="eastAsia" w:ascii="Times New Roman" w:hAnsi="Times New Roman" w:eastAsia="仿宋_GB2312" w:cs="Times New Roman"/>
                <w:b/>
                <w:color w:val="auto"/>
                <w:kern w:val="2"/>
                <w:sz w:val="21"/>
                <w:szCs w:val="21"/>
                <w:highlight w:val="none"/>
                <w:lang w:val="en-US" w:eastAsia="zh-CN" w:bidi="ar-SA"/>
              </w:rPr>
              <w:t>联系方式</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45"/>
              <w:gridCol w:w="5355"/>
            </w:tblGrid>
            <w:tr w14:paraId="6702A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00" w:type="pct"/>
                  <w:tcBorders>
                    <w:tl2br w:val="nil"/>
                    <w:tr2bl w:val="nil"/>
                  </w:tcBorders>
                  <w:noWrap w:val="0"/>
                  <w:vAlign w:val="center"/>
                </w:tcPr>
                <w:p w14:paraId="6F3CCC9A">
                  <w:pPr>
                    <w:pStyle w:val="165"/>
                    <w:keepNext w:val="0"/>
                    <w:keepLines w:val="0"/>
                    <w:suppressLineNumbers w:val="0"/>
                    <w:snapToGrid/>
                    <w:spacing w:before="0" w:beforeAutospacing="0" w:after="0" w:afterAutospacing="0"/>
                    <w:ind w:left="0" w:right="0" w:firstLine="422"/>
                    <w:rPr>
                      <w:rFonts w:hint="default" w:ascii="Times New Roman" w:hAnsi="Times New Roman"/>
                      <w:b/>
                      <w:color w:val="auto"/>
                      <w:kern w:val="2"/>
                      <w:sz w:val="21"/>
                      <w:szCs w:val="21"/>
                      <w:lang w:val="en-US" w:eastAsia="zh-CN"/>
                    </w:rPr>
                  </w:pPr>
                  <w:r>
                    <w:rPr>
                      <w:rFonts w:hint="default" w:ascii="Times New Roman" w:hAnsi="Times New Roman"/>
                      <w:b/>
                      <w:color w:val="auto"/>
                      <w:kern w:val="2"/>
                      <w:sz w:val="21"/>
                      <w:szCs w:val="21"/>
                      <w:lang w:val="en-US" w:eastAsia="zh-CN"/>
                    </w:rPr>
                    <w:t>外部资源</w:t>
                  </w:r>
                </w:p>
              </w:tc>
              <w:tc>
                <w:tcPr>
                  <w:tcW w:w="2599" w:type="pct"/>
                  <w:tcBorders>
                    <w:tl2br w:val="nil"/>
                    <w:tr2bl w:val="nil"/>
                  </w:tcBorders>
                  <w:noWrap w:val="0"/>
                  <w:vAlign w:val="center"/>
                </w:tcPr>
                <w:p w14:paraId="5ECAB4B2">
                  <w:pPr>
                    <w:pStyle w:val="165"/>
                    <w:keepNext w:val="0"/>
                    <w:keepLines w:val="0"/>
                    <w:suppressLineNumbers w:val="0"/>
                    <w:snapToGrid/>
                    <w:spacing w:before="0" w:beforeAutospacing="0" w:after="0" w:afterAutospacing="0"/>
                    <w:ind w:left="0" w:right="0" w:firstLine="422"/>
                    <w:rPr>
                      <w:rFonts w:hint="default" w:ascii="Times New Roman" w:hAnsi="Times New Roman"/>
                      <w:b/>
                      <w:color w:val="auto"/>
                      <w:kern w:val="2"/>
                      <w:sz w:val="21"/>
                      <w:szCs w:val="21"/>
                      <w:lang w:val="en-US" w:eastAsia="zh-CN"/>
                    </w:rPr>
                  </w:pPr>
                  <w:r>
                    <w:rPr>
                      <w:rFonts w:hint="default" w:ascii="Times New Roman" w:hAnsi="Times New Roman"/>
                      <w:b/>
                      <w:color w:val="auto"/>
                      <w:kern w:val="2"/>
                      <w:sz w:val="21"/>
                      <w:szCs w:val="21"/>
                      <w:lang w:val="en-US" w:eastAsia="zh-CN"/>
                    </w:rPr>
                    <w:t>报警电话</w:t>
                  </w:r>
                </w:p>
              </w:tc>
            </w:tr>
            <w:tr w14:paraId="66205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00" w:type="pct"/>
                  <w:tcBorders>
                    <w:tl2br w:val="nil"/>
                    <w:tr2bl w:val="nil"/>
                  </w:tcBorders>
                  <w:noWrap w:val="0"/>
                  <w:vAlign w:val="center"/>
                </w:tcPr>
                <w:p w14:paraId="33532752">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消防大队</w:t>
                  </w:r>
                </w:p>
              </w:tc>
              <w:tc>
                <w:tcPr>
                  <w:tcW w:w="2599" w:type="pct"/>
                  <w:tcBorders>
                    <w:tl2br w:val="nil"/>
                    <w:tr2bl w:val="nil"/>
                  </w:tcBorders>
                  <w:noWrap w:val="0"/>
                  <w:vAlign w:val="center"/>
                </w:tcPr>
                <w:p w14:paraId="678199A0">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119</w:t>
                  </w:r>
                </w:p>
              </w:tc>
            </w:tr>
            <w:tr w14:paraId="7A31A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00" w:type="pct"/>
                  <w:tcBorders>
                    <w:tl2br w:val="nil"/>
                    <w:tr2bl w:val="nil"/>
                  </w:tcBorders>
                  <w:noWrap w:val="0"/>
                  <w:vAlign w:val="center"/>
                </w:tcPr>
                <w:p w14:paraId="09C07A39">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急救中心</w:t>
                  </w:r>
                </w:p>
              </w:tc>
              <w:tc>
                <w:tcPr>
                  <w:tcW w:w="2599" w:type="pct"/>
                  <w:tcBorders>
                    <w:tl2br w:val="nil"/>
                    <w:tr2bl w:val="nil"/>
                  </w:tcBorders>
                  <w:noWrap w:val="0"/>
                  <w:vAlign w:val="center"/>
                </w:tcPr>
                <w:p w14:paraId="0C0A8C46">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120</w:t>
                  </w:r>
                </w:p>
              </w:tc>
            </w:tr>
            <w:tr w14:paraId="32DE1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00" w:type="pct"/>
                  <w:tcBorders>
                    <w:tl2br w:val="nil"/>
                    <w:tr2bl w:val="nil"/>
                  </w:tcBorders>
                  <w:noWrap w:val="0"/>
                  <w:vAlign w:val="center"/>
                </w:tcPr>
                <w:p w14:paraId="4ADB11E7">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化学事故抢救中心</w:t>
                  </w:r>
                </w:p>
              </w:tc>
              <w:tc>
                <w:tcPr>
                  <w:tcW w:w="2599" w:type="pct"/>
                  <w:tcBorders>
                    <w:tl2br w:val="nil"/>
                    <w:tr2bl w:val="nil"/>
                  </w:tcBorders>
                  <w:noWrap w:val="0"/>
                  <w:vAlign w:val="center"/>
                </w:tcPr>
                <w:p w14:paraId="5115B4A8">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119</w:t>
                  </w:r>
                </w:p>
              </w:tc>
            </w:tr>
            <w:tr w14:paraId="68A8A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6EA7D3D2">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公安局</w:t>
                  </w:r>
                </w:p>
              </w:tc>
              <w:tc>
                <w:tcPr>
                  <w:tcW w:w="2599" w:type="pct"/>
                  <w:tcBorders>
                    <w:tl2br w:val="nil"/>
                    <w:tr2bl w:val="nil"/>
                  </w:tcBorders>
                  <w:noWrap w:val="0"/>
                  <w:vAlign w:val="center"/>
                </w:tcPr>
                <w:p w14:paraId="685F4215">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110</w:t>
                  </w:r>
                </w:p>
              </w:tc>
            </w:tr>
            <w:tr w14:paraId="4BDF6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0C06A939">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金坛区人民医院</w:t>
                  </w:r>
                </w:p>
              </w:tc>
              <w:tc>
                <w:tcPr>
                  <w:tcW w:w="2599" w:type="pct"/>
                  <w:tcBorders>
                    <w:tl2br w:val="nil"/>
                    <w:tr2bl w:val="nil"/>
                  </w:tcBorders>
                  <w:noWrap w:val="0"/>
                  <w:vAlign w:val="center"/>
                </w:tcPr>
                <w:p w14:paraId="0EA4A1DE">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0519-82821553</w:t>
                  </w:r>
                </w:p>
              </w:tc>
            </w:tr>
            <w:tr w14:paraId="33440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4F8B067C">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金坛区应急管理局</w:t>
                  </w:r>
                </w:p>
              </w:tc>
              <w:tc>
                <w:tcPr>
                  <w:tcW w:w="2599" w:type="pct"/>
                  <w:tcBorders>
                    <w:tl2br w:val="nil"/>
                    <w:tr2bl w:val="nil"/>
                  </w:tcBorders>
                  <w:noWrap w:val="0"/>
                  <w:vAlign w:val="center"/>
                </w:tcPr>
                <w:p w14:paraId="16553096">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0519-82693110</w:t>
                  </w:r>
                </w:p>
              </w:tc>
            </w:tr>
            <w:tr w14:paraId="2E5B6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03003E11">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eastAsia" w:ascii="Times New Roman" w:hAnsi="Times New Roman"/>
                      <w:color w:val="auto"/>
                      <w:sz w:val="21"/>
                      <w:szCs w:val="21"/>
                      <w:lang w:eastAsia="zh-CN"/>
                    </w:rPr>
                    <w:t>常州市</w:t>
                  </w:r>
                  <w:r>
                    <w:rPr>
                      <w:rFonts w:hint="default" w:ascii="Times New Roman" w:hAnsi="Times New Roman"/>
                      <w:color w:val="auto"/>
                      <w:sz w:val="21"/>
                      <w:szCs w:val="21"/>
                    </w:rPr>
                    <w:t>金坛区生态环境局</w:t>
                  </w:r>
                </w:p>
              </w:tc>
              <w:tc>
                <w:tcPr>
                  <w:tcW w:w="2599" w:type="pct"/>
                  <w:tcBorders>
                    <w:tl2br w:val="nil"/>
                    <w:tr2bl w:val="nil"/>
                  </w:tcBorders>
                  <w:noWrap w:val="0"/>
                  <w:vAlign w:val="center"/>
                </w:tcPr>
                <w:p w14:paraId="08D74083">
                  <w:pPr>
                    <w:pStyle w:val="165"/>
                    <w:keepNext w:val="0"/>
                    <w:keepLines w:val="0"/>
                    <w:suppressLineNumbers w:val="0"/>
                    <w:snapToGrid/>
                    <w:spacing w:before="0" w:beforeAutospacing="0" w:after="0" w:afterAutospacing="0"/>
                    <w:ind w:left="0" w:right="0" w:firstLine="420"/>
                    <w:rPr>
                      <w:rFonts w:hint="default" w:ascii="Times New Roman" w:hAnsi="Times New Roman" w:eastAsia="仿宋_GB2312"/>
                      <w:color w:val="auto"/>
                      <w:kern w:val="2"/>
                      <w:sz w:val="21"/>
                      <w:szCs w:val="21"/>
                      <w:lang w:val="en-US" w:eastAsia="zh-CN"/>
                    </w:rPr>
                  </w:pPr>
                  <w:r>
                    <w:rPr>
                      <w:rFonts w:hint="default" w:ascii="Times New Roman" w:hAnsi="Times New Roman"/>
                      <w:color w:val="auto"/>
                      <w:sz w:val="21"/>
                      <w:szCs w:val="21"/>
                    </w:rPr>
                    <w:t>0519-82321120</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12345</w:t>
                  </w:r>
                </w:p>
              </w:tc>
            </w:tr>
            <w:tr w14:paraId="7B0C0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665C3B22">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常州市应急管理局</w:t>
                  </w:r>
                </w:p>
              </w:tc>
              <w:tc>
                <w:tcPr>
                  <w:tcW w:w="2599" w:type="pct"/>
                  <w:tcBorders>
                    <w:tl2br w:val="nil"/>
                    <w:tr2bl w:val="nil"/>
                  </w:tcBorders>
                  <w:noWrap w:val="0"/>
                  <w:vAlign w:val="center"/>
                </w:tcPr>
                <w:p w14:paraId="62122442">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0519-85683106</w:t>
                  </w:r>
                </w:p>
              </w:tc>
            </w:tr>
            <w:tr w14:paraId="153B0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6C1B019F">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常州市生态环境局</w:t>
                  </w:r>
                </w:p>
              </w:tc>
              <w:tc>
                <w:tcPr>
                  <w:tcW w:w="2599" w:type="pct"/>
                  <w:tcBorders>
                    <w:tl2br w:val="nil"/>
                    <w:tr2bl w:val="nil"/>
                  </w:tcBorders>
                  <w:noWrap w:val="0"/>
                  <w:vAlign w:val="center"/>
                </w:tcPr>
                <w:p w14:paraId="1A339A3B">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kern w:val="2"/>
                      <w:sz w:val="21"/>
                      <w:szCs w:val="21"/>
                      <w:lang w:val="en-US" w:eastAsia="zh-CN"/>
                    </w:rPr>
                    <w:t>0519-85682738</w:t>
                  </w:r>
                </w:p>
              </w:tc>
            </w:tr>
            <w:tr w14:paraId="3BDB1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7B928283">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常州市疾病预防控制中心</w:t>
                  </w:r>
                </w:p>
              </w:tc>
              <w:tc>
                <w:tcPr>
                  <w:tcW w:w="2599" w:type="pct"/>
                  <w:tcBorders>
                    <w:tl2br w:val="nil"/>
                    <w:tr2bl w:val="nil"/>
                  </w:tcBorders>
                  <w:noWrap w:val="0"/>
                  <w:vAlign w:val="center"/>
                </w:tcPr>
                <w:p w14:paraId="77AF63F5">
                  <w:pPr>
                    <w:pStyle w:val="295"/>
                    <w:keepNext w:val="0"/>
                    <w:keepLines w:val="0"/>
                    <w:suppressLineNumbers w:val="0"/>
                    <w:snapToGrid w:val="0"/>
                    <w:spacing w:before="0" w:beforeAutospacing="0" w:after="0" w:afterAutospacing="0" w:line="320" w:lineRule="exact"/>
                    <w:ind w:left="0" w:leftChars="0" w:right="0" w:firstLine="0" w:firstLineChars="0"/>
                    <w:jc w:val="center"/>
                    <w:rPr>
                      <w:rFonts w:hint="default" w:eastAsia="仿宋_GB2312"/>
                      <w:color w:val="auto"/>
                      <w:sz w:val="21"/>
                      <w:szCs w:val="21"/>
                    </w:rPr>
                  </w:pPr>
                  <w:r>
                    <w:rPr>
                      <w:rFonts w:hint="default" w:eastAsia="仿宋_GB2312"/>
                      <w:color w:val="auto"/>
                      <w:sz w:val="21"/>
                      <w:szCs w:val="21"/>
                    </w:rPr>
                    <w:t xml:space="preserve">       0519-86686105（日）</w:t>
                  </w:r>
                </w:p>
                <w:p w14:paraId="52D9798D">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 xml:space="preserve">   0519-86687227（夜）</w:t>
                  </w:r>
                </w:p>
              </w:tc>
            </w:tr>
            <w:tr w14:paraId="5DF20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05A3A6BB">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金坛区疾病预防控制中心</w:t>
                  </w:r>
                </w:p>
              </w:tc>
              <w:tc>
                <w:tcPr>
                  <w:tcW w:w="2599" w:type="pct"/>
                  <w:tcBorders>
                    <w:tl2br w:val="nil"/>
                    <w:tr2bl w:val="nil"/>
                  </w:tcBorders>
                  <w:noWrap w:val="0"/>
                  <w:vAlign w:val="center"/>
                </w:tcPr>
                <w:p w14:paraId="32D81B27">
                  <w:pPr>
                    <w:pStyle w:val="295"/>
                    <w:keepNext w:val="0"/>
                    <w:keepLines w:val="0"/>
                    <w:suppressLineNumbers w:val="0"/>
                    <w:snapToGrid w:val="0"/>
                    <w:spacing w:before="0" w:beforeAutospacing="0" w:after="0" w:afterAutospacing="0" w:line="320" w:lineRule="exact"/>
                    <w:ind w:left="0" w:leftChars="0" w:right="0" w:firstLine="0" w:firstLineChars="0"/>
                    <w:jc w:val="center"/>
                    <w:rPr>
                      <w:rFonts w:hint="default" w:eastAsia="仿宋_GB2312"/>
                      <w:color w:val="auto"/>
                      <w:sz w:val="21"/>
                      <w:szCs w:val="21"/>
                    </w:rPr>
                  </w:pPr>
                  <w:r>
                    <w:rPr>
                      <w:rFonts w:hint="default" w:eastAsia="仿宋_GB2312"/>
                      <w:color w:val="auto"/>
                      <w:sz w:val="21"/>
                      <w:szCs w:val="21"/>
                    </w:rPr>
                    <w:t xml:space="preserve">   0519-82886809</w:t>
                  </w:r>
                </w:p>
                <w:p w14:paraId="197A2304">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0519-82821615</w:t>
                  </w:r>
                </w:p>
              </w:tc>
            </w:tr>
            <w:tr w14:paraId="15160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400" w:type="pct"/>
                  <w:tcBorders>
                    <w:tl2br w:val="nil"/>
                    <w:tr2bl w:val="nil"/>
                  </w:tcBorders>
                  <w:noWrap w:val="0"/>
                  <w:vAlign w:val="center"/>
                </w:tcPr>
                <w:p w14:paraId="5163C031">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金坛经济开发区管委会</w:t>
                  </w:r>
                </w:p>
              </w:tc>
              <w:tc>
                <w:tcPr>
                  <w:tcW w:w="2599" w:type="pct"/>
                  <w:tcBorders>
                    <w:tl2br w:val="nil"/>
                    <w:tr2bl w:val="nil"/>
                  </w:tcBorders>
                  <w:noWrap w:val="0"/>
                  <w:vAlign w:val="center"/>
                </w:tcPr>
                <w:p w14:paraId="530E266E">
                  <w:pPr>
                    <w:pStyle w:val="165"/>
                    <w:keepNext w:val="0"/>
                    <w:keepLines w:val="0"/>
                    <w:suppressLineNumbers w:val="0"/>
                    <w:snapToGrid/>
                    <w:spacing w:before="0" w:beforeAutospacing="0" w:after="0" w:afterAutospacing="0"/>
                    <w:ind w:left="0" w:right="0" w:firstLine="420"/>
                    <w:rPr>
                      <w:rFonts w:hint="default" w:ascii="Times New Roman" w:hAnsi="Times New Roman"/>
                      <w:color w:val="auto"/>
                      <w:kern w:val="2"/>
                      <w:sz w:val="21"/>
                      <w:szCs w:val="21"/>
                      <w:lang w:val="en-US" w:eastAsia="zh-CN"/>
                    </w:rPr>
                  </w:pPr>
                  <w:r>
                    <w:rPr>
                      <w:rFonts w:hint="default" w:ascii="Times New Roman" w:hAnsi="Times New Roman"/>
                      <w:color w:val="auto"/>
                      <w:sz w:val="21"/>
                      <w:szCs w:val="21"/>
                    </w:rPr>
                    <w:t>0519-82323232</w:t>
                  </w:r>
                </w:p>
              </w:tc>
            </w:tr>
          </w:tbl>
          <w:p w14:paraId="21D7F178">
            <w:pPr>
              <w:keepNext w:val="0"/>
              <w:keepLines w:val="0"/>
              <w:suppressLineNumbers w:val="0"/>
              <w:adjustRightInd w:val="0"/>
              <w:spacing w:before="0" w:beforeAutospacing="0" w:after="0" w:afterAutospacing="0" w:line="500" w:lineRule="exact"/>
              <w:ind w:left="0" w:right="0" w:firstLine="482" w:firstLineChars="200"/>
              <w:contextualSpacing/>
              <w:rPr>
                <w:rFonts w:hint="eastAsia" w:eastAsia="仿宋_GB2312"/>
                <w:b/>
                <w:bCs/>
                <w:color w:val="auto"/>
                <w:sz w:val="24"/>
              </w:rPr>
            </w:pPr>
            <w:r>
              <w:rPr>
                <w:rFonts w:hint="eastAsia" w:eastAsia="仿宋_GB2312"/>
                <w:b/>
                <w:bCs/>
                <w:color w:val="auto"/>
                <w:sz w:val="24"/>
              </w:rPr>
              <w:t>与园区应急预案联动</w:t>
            </w:r>
          </w:p>
          <w:p w14:paraId="13FD306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根据《金坛金城科技产业园发展规划环境影响报告书》，园区三级防控体系建设与完成情况如下：</w:t>
            </w:r>
          </w:p>
          <w:p w14:paraId="0C4D1B3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仿宋_GB2312" w:cs="Times New Roman"/>
                <w:color w:val="1D35AD"/>
                <w:kern w:val="2"/>
                <w:sz w:val="24"/>
                <w:szCs w:val="24"/>
                <w:lang w:val="en-US" w:eastAsia="zh-CN" w:bidi="ar-SA"/>
              </w:rPr>
            </w:pPr>
            <w:r>
              <w:rPr>
                <w:rFonts w:hint="eastAsia" w:ascii="Times New Roman" w:hAnsi="Times New Roman" w:eastAsia="仿宋_GB2312" w:cs="Times New Roman"/>
                <w:color w:val="1D35AD"/>
                <w:kern w:val="2"/>
                <w:sz w:val="24"/>
                <w:szCs w:val="24"/>
                <w:lang w:val="en-US" w:eastAsia="zh-CN" w:bidi="ar-SA"/>
              </w:rPr>
              <w:t>第一级防控（</w:t>
            </w:r>
            <w:r>
              <w:rPr>
                <w:rFonts w:hint="eastAsia" w:eastAsia="仿宋_GB2312" w:cs="Times New Roman"/>
                <w:color w:val="1D35AD"/>
                <w:kern w:val="2"/>
                <w:sz w:val="24"/>
                <w:szCs w:val="24"/>
                <w:lang w:val="en-US" w:eastAsia="zh-CN" w:bidi="ar-SA"/>
              </w:rPr>
              <w:t>出租方边</w:t>
            </w:r>
            <w:r>
              <w:rPr>
                <w:rFonts w:hint="eastAsia" w:ascii="Times New Roman" w:hAnsi="Times New Roman" w:eastAsia="仿宋_GB2312" w:cs="Times New Roman"/>
                <w:color w:val="1D35AD"/>
                <w:kern w:val="2"/>
                <w:sz w:val="24"/>
                <w:szCs w:val="24"/>
                <w:lang w:val="en-US" w:eastAsia="zh-CN" w:bidi="ar-SA"/>
              </w:rPr>
              <w:t>界）是</w:t>
            </w:r>
            <w:r>
              <w:rPr>
                <w:rFonts w:hint="eastAsia" w:eastAsia="仿宋_GB2312" w:cs="Times New Roman"/>
                <w:color w:val="1D35AD"/>
                <w:kern w:val="2"/>
                <w:sz w:val="24"/>
                <w:szCs w:val="24"/>
                <w:lang w:val="en-US" w:eastAsia="zh-CN" w:bidi="ar-SA"/>
              </w:rPr>
              <w:t>出租方</w:t>
            </w:r>
            <w:r>
              <w:rPr>
                <w:rFonts w:hint="eastAsia" w:ascii="Times New Roman" w:hAnsi="Times New Roman" w:eastAsia="仿宋_GB2312" w:cs="Times New Roman"/>
                <w:color w:val="1D35AD"/>
                <w:kern w:val="2"/>
                <w:sz w:val="24"/>
                <w:szCs w:val="24"/>
                <w:lang w:val="en-US" w:eastAsia="zh-CN" w:bidi="ar-SA"/>
              </w:rPr>
              <w:t>切断污染物与外部的通道，将污染团截留在</w:t>
            </w:r>
            <w:r>
              <w:rPr>
                <w:rFonts w:hint="eastAsia" w:eastAsia="仿宋_GB2312" w:cs="Times New Roman"/>
                <w:color w:val="1D35AD"/>
                <w:kern w:val="2"/>
                <w:sz w:val="24"/>
                <w:szCs w:val="24"/>
                <w:lang w:val="en-US" w:eastAsia="zh-CN" w:bidi="ar-SA"/>
              </w:rPr>
              <w:t>出租方边</w:t>
            </w:r>
            <w:r>
              <w:rPr>
                <w:rFonts w:hint="eastAsia" w:ascii="Times New Roman" w:hAnsi="Times New Roman" w:eastAsia="仿宋_GB2312" w:cs="Times New Roman"/>
                <w:color w:val="1D35AD"/>
                <w:kern w:val="2"/>
                <w:sz w:val="24"/>
                <w:szCs w:val="24"/>
                <w:lang w:val="en-US" w:eastAsia="zh-CN" w:bidi="ar-SA"/>
              </w:rPr>
              <w:t>界内。</w:t>
            </w:r>
          </w:p>
          <w:p w14:paraId="05DC8EC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第二级防控（园区边界）是园区切断污染物与周边水体的通道，将污染团截留在园区范围内。</w:t>
            </w:r>
          </w:p>
          <w:p w14:paraId="11D6B8A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第三级防控（周边水体）是针对污染扩大到园区外周围水体时，结合周边水体监控设施，通过水体闸坝、排涝泵站，引流等设施将污染团进行截留。</w:t>
            </w:r>
          </w:p>
          <w:p w14:paraId="5A2F542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仿宋_GB2312" w:cs="Times New Roman"/>
                <w:color w:val="1D35AD"/>
                <w:kern w:val="2"/>
                <w:sz w:val="24"/>
                <w:szCs w:val="24"/>
                <w:lang w:val="en-US" w:eastAsia="zh-CN" w:bidi="ar-SA"/>
              </w:rPr>
            </w:pPr>
            <w:r>
              <w:rPr>
                <w:rFonts w:hint="eastAsia" w:eastAsia="仿宋_GB2312" w:cs="Times New Roman"/>
                <w:color w:val="1D35AD"/>
                <w:kern w:val="2"/>
                <w:sz w:val="24"/>
                <w:szCs w:val="24"/>
                <w:lang w:val="en-US" w:eastAsia="zh-CN" w:bidi="ar-SA"/>
              </w:rPr>
              <w:t>（1）</w:t>
            </w:r>
            <w:r>
              <w:rPr>
                <w:rFonts w:hint="eastAsia" w:ascii="Times New Roman" w:hAnsi="Times New Roman" w:eastAsia="仿宋_GB2312" w:cs="Times New Roman"/>
                <w:color w:val="1D35AD"/>
                <w:kern w:val="2"/>
                <w:sz w:val="24"/>
                <w:szCs w:val="24"/>
                <w:lang w:val="en-US" w:eastAsia="zh-CN" w:bidi="ar-SA"/>
              </w:rPr>
              <w:t>第一级防控（</w:t>
            </w:r>
            <w:r>
              <w:rPr>
                <w:rFonts w:hint="eastAsia" w:eastAsia="仿宋_GB2312" w:cs="Times New Roman"/>
                <w:color w:val="1D35AD"/>
                <w:kern w:val="2"/>
                <w:sz w:val="24"/>
                <w:szCs w:val="24"/>
                <w:lang w:val="en-US" w:eastAsia="zh-CN" w:bidi="ar-SA"/>
              </w:rPr>
              <w:t>出租方边</w:t>
            </w:r>
            <w:r>
              <w:rPr>
                <w:rFonts w:hint="eastAsia" w:ascii="Times New Roman" w:hAnsi="Times New Roman" w:eastAsia="仿宋_GB2312" w:cs="Times New Roman"/>
                <w:color w:val="1D35AD"/>
                <w:kern w:val="2"/>
                <w:sz w:val="24"/>
                <w:szCs w:val="24"/>
                <w:lang w:val="en-US" w:eastAsia="zh-CN" w:bidi="ar-SA"/>
              </w:rPr>
              <w:t>界）</w:t>
            </w:r>
          </w:p>
          <w:p w14:paraId="59358021">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仿宋_GB2312" w:cs="Times New Roman"/>
                <w:color w:val="1D35AD"/>
                <w:kern w:val="2"/>
                <w:sz w:val="24"/>
                <w:szCs w:val="24"/>
                <w:lang w:val="en-US" w:eastAsia="zh-CN" w:bidi="ar-SA"/>
              </w:rPr>
            </w:pPr>
            <w:r>
              <w:rPr>
                <w:rFonts w:hint="eastAsia" w:ascii="Times New Roman" w:hAnsi="Times New Roman" w:eastAsia="仿宋_GB2312" w:cs="Times New Roman"/>
                <w:color w:val="1D35AD"/>
                <w:kern w:val="2"/>
                <w:sz w:val="24"/>
                <w:szCs w:val="24"/>
                <w:highlight w:val="none"/>
                <w:lang w:val="en-US" w:eastAsia="zh-CN" w:bidi="ar-SA"/>
              </w:rPr>
              <w:t>在产生剧毒或者污染严重污染物的装置或</w:t>
            </w:r>
            <w:r>
              <w:rPr>
                <w:rFonts w:hint="eastAsia" w:eastAsia="仿宋_GB2312" w:cs="Times New Roman"/>
                <w:color w:val="1D35AD"/>
                <w:kern w:val="2"/>
                <w:sz w:val="24"/>
                <w:szCs w:val="24"/>
                <w:highlight w:val="none"/>
                <w:lang w:val="en-US" w:eastAsia="zh-CN" w:bidi="ar-SA"/>
              </w:rPr>
              <w:t>出租方</w:t>
            </w:r>
            <w:r>
              <w:rPr>
                <w:rFonts w:hint="eastAsia" w:ascii="Times New Roman" w:hAnsi="Times New Roman" w:eastAsia="仿宋_GB2312" w:cs="Times New Roman"/>
                <w:color w:val="1D35AD"/>
                <w:kern w:val="2"/>
                <w:sz w:val="24"/>
                <w:szCs w:val="24"/>
                <w:highlight w:val="none"/>
                <w:lang w:val="en-US" w:eastAsia="zh-CN" w:bidi="ar-SA"/>
              </w:rPr>
              <w:t>设置事故缓冲池，切断污染物与外部的通道、导入污水处理系统，将污染控制在</w:t>
            </w:r>
            <w:r>
              <w:rPr>
                <w:rFonts w:hint="eastAsia" w:eastAsia="仿宋_GB2312" w:cs="Times New Roman"/>
                <w:color w:val="1D35AD"/>
                <w:kern w:val="2"/>
                <w:sz w:val="24"/>
                <w:szCs w:val="24"/>
                <w:highlight w:val="none"/>
                <w:lang w:val="en-US" w:eastAsia="zh-CN" w:bidi="ar-SA"/>
              </w:rPr>
              <w:t>出租方边界</w:t>
            </w:r>
            <w:r>
              <w:rPr>
                <w:rFonts w:hint="eastAsia" w:ascii="Times New Roman" w:hAnsi="Times New Roman" w:eastAsia="仿宋_GB2312" w:cs="Times New Roman"/>
                <w:color w:val="1D35AD"/>
                <w:kern w:val="2"/>
                <w:sz w:val="24"/>
                <w:szCs w:val="24"/>
                <w:highlight w:val="none"/>
                <w:lang w:val="en-US" w:eastAsia="zh-CN" w:bidi="ar-SA"/>
              </w:rPr>
              <w:t>内，</w:t>
            </w:r>
            <w:r>
              <w:rPr>
                <w:rFonts w:hint="eastAsia" w:ascii="Times New Roman" w:hAnsi="Times New Roman" w:eastAsia="仿宋_GB2312" w:cs="Times New Roman"/>
                <w:color w:val="1D35AD"/>
                <w:kern w:val="2"/>
                <w:sz w:val="24"/>
                <w:szCs w:val="24"/>
                <w:lang w:val="en-US" w:eastAsia="zh-CN" w:bidi="ar-SA"/>
              </w:rPr>
              <w:t>防止重大事故泄漏物料和污染消防水造成的环境污染。</w:t>
            </w:r>
            <w:r>
              <w:rPr>
                <w:rFonts w:hint="eastAsia" w:eastAsia="仿宋_GB2312" w:cs="Times New Roman"/>
                <w:color w:val="1D35AD"/>
                <w:kern w:val="2"/>
                <w:sz w:val="24"/>
                <w:szCs w:val="24"/>
                <w:lang w:val="en-US" w:eastAsia="zh-CN" w:bidi="ar-SA"/>
              </w:rPr>
              <w:t>出租方</w:t>
            </w:r>
            <w:r>
              <w:rPr>
                <w:rFonts w:hint="eastAsia" w:ascii="Times New Roman" w:hAnsi="Times New Roman" w:eastAsia="仿宋_GB2312" w:cs="Times New Roman"/>
                <w:color w:val="1D35AD"/>
                <w:kern w:val="2"/>
                <w:sz w:val="24"/>
                <w:szCs w:val="24"/>
                <w:lang w:val="en-US" w:eastAsia="zh-CN" w:bidi="ar-SA"/>
              </w:rPr>
              <w:t>均</w:t>
            </w:r>
            <w:r>
              <w:rPr>
                <w:rFonts w:hint="eastAsia" w:eastAsia="仿宋_GB2312" w:cs="Times New Roman"/>
                <w:color w:val="1D35AD"/>
                <w:kern w:val="2"/>
                <w:sz w:val="24"/>
                <w:szCs w:val="24"/>
                <w:lang w:val="en-US" w:eastAsia="zh-CN" w:bidi="ar-SA"/>
              </w:rPr>
              <w:t>配备</w:t>
            </w:r>
            <w:r>
              <w:rPr>
                <w:rFonts w:hint="eastAsia" w:ascii="Times New Roman" w:hAnsi="Times New Roman" w:eastAsia="仿宋_GB2312" w:cs="Times New Roman"/>
                <w:color w:val="1D35AD"/>
                <w:kern w:val="2"/>
                <w:sz w:val="24"/>
                <w:szCs w:val="24"/>
                <w:lang w:val="en-US" w:eastAsia="zh-CN" w:bidi="ar-SA"/>
              </w:rPr>
              <w:t>事故应急池</w:t>
            </w:r>
            <w:r>
              <w:rPr>
                <w:rFonts w:hint="eastAsia" w:eastAsia="仿宋_GB2312" w:cs="Times New Roman"/>
                <w:color w:val="1D35AD"/>
                <w:kern w:val="2"/>
                <w:sz w:val="24"/>
                <w:szCs w:val="24"/>
                <w:lang w:val="en-US" w:eastAsia="zh-CN" w:bidi="ar-SA"/>
              </w:rPr>
              <w:t>（本项目</w:t>
            </w:r>
            <w:r>
              <w:rPr>
                <w:rFonts w:hint="eastAsia" w:ascii="Times New Roman" w:hAnsi="Times New Roman" w:eastAsia="仿宋_GB2312" w:cs="Times New Roman"/>
                <w:color w:val="1D35AD"/>
                <w:kern w:val="2"/>
                <w:sz w:val="24"/>
                <w:szCs w:val="24"/>
                <w:lang w:val="en-US" w:eastAsia="zh-CN" w:bidi="ar-SA"/>
              </w:rPr>
              <w:t>依托</w:t>
            </w:r>
            <w:r>
              <w:rPr>
                <w:rFonts w:hint="eastAsia" w:eastAsia="仿宋_GB2312" w:cs="Times New Roman"/>
                <w:color w:val="1D35AD"/>
                <w:kern w:val="2"/>
                <w:sz w:val="24"/>
                <w:szCs w:val="24"/>
                <w:lang w:val="en-US" w:eastAsia="zh-CN" w:bidi="ar-SA"/>
              </w:rPr>
              <w:t>出租</w:t>
            </w:r>
            <w:r>
              <w:rPr>
                <w:rFonts w:hint="eastAsia" w:ascii="Times New Roman" w:hAnsi="Times New Roman" w:eastAsia="仿宋_GB2312" w:cs="Times New Roman"/>
                <w:color w:val="1D35AD"/>
                <w:kern w:val="2"/>
                <w:sz w:val="24"/>
                <w:szCs w:val="24"/>
                <w:lang w:val="en-US" w:eastAsia="zh-CN" w:bidi="ar-SA"/>
              </w:rPr>
              <w:t>方现有的两座事故应急池，</w:t>
            </w:r>
            <w:r>
              <w:rPr>
                <w:rFonts w:hint="eastAsia" w:eastAsia="仿宋_GB2312" w:cs="Times New Roman"/>
                <w:color w:val="1D35AD"/>
                <w:kern w:val="2"/>
                <w:sz w:val="24"/>
                <w:szCs w:val="24"/>
                <w:lang w:val="en-US" w:eastAsia="zh-CN" w:bidi="ar-SA"/>
              </w:rPr>
              <w:t>有效</w:t>
            </w:r>
            <w:r>
              <w:rPr>
                <w:rFonts w:hint="eastAsia" w:ascii="Times New Roman" w:hAnsi="Times New Roman" w:eastAsia="仿宋_GB2312" w:cs="Times New Roman"/>
                <w:color w:val="1D35AD"/>
                <w:kern w:val="2"/>
                <w:sz w:val="24"/>
                <w:szCs w:val="24"/>
                <w:lang w:val="en-US" w:eastAsia="zh-CN" w:bidi="ar-SA"/>
              </w:rPr>
              <w:t>容积各为400m</w:t>
            </w:r>
            <w:r>
              <w:rPr>
                <w:rFonts w:hint="eastAsia" w:ascii="Times New Roman" w:hAnsi="Times New Roman" w:eastAsia="仿宋_GB2312" w:cs="Times New Roman"/>
                <w:color w:val="1D35AD"/>
                <w:kern w:val="2"/>
                <w:sz w:val="24"/>
                <w:szCs w:val="24"/>
                <w:vertAlign w:val="superscript"/>
                <w:lang w:val="en-US" w:eastAsia="zh-CN" w:bidi="ar-SA"/>
              </w:rPr>
              <w:t>3</w:t>
            </w:r>
            <w:r>
              <w:rPr>
                <w:rFonts w:hint="eastAsia" w:ascii="Times New Roman" w:hAnsi="Times New Roman" w:eastAsia="仿宋_GB2312" w:cs="Times New Roman"/>
                <w:color w:val="1D35AD"/>
                <w:kern w:val="2"/>
                <w:sz w:val="24"/>
                <w:szCs w:val="24"/>
                <w:lang w:val="en-US" w:eastAsia="zh-CN" w:bidi="ar-SA"/>
              </w:rPr>
              <w:t>，总</w:t>
            </w:r>
            <w:r>
              <w:rPr>
                <w:rFonts w:hint="eastAsia" w:eastAsia="仿宋_GB2312" w:cs="Times New Roman"/>
                <w:color w:val="1D35AD"/>
                <w:kern w:val="2"/>
                <w:sz w:val="24"/>
                <w:szCs w:val="24"/>
                <w:lang w:val="en-US" w:eastAsia="zh-CN" w:bidi="ar-SA"/>
              </w:rPr>
              <w:t>有效</w:t>
            </w:r>
            <w:r>
              <w:rPr>
                <w:rFonts w:hint="eastAsia" w:ascii="Times New Roman" w:hAnsi="Times New Roman" w:eastAsia="仿宋_GB2312" w:cs="Times New Roman"/>
                <w:color w:val="1D35AD"/>
                <w:kern w:val="2"/>
                <w:sz w:val="24"/>
                <w:szCs w:val="24"/>
                <w:lang w:val="en-US" w:eastAsia="zh-CN" w:bidi="ar-SA"/>
              </w:rPr>
              <w:t>容积为800m</w:t>
            </w:r>
            <w:r>
              <w:rPr>
                <w:rFonts w:hint="eastAsia" w:ascii="Times New Roman" w:hAnsi="Times New Roman" w:eastAsia="仿宋_GB2312" w:cs="Times New Roman"/>
                <w:color w:val="1D35AD"/>
                <w:kern w:val="2"/>
                <w:sz w:val="24"/>
                <w:szCs w:val="24"/>
                <w:vertAlign w:val="superscript"/>
                <w:lang w:val="en-US" w:eastAsia="zh-CN" w:bidi="ar-SA"/>
              </w:rPr>
              <w:t>3</w:t>
            </w:r>
            <w:r>
              <w:rPr>
                <w:rFonts w:hint="eastAsia" w:eastAsia="仿宋_GB2312" w:cs="Times New Roman"/>
                <w:color w:val="1D35AD"/>
                <w:kern w:val="2"/>
                <w:sz w:val="24"/>
                <w:szCs w:val="24"/>
                <w:lang w:val="en-US" w:eastAsia="zh-CN" w:bidi="ar-SA"/>
              </w:rPr>
              <w:t>）</w:t>
            </w:r>
            <w:r>
              <w:rPr>
                <w:rFonts w:hint="eastAsia" w:ascii="Times New Roman" w:hAnsi="Times New Roman" w:eastAsia="仿宋_GB2312" w:cs="Times New Roman"/>
                <w:color w:val="1D35AD"/>
                <w:kern w:val="2"/>
                <w:sz w:val="24"/>
                <w:szCs w:val="24"/>
                <w:lang w:val="en-US" w:eastAsia="zh-CN" w:bidi="ar-SA"/>
              </w:rPr>
              <w:t>，可作为发生水污染事故状态下的储存与调控手段，</w:t>
            </w:r>
          </w:p>
          <w:p w14:paraId="23402FB0">
            <w:pPr>
              <w:pStyle w:val="3"/>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left"/>
              <w:textAlignment w:val="auto"/>
              <w:rPr>
                <w:rFonts w:hint="eastAsia"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（2）</w:t>
            </w:r>
            <w:r>
              <w:rPr>
                <w:rFonts w:hint="eastAsia" w:ascii="Times New Roman" w:hAnsi="Times New Roman" w:eastAsia="仿宋_GB2312" w:cs="Times New Roman"/>
                <w:color w:val="auto"/>
                <w:kern w:val="2"/>
                <w:sz w:val="24"/>
                <w:szCs w:val="24"/>
                <w:lang w:val="en-US" w:eastAsia="zh-CN" w:bidi="ar-SA"/>
              </w:rPr>
              <w:t>第二级防控（园区边界）</w:t>
            </w:r>
          </w:p>
          <w:p w14:paraId="6A8056B3">
            <w:pPr>
              <w:pStyle w:val="3"/>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jc w:val="left"/>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园区落实雨污分流排水体制，设置了雨水、污水收集排放系统，园区内临河企业后期雨水就近排入园区内河流（后关河、前关河、城西中心河等）；非临河企业后期雨水和公共区域雨水一同汇入公共区域雨水管网（含雨水明渠），再经雨水管网排入附近河道。同时园区内河流设有闸坝，当区内发生水污染事件的时候，可关闭突发环境事件点附近的雨水沟渠上的闸阀，将溢出事发企业厂界或在园区公共区域内的所有受污染的雨水、消防水和泄漏物等废水控制在雨水收集系统或区内河流内。</w:t>
            </w:r>
          </w:p>
          <w:p w14:paraId="0F11B618">
            <w:pPr>
              <w:pStyle w:val="3"/>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firstLine="422" w:firstLineChars="200"/>
              <w:jc w:val="center"/>
              <w:textAlignment w:val="auto"/>
              <w:rPr>
                <w:rFonts w:hint="eastAsia" w:ascii="Times New Roman" w:hAnsi="Times New Roman" w:eastAsia="仿宋_GB2312" w:cs="Times New Roman"/>
                <w:b/>
                <w:color w:val="auto"/>
                <w:kern w:val="2"/>
                <w:sz w:val="21"/>
                <w:szCs w:val="21"/>
                <w:highlight w:val="yellow"/>
                <w:lang w:val="en-US" w:eastAsia="zh-CN" w:bidi="ar-SA"/>
              </w:rPr>
            </w:pPr>
            <w:r>
              <w:rPr>
                <w:rFonts w:hint="default" w:eastAsia="仿宋_GB2312"/>
                <w:b/>
                <w:color w:val="auto"/>
                <w:szCs w:val="21"/>
              </w:rPr>
              <w:t>表4</w:t>
            </w:r>
            <w:r>
              <w:rPr>
                <w:rFonts w:hint="eastAsia" w:eastAsia="仿宋_GB2312"/>
                <w:b/>
                <w:color w:val="auto"/>
                <w:szCs w:val="21"/>
                <w:lang w:val="en-US" w:eastAsia="zh-CN"/>
              </w:rPr>
              <w:t xml:space="preserve">-37  </w:t>
            </w:r>
            <w:r>
              <w:rPr>
                <w:rFonts w:hint="eastAsia" w:ascii="Times New Roman" w:hAnsi="Times New Roman" w:eastAsia="仿宋_GB2312" w:cs="Times New Roman"/>
                <w:b/>
                <w:color w:val="auto"/>
                <w:kern w:val="2"/>
                <w:sz w:val="21"/>
                <w:szCs w:val="21"/>
                <w:highlight w:val="none"/>
                <w:lang w:val="en-US" w:eastAsia="zh-CN" w:bidi="ar-SA"/>
              </w:rPr>
              <w:t>通往园区边界重要水体所设污水截留设施</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39"/>
              <w:gridCol w:w="3440"/>
              <w:gridCol w:w="3057"/>
            </w:tblGrid>
            <w:tr w14:paraId="7C997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tcBorders>
                    <w:tl2br w:val="nil"/>
                    <w:tr2bl w:val="nil"/>
                  </w:tcBorders>
                </w:tcPr>
                <w:p w14:paraId="1562C2D6">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序号</w:t>
                  </w:r>
                </w:p>
              </w:tc>
              <w:tc>
                <w:tcPr>
                  <w:tcW w:w="3440" w:type="dxa"/>
                  <w:tcBorders>
                    <w:tl2br w:val="nil"/>
                    <w:tr2bl w:val="nil"/>
                  </w:tcBorders>
                </w:tcPr>
                <w:p w14:paraId="37F78D0A">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名称</w:t>
                  </w:r>
                </w:p>
              </w:tc>
              <w:tc>
                <w:tcPr>
                  <w:tcW w:w="3057" w:type="dxa"/>
                  <w:tcBorders>
                    <w:tl2br w:val="nil"/>
                    <w:tr2bl w:val="nil"/>
                  </w:tcBorders>
                </w:tcPr>
                <w:p w14:paraId="24ED6309">
                  <w:pPr>
                    <w:pStyle w:val="200"/>
                    <w:keepNext w:val="0"/>
                    <w:keepLines w:val="0"/>
                    <w:pageBreakBefore w:val="0"/>
                    <w:widowControl w:val="0"/>
                    <w:suppressLineNumbers w:val="0"/>
                    <w:kinsoku/>
                    <w:wordWrap/>
                    <w:overflowPunct w:val="0"/>
                    <w:topLinePunct w:val="0"/>
                    <w:autoSpaceDE/>
                    <w:autoSpaceDN/>
                    <w:bidi w:val="0"/>
                    <w:adjustRightInd w:val="0"/>
                    <w:snapToGrid/>
                    <w:spacing w:beforeAutospacing="0" w:afterAutospacing="0" w:line="240" w:lineRule="exact"/>
                    <w:ind w:left="0" w:right="0"/>
                    <w:jc w:val="center"/>
                    <w:textAlignment w:val="baseline"/>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所在河道</w:t>
                  </w:r>
                </w:p>
              </w:tc>
            </w:tr>
            <w:tr w14:paraId="24FE0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tcBorders>
                    <w:tl2br w:val="nil"/>
                    <w:tr2bl w:val="nil"/>
                  </w:tcBorders>
                </w:tcPr>
                <w:p w14:paraId="026E5516">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eastAsia="仿宋_GB2312" w:cs="Times New Roman"/>
                      <w:color w:val="auto"/>
                      <w:kern w:val="2"/>
                      <w:sz w:val="21"/>
                      <w:szCs w:val="21"/>
                      <w:vertAlign w:val="baseline"/>
                      <w:lang w:val="en-US" w:eastAsia="zh-CN" w:bidi="ar-SA"/>
                    </w:rPr>
                    <w:t>1</w:t>
                  </w:r>
                </w:p>
              </w:tc>
              <w:tc>
                <w:tcPr>
                  <w:tcW w:w="3440" w:type="dxa"/>
                  <w:tcBorders>
                    <w:tl2br w:val="nil"/>
                    <w:tr2bl w:val="nil"/>
                  </w:tcBorders>
                </w:tcPr>
                <w:p w14:paraId="6ECDE63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Times New Roman" w:hAnsi="Times New Roman" w:eastAsia="仿宋_GB2312" w:cs="Times New Roman"/>
                      <w:color w:val="auto"/>
                      <w:kern w:val="2"/>
                      <w:sz w:val="21"/>
                      <w:szCs w:val="21"/>
                      <w:vertAlign w:val="baseline"/>
                      <w:lang w:val="en-US" w:eastAsia="zh-CN" w:bidi="ar-SA"/>
                    </w:rPr>
                  </w:pPr>
                  <w:r>
                    <w:rPr>
                      <w:rFonts w:hint="eastAsia" w:ascii="FangSong_GB2312" w:hAnsi="FangSong_GB2312" w:eastAsia="FangSong_GB2312"/>
                      <w:color w:val="auto"/>
                      <w:sz w:val="20"/>
                      <w:szCs w:val="24"/>
                    </w:rPr>
                    <w:t>新潘庄站</w:t>
                  </w:r>
                </w:p>
              </w:tc>
              <w:tc>
                <w:tcPr>
                  <w:tcW w:w="3057" w:type="dxa"/>
                  <w:tcBorders>
                    <w:tl2br w:val="nil"/>
                    <w:tr2bl w:val="nil"/>
                  </w:tcBorders>
                </w:tcPr>
                <w:p w14:paraId="7726584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FangSong_GB2312" w:hAnsi="FangSong_GB2312" w:eastAsia="FangSong_GB2312"/>
                      <w:color w:val="auto"/>
                      <w:sz w:val="20"/>
                      <w:szCs w:val="24"/>
                      <w:lang w:val="en-US" w:eastAsia="zh-CN"/>
                    </w:rPr>
                  </w:pPr>
                  <w:r>
                    <w:rPr>
                      <w:rFonts w:hint="eastAsia" w:ascii="FangSong_GB2312" w:hAnsi="FangSong_GB2312" w:eastAsia="FangSong_GB2312"/>
                      <w:color w:val="auto"/>
                      <w:sz w:val="20"/>
                      <w:szCs w:val="24"/>
                    </w:rPr>
                    <w:t>后关河</w:t>
                  </w:r>
                </w:p>
              </w:tc>
            </w:tr>
            <w:tr w14:paraId="7F5D1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tcBorders>
                    <w:tl2br w:val="nil"/>
                    <w:tr2bl w:val="nil"/>
                  </w:tcBorders>
                </w:tcPr>
                <w:p w14:paraId="7593223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eastAsia="仿宋_GB2312" w:cs="Times New Roman"/>
                      <w:color w:val="auto"/>
                      <w:kern w:val="2"/>
                      <w:sz w:val="21"/>
                      <w:szCs w:val="21"/>
                      <w:vertAlign w:val="baseline"/>
                      <w:lang w:val="en-US" w:eastAsia="zh-CN" w:bidi="ar-SA"/>
                    </w:rPr>
                    <w:t>2</w:t>
                  </w:r>
                </w:p>
              </w:tc>
              <w:tc>
                <w:tcPr>
                  <w:tcW w:w="3440" w:type="dxa"/>
                  <w:tcBorders>
                    <w:tl2br w:val="nil"/>
                    <w:tr2bl w:val="nil"/>
                  </w:tcBorders>
                </w:tcPr>
                <w:p w14:paraId="55DFF8A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Times New Roman" w:hAnsi="Times New Roman" w:eastAsia="仿宋_GB2312" w:cs="Times New Roman"/>
                      <w:color w:val="auto"/>
                      <w:kern w:val="2"/>
                      <w:sz w:val="21"/>
                      <w:szCs w:val="21"/>
                      <w:vertAlign w:val="baseline"/>
                      <w:lang w:val="en-US" w:eastAsia="zh-CN" w:bidi="ar-SA"/>
                    </w:rPr>
                  </w:pPr>
                  <w:r>
                    <w:rPr>
                      <w:rFonts w:hint="eastAsia" w:ascii="FangSong_GB2312" w:hAnsi="FangSong_GB2312" w:eastAsia="FangSong_GB2312"/>
                      <w:color w:val="auto"/>
                      <w:sz w:val="20"/>
                      <w:szCs w:val="24"/>
                    </w:rPr>
                    <w:t>南墅站</w:t>
                  </w:r>
                </w:p>
              </w:tc>
              <w:tc>
                <w:tcPr>
                  <w:tcW w:w="3057" w:type="dxa"/>
                  <w:tcBorders>
                    <w:tl2br w:val="nil"/>
                    <w:tr2bl w:val="nil"/>
                  </w:tcBorders>
                </w:tcPr>
                <w:p w14:paraId="41E46655">
                  <w:pPr>
                    <w:keepNext w:val="0"/>
                    <w:keepLines w:val="0"/>
                    <w:suppressLineNumbers w:val="0"/>
                    <w:spacing w:before="0" w:beforeLines="0" w:beforeAutospacing="0" w:after="0" w:afterLines="0" w:afterAutospacing="0"/>
                    <w:ind w:left="0" w:right="0"/>
                    <w:jc w:val="center"/>
                    <w:rPr>
                      <w:rFonts w:hint="eastAsia" w:ascii="FangSong_GB2312" w:hAnsi="FangSong_GB2312" w:eastAsia="FangSong_GB2312" w:cs="Times New Roman"/>
                      <w:color w:val="auto"/>
                      <w:kern w:val="2"/>
                      <w:sz w:val="20"/>
                      <w:szCs w:val="24"/>
                      <w:lang w:val="en-US" w:eastAsia="zh-CN" w:bidi="ar-SA"/>
                    </w:rPr>
                  </w:pPr>
                  <w:r>
                    <w:rPr>
                      <w:rFonts w:hint="eastAsia" w:ascii="FangSong_GB2312" w:hAnsi="FangSong_GB2312" w:eastAsia="FangSong_GB2312" w:cs="Times New Roman"/>
                      <w:color w:val="auto"/>
                      <w:kern w:val="2"/>
                      <w:sz w:val="20"/>
                      <w:szCs w:val="24"/>
                      <w:lang w:val="en-US" w:eastAsia="zh-CN" w:bidi="ar-SA"/>
                    </w:rPr>
                    <w:t>前关河</w:t>
                  </w:r>
                </w:p>
              </w:tc>
            </w:tr>
            <w:tr w14:paraId="0877B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tcBorders>
                    <w:tl2br w:val="nil"/>
                    <w:tr2bl w:val="nil"/>
                  </w:tcBorders>
                </w:tcPr>
                <w:p w14:paraId="382D9DCA">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eastAsia="仿宋_GB2312" w:cs="Times New Roman"/>
                      <w:color w:val="auto"/>
                      <w:kern w:val="2"/>
                      <w:sz w:val="21"/>
                      <w:szCs w:val="21"/>
                      <w:vertAlign w:val="baseline"/>
                      <w:lang w:val="en-US" w:eastAsia="zh-CN" w:bidi="ar-SA"/>
                    </w:rPr>
                    <w:t>3</w:t>
                  </w:r>
                </w:p>
              </w:tc>
              <w:tc>
                <w:tcPr>
                  <w:tcW w:w="3440" w:type="dxa"/>
                  <w:tcBorders>
                    <w:tl2br w:val="nil"/>
                    <w:tr2bl w:val="nil"/>
                  </w:tcBorders>
                </w:tcPr>
                <w:p w14:paraId="2C0288B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Times New Roman" w:hAnsi="Times New Roman" w:eastAsia="仿宋_GB2312" w:cs="Times New Roman"/>
                      <w:color w:val="auto"/>
                      <w:kern w:val="2"/>
                      <w:sz w:val="21"/>
                      <w:szCs w:val="21"/>
                      <w:vertAlign w:val="baseline"/>
                      <w:lang w:val="en-US" w:eastAsia="zh-CN" w:bidi="ar-SA"/>
                    </w:rPr>
                  </w:pPr>
                  <w:r>
                    <w:rPr>
                      <w:rFonts w:hint="eastAsia" w:ascii="FangSong_GB2312" w:hAnsi="FangSong_GB2312" w:eastAsia="FangSong_GB2312"/>
                      <w:color w:val="auto"/>
                      <w:sz w:val="20"/>
                      <w:szCs w:val="24"/>
                    </w:rPr>
                    <w:t>六吉</w:t>
                  </w:r>
                  <w:r>
                    <w:rPr>
                      <w:rFonts w:hint="eastAsia" w:ascii="TimesNewRomanPSMT" w:hAnsi="TimesNewRomanPSMT" w:eastAsia="TimesNewRomanPSMT"/>
                      <w:color w:val="auto"/>
                      <w:sz w:val="20"/>
                      <w:szCs w:val="24"/>
                    </w:rPr>
                    <w:t>1</w:t>
                  </w:r>
                  <w:r>
                    <w:rPr>
                      <w:rFonts w:hint="eastAsia" w:ascii="FangSong_GB2312" w:hAnsi="FangSong_GB2312" w:eastAsia="FangSong_GB2312"/>
                      <w:color w:val="auto"/>
                      <w:sz w:val="20"/>
                      <w:szCs w:val="24"/>
                    </w:rPr>
                    <w:t>站</w:t>
                  </w:r>
                </w:p>
              </w:tc>
              <w:tc>
                <w:tcPr>
                  <w:tcW w:w="3057" w:type="dxa"/>
                  <w:tcBorders>
                    <w:tl2br w:val="nil"/>
                    <w:tr2bl w:val="nil"/>
                  </w:tcBorders>
                </w:tcPr>
                <w:p w14:paraId="1802736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FangSong_GB2312" w:hAnsi="FangSong_GB2312" w:eastAsia="FangSong_GB2312" w:cs="Times New Roman"/>
                      <w:color w:val="auto"/>
                      <w:kern w:val="2"/>
                      <w:sz w:val="20"/>
                      <w:szCs w:val="24"/>
                      <w:lang w:val="en-US" w:eastAsia="zh-CN" w:bidi="ar-SA"/>
                    </w:rPr>
                  </w:pPr>
                  <w:r>
                    <w:rPr>
                      <w:rFonts w:hint="eastAsia" w:ascii="FangSong_GB2312" w:hAnsi="FangSong_GB2312" w:eastAsia="FangSong_GB2312" w:cs="Times New Roman"/>
                      <w:color w:val="auto"/>
                      <w:kern w:val="2"/>
                      <w:sz w:val="20"/>
                      <w:szCs w:val="24"/>
                      <w:lang w:val="en-US" w:eastAsia="zh-CN" w:bidi="ar-SA"/>
                    </w:rPr>
                    <w:t>城西中心河</w:t>
                  </w:r>
                </w:p>
              </w:tc>
            </w:tr>
            <w:tr w14:paraId="164A2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tcBorders>
                    <w:tl2br w:val="nil"/>
                    <w:tr2bl w:val="nil"/>
                  </w:tcBorders>
                </w:tcPr>
                <w:p w14:paraId="3BB9997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eastAsia="仿宋_GB2312" w:cs="Times New Roman"/>
                      <w:color w:val="auto"/>
                      <w:kern w:val="2"/>
                      <w:sz w:val="21"/>
                      <w:szCs w:val="21"/>
                      <w:vertAlign w:val="baseline"/>
                      <w:lang w:val="en-US" w:eastAsia="zh-CN" w:bidi="ar-SA"/>
                    </w:rPr>
                    <w:t>4</w:t>
                  </w:r>
                </w:p>
              </w:tc>
              <w:tc>
                <w:tcPr>
                  <w:tcW w:w="3440" w:type="dxa"/>
                  <w:tcBorders>
                    <w:tl2br w:val="nil"/>
                    <w:tr2bl w:val="nil"/>
                  </w:tcBorders>
                </w:tcPr>
                <w:p w14:paraId="52324DE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Times New Roman" w:hAnsi="Times New Roman" w:eastAsia="仿宋_GB2312" w:cs="Times New Roman"/>
                      <w:color w:val="auto"/>
                      <w:kern w:val="2"/>
                      <w:sz w:val="21"/>
                      <w:szCs w:val="21"/>
                      <w:vertAlign w:val="baseline"/>
                      <w:lang w:val="en-US" w:eastAsia="zh-CN" w:bidi="ar-SA"/>
                    </w:rPr>
                  </w:pPr>
                  <w:r>
                    <w:rPr>
                      <w:rFonts w:hint="eastAsia" w:ascii="FangSong_GB2312" w:hAnsi="FangSong_GB2312" w:eastAsia="FangSong_GB2312"/>
                      <w:color w:val="auto"/>
                      <w:sz w:val="20"/>
                      <w:szCs w:val="24"/>
                    </w:rPr>
                    <w:t>荆溪站</w:t>
                  </w:r>
                </w:p>
              </w:tc>
              <w:tc>
                <w:tcPr>
                  <w:tcW w:w="3057" w:type="dxa"/>
                  <w:tcBorders>
                    <w:tl2br w:val="nil"/>
                    <w:tr2bl w:val="nil"/>
                  </w:tcBorders>
                </w:tcPr>
                <w:p w14:paraId="511081A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FangSong_GB2312" w:hAnsi="FangSong_GB2312" w:eastAsia="FangSong_GB2312" w:cs="Times New Roman"/>
                      <w:color w:val="auto"/>
                      <w:kern w:val="2"/>
                      <w:sz w:val="20"/>
                      <w:szCs w:val="24"/>
                      <w:lang w:val="en-US" w:eastAsia="zh-CN" w:bidi="ar-SA"/>
                    </w:rPr>
                  </w:pPr>
                  <w:r>
                    <w:rPr>
                      <w:rFonts w:hint="eastAsia" w:ascii="FangSong_GB2312" w:hAnsi="FangSong_GB2312" w:eastAsia="FangSong_GB2312" w:cs="Times New Roman"/>
                      <w:color w:val="auto"/>
                      <w:kern w:val="2"/>
                      <w:sz w:val="20"/>
                      <w:szCs w:val="24"/>
                      <w:lang w:val="en-US" w:eastAsia="zh-CN" w:bidi="ar-SA"/>
                    </w:rPr>
                    <w:t>垃圾焚烧厂西南侧</w:t>
                  </w:r>
                </w:p>
              </w:tc>
            </w:tr>
            <w:tr w14:paraId="76FB5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39" w:type="dxa"/>
                  <w:tcBorders>
                    <w:tl2br w:val="nil"/>
                    <w:tr2bl w:val="nil"/>
                  </w:tcBorders>
                </w:tcPr>
                <w:p w14:paraId="6216346D">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仿宋_GB2312" w:cs="Times New Roman"/>
                      <w:color w:val="auto"/>
                      <w:kern w:val="2"/>
                      <w:sz w:val="21"/>
                      <w:szCs w:val="21"/>
                      <w:vertAlign w:val="baseline"/>
                      <w:lang w:val="en-US" w:eastAsia="zh-CN" w:bidi="ar-SA"/>
                    </w:rPr>
                  </w:pPr>
                  <w:r>
                    <w:rPr>
                      <w:rFonts w:hint="eastAsia" w:eastAsia="仿宋_GB2312" w:cs="Times New Roman"/>
                      <w:color w:val="auto"/>
                      <w:kern w:val="2"/>
                      <w:sz w:val="21"/>
                      <w:szCs w:val="21"/>
                      <w:vertAlign w:val="baseline"/>
                      <w:lang w:val="en-US" w:eastAsia="zh-CN" w:bidi="ar-SA"/>
                    </w:rPr>
                    <w:t>5</w:t>
                  </w:r>
                </w:p>
              </w:tc>
              <w:tc>
                <w:tcPr>
                  <w:tcW w:w="3440" w:type="dxa"/>
                  <w:tcBorders>
                    <w:tl2br w:val="nil"/>
                    <w:tr2bl w:val="nil"/>
                  </w:tcBorders>
                </w:tcPr>
                <w:p w14:paraId="6B10E35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Times New Roman" w:hAnsi="Times New Roman" w:eastAsia="仿宋_GB2312" w:cs="Times New Roman"/>
                      <w:color w:val="auto"/>
                      <w:kern w:val="2"/>
                      <w:sz w:val="21"/>
                      <w:szCs w:val="21"/>
                      <w:vertAlign w:val="baseline"/>
                      <w:lang w:val="en-US" w:eastAsia="zh-CN" w:bidi="ar-SA"/>
                    </w:rPr>
                  </w:pPr>
                  <w:r>
                    <w:rPr>
                      <w:rFonts w:hint="eastAsia" w:ascii="Times New Roman" w:hAnsi="Times New Roman" w:eastAsia="仿宋_GB2312" w:cs="Times New Roman"/>
                      <w:color w:val="auto"/>
                      <w:kern w:val="2"/>
                      <w:sz w:val="21"/>
                      <w:szCs w:val="21"/>
                      <w:vertAlign w:val="baseline"/>
                      <w:lang w:val="en-US" w:eastAsia="zh-CN" w:bidi="ar-SA"/>
                    </w:rPr>
                    <w:t>野鸡圩2站</w:t>
                  </w:r>
                </w:p>
              </w:tc>
              <w:tc>
                <w:tcPr>
                  <w:tcW w:w="3057" w:type="dxa"/>
                  <w:tcBorders>
                    <w:tl2br w:val="nil"/>
                    <w:tr2bl w:val="nil"/>
                  </w:tcBorders>
                </w:tcPr>
                <w:p w14:paraId="044AB4AC">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eastAsia" w:ascii="FangSong_GB2312" w:hAnsi="FangSong_GB2312" w:eastAsia="FangSong_GB2312" w:cs="Times New Roman"/>
                      <w:color w:val="auto"/>
                      <w:kern w:val="2"/>
                      <w:sz w:val="20"/>
                      <w:szCs w:val="24"/>
                      <w:lang w:val="en-US" w:eastAsia="zh-CN" w:bidi="ar-SA"/>
                    </w:rPr>
                  </w:pPr>
                  <w:r>
                    <w:rPr>
                      <w:rFonts w:hint="eastAsia" w:ascii="FangSong_GB2312" w:hAnsi="FangSong_GB2312" w:eastAsia="FangSong_GB2312" w:cs="Times New Roman"/>
                      <w:color w:val="auto"/>
                      <w:kern w:val="2"/>
                      <w:sz w:val="20"/>
                      <w:szCs w:val="24"/>
                      <w:lang w:val="en-US" w:eastAsia="zh-CN" w:bidi="ar-SA"/>
                    </w:rPr>
                    <w:t>垃圾焚烧厂东南侧</w:t>
                  </w:r>
                </w:p>
              </w:tc>
            </w:tr>
          </w:tbl>
          <w:p w14:paraId="20BAD133">
            <w:pPr>
              <w:pStyle w:val="3"/>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right="0"/>
              <w:textAlignment w:val="auto"/>
              <w:rPr>
                <w:rFonts w:hint="default"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（3）第三级防控（周边水体）</w:t>
            </w:r>
          </w:p>
          <w:p w14:paraId="649C6D36">
            <w:pPr>
              <w:pStyle w:val="3"/>
              <w:keepNext w:val="0"/>
              <w:keepLines w:val="0"/>
              <w:pageBreakBefore w:val="0"/>
              <w:suppressLineNumbers w:val="0"/>
              <w:kinsoku/>
              <w:wordWrap/>
              <w:overflowPunct/>
              <w:topLinePunct w:val="0"/>
              <w:autoSpaceDE/>
              <w:autoSpaceDN/>
              <w:bidi w:val="0"/>
              <w:adjustRightInd/>
              <w:spacing w:before="0" w:beforeAutospacing="0" w:after="0" w:afterAutospacing="0" w:line="500" w:lineRule="exact"/>
              <w:ind w:left="0" w:right="0" w:firstLine="480" w:firstLineChars="200"/>
              <w:textAlignment w:val="auto"/>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目前，流出园区边界的主要水体有后关河、前关河、城西中心河，水体流出后进入新老丹金溧漕河。其中，上游新老丹金溧漕河交汇处设有小柘荡闸，老丹金溧漕河下游与尧塘河交汇处设有联诚站，若发生突发水污染事件时，可通过各河道上的闸坝设施进行截流控制，保证闸坝处于关闭的状态，仅在有排水需求且监测合格后才能开泵或开闸坝将水排出。</w:t>
            </w:r>
          </w:p>
          <w:p w14:paraId="4CF1A35B">
            <w:pPr>
              <w:pStyle w:val="81"/>
              <w:keepNext w:val="0"/>
              <w:keepLines w:val="0"/>
              <w:widowControl w:val="0"/>
              <w:suppressLineNumbers w:val="0"/>
              <w:spacing w:before="0" w:beforeAutospacing="0" w:after="0" w:afterAutospacing="0" w:line="500" w:lineRule="exact"/>
              <w:ind w:left="0" w:right="0"/>
              <w:jc w:val="both"/>
              <w:rPr>
                <w:rFonts w:hint="default" w:eastAsia="仿宋_GB2312"/>
                <w:b/>
                <w:bCs/>
                <w:color w:val="auto"/>
                <w:lang w:val="en-US"/>
              </w:rPr>
            </w:pPr>
            <w:r>
              <w:rPr>
                <w:rFonts w:hint="eastAsia" w:ascii="Times New Roman" w:hAnsi="Times New Roman" w:eastAsia="仿宋_GB2312" w:cs="仿宋_GB2312"/>
                <w:b/>
                <w:bCs/>
                <w:color w:val="auto"/>
                <w:kern w:val="0"/>
                <w:sz w:val="24"/>
                <w:szCs w:val="20"/>
                <w:lang w:val="en-US" w:eastAsia="zh-CN" w:bidi="ar"/>
              </w:rPr>
              <w:t>八、环境管理要求</w:t>
            </w:r>
          </w:p>
          <w:p w14:paraId="1BFD3F56">
            <w:pPr>
              <w:keepNext w:val="0"/>
              <w:keepLines w:val="0"/>
              <w:widowControl/>
              <w:suppressLineNumbers w:val="0"/>
              <w:spacing w:before="0" w:beforeAutospacing="0" w:after="0" w:afterAutospacing="0" w:line="500" w:lineRule="exact"/>
              <w:ind w:left="0" w:right="0" w:firstLine="480" w:firstLineChars="200"/>
              <w:jc w:val="left"/>
              <w:rPr>
                <w:rFonts w:hint="default" w:ascii="Times New Roman" w:hAnsi="Times New Roman" w:eastAsia="仿宋_GB2312" w:cs="仿宋_GB2312"/>
                <w:bCs/>
                <w:color w:val="auto"/>
                <w:kern w:val="0"/>
                <w:sz w:val="24"/>
                <w:szCs w:val="24"/>
                <w:lang w:val="en-US" w:eastAsia="zh-CN" w:bidi="ar"/>
              </w:rPr>
            </w:pPr>
            <w:r>
              <w:rPr>
                <w:rFonts w:hint="eastAsia" w:eastAsia="仿宋_GB2312" w:cs="仿宋_GB2312"/>
                <w:bCs/>
                <w:color w:val="auto"/>
                <w:kern w:val="0"/>
                <w:sz w:val="24"/>
                <w:szCs w:val="24"/>
                <w:lang w:val="en-US" w:eastAsia="zh-CN" w:bidi="ar"/>
              </w:rPr>
              <w:t>1、运营期环境管理要求</w:t>
            </w:r>
          </w:p>
          <w:p w14:paraId="69466F0B">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b/>
                <w:bCs w:val="0"/>
                <w:color w:val="auto"/>
                <w:kern w:val="0"/>
                <w:sz w:val="22"/>
                <w:szCs w:val="22"/>
                <w:lang w:val="en-US"/>
              </w:rPr>
            </w:pPr>
            <w:r>
              <w:rPr>
                <w:rFonts w:hint="eastAsia" w:ascii="Times New Roman" w:hAnsi="Times New Roman" w:eastAsia="仿宋_GB2312" w:cs="仿宋_GB2312"/>
                <w:bCs/>
                <w:color w:val="auto"/>
                <w:kern w:val="0"/>
                <w:sz w:val="24"/>
                <w:szCs w:val="24"/>
                <w:lang w:val="en-US" w:eastAsia="zh-CN" w:bidi="ar"/>
              </w:rPr>
              <w:t>本项目运营期将对周围环境产生一定的影响，因此建设单位应加强环境管理，运营期相关管理要求见下表。</w:t>
            </w:r>
          </w:p>
          <w:p w14:paraId="70ED060A">
            <w:pPr>
              <w:keepNext w:val="0"/>
              <w:keepLines w:val="0"/>
              <w:widowControl/>
              <w:suppressLineNumbers w:val="0"/>
              <w:spacing w:before="0" w:beforeAutospacing="0" w:after="0" w:afterAutospacing="0" w:line="400" w:lineRule="exact"/>
              <w:ind w:left="0" w:right="0"/>
              <w:jc w:val="center"/>
              <w:rPr>
                <w:rFonts w:hint="default" w:eastAsia="仿宋_GB2312"/>
                <w:b/>
                <w:bCs w:val="0"/>
                <w:color w:val="auto"/>
                <w:kern w:val="0"/>
                <w:sz w:val="22"/>
                <w:szCs w:val="22"/>
                <w:lang w:val="en-US"/>
              </w:rPr>
            </w:pPr>
            <w:r>
              <w:rPr>
                <w:rFonts w:hint="default" w:eastAsia="仿宋_GB2312"/>
                <w:b/>
                <w:bCs/>
                <w:color w:val="auto"/>
                <w:kern w:val="0"/>
                <w:sz w:val="22"/>
                <w:szCs w:val="22"/>
                <w:lang w:val="zh-CN"/>
              </w:rPr>
              <w:t>表</w:t>
            </w:r>
            <w:r>
              <w:rPr>
                <w:rFonts w:hint="default" w:eastAsia="仿宋_GB2312"/>
                <w:b/>
                <w:bCs/>
                <w:color w:val="auto"/>
                <w:kern w:val="0"/>
                <w:sz w:val="22"/>
                <w:szCs w:val="22"/>
              </w:rPr>
              <w:t>4-</w:t>
            </w:r>
            <w:r>
              <w:rPr>
                <w:rFonts w:hint="eastAsia" w:eastAsia="仿宋_GB2312"/>
                <w:b/>
                <w:bCs/>
                <w:color w:val="auto"/>
                <w:kern w:val="0"/>
                <w:sz w:val="22"/>
                <w:szCs w:val="22"/>
                <w:lang w:val="en-US" w:eastAsia="zh-CN"/>
              </w:rPr>
              <w:t>38</w:t>
            </w:r>
            <w:r>
              <w:rPr>
                <w:rFonts w:hint="default" w:eastAsia="仿宋_GB2312"/>
                <w:b/>
                <w:bCs/>
                <w:color w:val="auto"/>
                <w:kern w:val="0"/>
                <w:sz w:val="22"/>
                <w:szCs w:val="22"/>
              </w:rPr>
              <w:t xml:space="preserve">  </w:t>
            </w:r>
            <w:r>
              <w:rPr>
                <w:rFonts w:hint="eastAsia" w:ascii="Times New Roman" w:hAnsi="Times New Roman" w:eastAsia="仿宋_GB2312" w:cs="仿宋_GB2312"/>
                <w:b/>
                <w:bCs w:val="0"/>
                <w:color w:val="auto"/>
                <w:kern w:val="0"/>
                <w:sz w:val="22"/>
                <w:szCs w:val="22"/>
                <w:lang w:val="en-US" w:eastAsia="zh-CN" w:bidi="ar"/>
              </w:rPr>
              <w:t>运营期环境管理要求</w:t>
            </w:r>
          </w:p>
          <w:tbl>
            <w:tblPr>
              <w:tblStyle w:val="87"/>
              <w:tblW w:w="88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46"/>
              <w:gridCol w:w="8174"/>
            </w:tblGrid>
            <w:tr w14:paraId="7998D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jc w:val="center"/>
              </w:trPr>
              <w:tc>
                <w:tcPr>
                  <w:tcW w:w="366" w:type="pct"/>
                  <w:tcBorders>
                    <w:tl2br w:val="nil"/>
                    <w:tr2bl w:val="nil"/>
                  </w:tcBorders>
                  <w:shd w:val="clear" w:color="auto" w:fill="auto"/>
                  <w:vAlign w:val="center"/>
                </w:tcPr>
                <w:p w14:paraId="7C0199A1">
                  <w:pPr>
                    <w:keepNext w:val="0"/>
                    <w:keepLines w:val="0"/>
                    <w:widowControl/>
                    <w:suppressLineNumbers w:val="0"/>
                    <w:snapToGrid w:val="0"/>
                    <w:spacing w:before="0" w:beforeAutospacing="0" w:after="0" w:afterAutospacing="0" w:line="310" w:lineRule="exact"/>
                    <w:ind w:left="0" w:right="0"/>
                    <w:jc w:val="center"/>
                    <w:rPr>
                      <w:rFonts w:hint="default" w:eastAsia="仿宋_GB2312"/>
                      <w:b/>
                      <w:bCs w:val="0"/>
                      <w:color w:val="auto"/>
                      <w:kern w:val="0"/>
                      <w:szCs w:val="21"/>
                      <w:lang w:val="en-US"/>
                    </w:rPr>
                  </w:pPr>
                  <w:r>
                    <w:rPr>
                      <w:rFonts w:hint="eastAsia" w:ascii="Times New Roman" w:hAnsi="Times New Roman" w:eastAsia="仿宋_GB2312" w:cs="仿宋_GB2312"/>
                      <w:b/>
                      <w:bCs w:val="0"/>
                      <w:color w:val="auto"/>
                      <w:kern w:val="0"/>
                      <w:sz w:val="21"/>
                      <w:szCs w:val="21"/>
                      <w:lang w:val="en-US" w:eastAsia="zh-CN" w:bidi="ar"/>
                    </w:rPr>
                    <w:t>项目</w:t>
                  </w:r>
                </w:p>
              </w:tc>
              <w:tc>
                <w:tcPr>
                  <w:tcW w:w="4634" w:type="pct"/>
                  <w:tcBorders>
                    <w:tl2br w:val="nil"/>
                    <w:tr2bl w:val="nil"/>
                  </w:tcBorders>
                  <w:shd w:val="clear" w:color="auto" w:fill="auto"/>
                  <w:vAlign w:val="center"/>
                </w:tcPr>
                <w:p w14:paraId="0FCB911C">
                  <w:pPr>
                    <w:keepNext w:val="0"/>
                    <w:keepLines w:val="0"/>
                    <w:widowControl/>
                    <w:suppressLineNumbers w:val="0"/>
                    <w:snapToGrid w:val="0"/>
                    <w:spacing w:before="0" w:beforeAutospacing="0" w:after="0" w:afterAutospacing="0" w:line="310" w:lineRule="exact"/>
                    <w:ind w:left="0" w:right="0"/>
                    <w:jc w:val="center"/>
                    <w:rPr>
                      <w:rFonts w:hint="default" w:eastAsia="仿宋_GB2312"/>
                      <w:b/>
                      <w:bCs w:val="0"/>
                      <w:color w:val="auto"/>
                      <w:kern w:val="0"/>
                      <w:szCs w:val="21"/>
                      <w:lang w:val="en-US"/>
                    </w:rPr>
                  </w:pPr>
                  <w:r>
                    <w:rPr>
                      <w:rFonts w:hint="eastAsia" w:ascii="Times New Roman" w:hAnsi="Times New Roman" w:eastAsia="仿宋_GB2312" w:cs="仿宋_GB2312"/>
                      <w:b/>
                      <w:bCs w:val="0"/>
                      <w:color w:val="auto"/>
                      <w:kern w:val="0"/>
                      <w:sz w:val="21"/>
                      <w:szCs w:val="21"/>
                      <w:lang w:val="en-US" w:eastAsia="zh-CN" w:bidi="ar"/>
                    </w:rPr>
                    <w:t>运营期环境管理要求及内容</w:t>
                  </w:r>
                </w:p>
              </w:tc>
            </w:tr>
            <w:tr w14:paraId="7F9BC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vAlign w:val="center"/>
                </w:tcPr>
                <w:p w14:paraId="1C780FCC">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环境</w:t>
                  </w:r>
                </w:p>
                <w:p w14:paraId="0448D8F3">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管理</w:t>
                  </w:r>
                </w:p>
                <w:p w14:paraId="18D30850">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措施</w:t>
                  </w:r>
                </w:p>
              </w:tc>
              <w:tc>
                <w:tcPr>
                  <w:tcW w:w="4634" w:type="pct"/>
                  <w:tcBorders>
                    <w:tl2br w:val="nil"/>
                    <w:tr2bl w:val="nil"/>
                  </w:tcBorders>
                  <w:shd w:val="clear" w:color="auto" w:fill="auto"/>
                  <w:vAlign w:val="center"/>
                </w:tcPr>
                <w:p w14:paraId="19FCFA06">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①</w:t>
                  </w:r>
                  <w:r>
                    <w:rPr>
                      <w:rFonts w:hint="eastAsia" w:ascii="Times New Roman" w:hAnsi="Times New Roman" w:eastAsia="仿宋_GB2312" w:cs="仿宋_GB2312"/>
                      <w:bCs/>
                      <w:color w:val="auto"/>
                      <w:kern w:val="0"/>
                      <w:sz w:val="21"/>
                      <w:szCs w:val="21"/>
                      <w:lang w:val="en-US" w:eastAsia="zh-CN" w:bidi="ar"/>
                    </w:rPr>
                    <w:t>设立内部环境保护管理机构，专人负责环境保护工作，实行定岗定员，岗位责任制，负责各生产环节的环境保护管理；</w:t>
                  </w:r>
                </w:p>
                <w:p w14:paraId="512FACA6">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②</w:t>
                  </w:r>
                  <w:r>
                    <w:rPr>
                      <w:rFonts w:hint="eastAsia" w:ascii="Times New Roman" w:hAnsi="Times New Roman" w:eastAsia="仿宋_GB2312" w:cs="仿宋_GB2312"/>
                      <w:bCs/>
                      <w:color w:val="auto"/>
                      <w:kern w:val="0"/>
                      <w:sz w:val="21"/>
                      <w:szCs w:val="21"/>
                      <w:lang w:val="en-US" w:eastAsia="zh-CN" w:bidi="ar"/>
                    </w:rPr>
                    <w:t>加强对厂内职工的环保宣传、教育工作，制定厂内生产环境管理规章制度要上墙张贴；</w:t>
                  </w:r>
                </w:p>
                <w:p w14:paraId="604308E5">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③</w:t>
                  </w:r>
                  <w:r>
                    <w:rPr>
                      <w:rFonts w:hint="eastAsia" w:ascii="Times New Roman" w:hAnsi="Times New Roman" w:eastAsia="仿宋_GB2312" w:cs="仿宋_GB2312"/>
                      <w:bCs/>
                      <w:color w:val="auto"/>
                      <w:kern w:val="0"/>
                      <w:sz w:val="21"/>
                      <w:szCs w:val="21"/>
                      <w:lang w:val="en-US" w:eastAsia="zh-CN" w:bidi="ar"/>
                    </w:rPr>
                    <w:t>各项环保设施的管理纳入到日常管理工作的范畴，落实责任人、操作人员、维修人员，确保运行经费、设备的备品备件和其他原辅材料完善；</w:t>
                  </w:r>
                </w:p>
                <w:p w14:paraId="29EFA60A">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④</w:t>
                  </w:r>
                  <w:r>
                    <w:rPr>
                      <w:rFonts w:hint="eastAsia" w:ascii="Times New Roman" w:hAnsi="Times New Roman" w:eastAsia="仿宋_GB2312" w:cs="仿宋_GB2312"/>
                      <w:bCs/>
                      <w:color w:val="auto"/>
                      <w:kern w:val="0"/>
                      <w:sz w:val="21"/>
                      <w:szCs w:val="21"/>
                      <w:lang w:val="en-US" w:eastAsia="zh-CN" w:bidi="ar"/>
                    </w:rPr>
                    <w:t>配备</w:t>
                  </w:r>
                  <w:r>
                    <w:rPr>
                      <w:rFonts w:hint="default" w:ascii="Times New Roman" w:hAnsi="Times New Roman" w:eastAsia="仿宋_GB2312" w:cs="Times New Roman"/>
                      <w:bCs/>
                      <w:color w:val="auto"/>
                      <w:kern w:val="0"/>
                      <w:sz w:val="21"/>
                      <w:szCs w:val="21"/>
                      <w:lang w:val="en-US" w:eastAsia="zh-CN" w:bidi="ar"/>
                    </w:rPr>
                    <w:t>1-2</w:t>
                  </w:r>
                  <w:r>
                    <w:rPr>
                      <w:rFonts w:hint="eastAsia" w:ascii="Times New Roman" w:hAnsi="Times New Roman" w:eastAsia="仿宋_GB2312" w:cs="仿宋_GB2312"/>
                      <w:bCs/>
                      <w:color w:val="auto"/>
                      <w:kern w:val="0"/>
                      <w:sz w:val="21"/>
                      <w:szCs w:val="21"/>
                      <w:lang w:val="en-US" w:eastAsia="zh-CN" w:bidi="ar"/>
                    </w:rPr>
                    <w:t>名环境管理人员，负责运营期各项环保措施落实、运行情况。</w:t>
                  </w:r>
                </w:p>
              </w:tc>
            </w:tr>
            <w:tr w14:paraId="4E0C4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vAlign w:val="center"/>
                </w:tcPr>
                <w:p w14:paraId="1533AC87">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废气</w:t>
                  </w:r>
                </w:p>
                <w:p w14:paraId="1AD07CDE">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防治</w:t>
                  </w:r>
                </w:p>
                <w:p w14:paraId="31E12930">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措施</w:t>
                  </w:r>
                </w:p>
              </w:tc>
              <w:tc>
                <w:tcPr>
                  <w:tcW w:w="4634" w:type="pct"/>
                  <w:tcBorders>
                    <w:tl2br w:val="nil"/>
                    <w:tr2bl w:val="nil"/>
                  </w:tcBorders>
                  <w:shd w:val="clear" w:color="auto" w:fill="auto"/>
                  <w:vAlign w:val="center"/>
                </w:tcPr>
                <w:p w14:paraId="4DCFFD04">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①</w:t>
                  </w:r>
                  <w:r>
                    <w:rPr>
                      <w:rFonts w:hint="eastAsia" w:ascii="Times New Roman" w:hAnsi="Times New Roman" w:eastAsia="仿宋_GB2312" w:cs="仿宋_GB2312"/>
                      <w:bCs/>
                      <w:color w:val="auto"/>
                      <w:kern w:val="0"/>
                      <w:sz w:val="21"/>
                      <w:szCs w:val="21"/>
                      <w:lang w:val="en-US" w:eastAsia="zh-CN" w:bidi="ar"/>
                    </w:rPr>
                    <w:t>按照《江苏省排污口设置及规范化整治管理办法》，建设项目废气排放口，废气排气筒高度应符合国家大气污染物排放标准的有关规定，排气筒均应设置便于采样、监测的采样口和采样监测平台，在排气筒附近地面醒目处设置环保图形标志牌，标明排气筒高度、出口内径、排放污染物种类等。</w:t>
                  </w:r>
                </w:p>
                <w:p w14:paraId="55D4206B">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②</w:t>
                  </w:r>
                  <w:r>
                    <w:rPr>
                      <w:rFonts w:hint="eastAsia" w:ascii="Times New Roman" w:hAnsi="Times New Roman" w:eastAsia="仿宋_GB2312" w:cs="仿宋_GB2312"/>
                      <w:bCs/>
                      <w:color w:val="auto"/>
                      <w:kern w:val="0"/>
                      <w:sz w:val="21"/>
                      <w:szCs w:val="21"/>
                      <w:lang w:val="en-US" w:eastAsia="zh-CN" w:bidi="ar"/>
                    </w:rPr>
                    <w:t>严格执行安全操作规程和劳动防护制度，建立维检制度，由专人负责定期检查、记录设施情况，定期检修；建立健全岗位责任制、制定正确的操作规程、建立管理台账。</w:t>
                  </w:r>
                </w:p>
              </w:tc>
            </w:tr>
            <w:tr w14:paraId="6AB7B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vAlign w:val="center"/>
                </w:tcPr>
                <w:p w14:paraId="01B0D011">
                  <w:pPr>
                    <w:keepNext w:val="0"/>
                    <w:keepLines w:val="0"/>
                    <w:widowControl w:val="0"/>
                    <w:suppressLineNumbers w:val="0"/>
                    <w:snapToGrid w:val="0"/>
                    <w:spacing w:before="0" w:beforeAutospacing="0" w:after="0" w:afterAutospacing="0" w:line="310" w:lineRule="exact"/>
                    <w:ind w:left="0" w:right="0"/>
                    <w:jc w:val="center"/>
                    <w:rPr>
                      <w:rFonts w:hint="default" w:eastAsia="仿宋_GB2312"/>
                      <w:bCs/>
                      <w:color w:val="auto"/>
                      <w:szCs w:val="21"/>
                      <w:lang w:val="en-US"/>
                    </w:rPr>
                  </w:pPr>
                  <w:r>
                    <w:rPr>
                      <w:rFonts w:hint="eastAsia" w:ascii="Times New Roman" w:hAnsi="Times New Roman" w:eastAsia="仿宋_GB2312" w:cs="仿宋_GB2312"/>
                      <w:bCs/>
                      <w:color w:val="auto"/>
                      <w:kern w:val="2"/>
                      <w:sz w:val="21"/>
                      <w:szCs w:val="21"/>
                      <w:lang w:val="en-US" w:eastAsia="zh-CN" w:bidi="ar"/>
                    </w:rPr>
                    <w:t>废水</w:t>
                  </w:r>
                </w:p>
                <w:p w14:paraId="62B5AEF9">
                  <w:pPr>
                    <w:keepNext w:val="0"/>
                    <w:keepLines w:val="0"/>
                    <w:widowControl w:val="0"/>
                    <w:suppressLineNumbers w:val="0"/>
                    <w:snapToGrid w:val="0"/>
                    <w:spacing w:before="0" w:beforeAutospacing="0" w:after="0" w:afterAutospacing="0" w:line="310" w:lineRule="exact"/>
                    <w:ind w:left="0" w:right="0"/>
                    <w:jc w:val="center"/>
                    <w:rPr>
                      <w:rFonts w:hint="default" w:eastAsia="仿宋_GB2312"/>
                      <w:bCs/>
                      <w:color w:val="auto"/>
                      <w:szCs w:val="21"/>
                      <w:lang w:val="en-US"/>
                    </w:rPr>
                  </w:pPr>
                  <w:r>
                    <w:rPr>
                      <w:rFonts w:hint="eastAsia" w:ascii="Times New Roman" w:hAnsi="Times New Roman" w:eastAsia="仿宋_GB2312" w:cs="仿宋_GB2312"/>
                      <w:bCs/>
                      <w:color w:val="auto"/>
                      <w:kern w:val="2"/>
                      <w:sz w:val="21"/>
                      <w:szCs w:val="21"/>
                      <w:lang w:val="en-US" w:eastAsia="zh-CN" w:bidi="ar"/>
                    </w:rPr>
                    <w:t>防治</w:t>
                  </w:r>
                </w:p>
                <w:p w14:paraId="0CE520C1">
                  <w:pPr>
                    <w:keepNext w:val="0"/>
                    <w:keepLines w:val="0"/>
                    <w:widowControl w:val="0"/>
                    <w:suppressLineNumbers w:val="0"/>
                    <w:snapToGrid w:val="0"/>
                    <w:spacing w:before="0" w:beforeAutospacing="0" w:after="0" w:afterAutospacing="0" w:line="310" w:lineRule="exact"/>
                    <w:ind w:left="0" w:right="0"/>
                    <w:jc w:val="center"/>
                    <w:rPr>
                      <w:rFonts w:hint="default" w:eastAsia="仿宋_GB2312"/>
                      <w:bCs/>
                      <w:color w:val="auto"/>
                      <w:szCs w:val="21"/>
                      <w:lang w:val="en-US"/>
                    </w:rPr>
                  </w:pPr>
                  <w:r>
                    <w:rPr>
                      <w:rFonts w:hint="eastAsia" w:ascii="Times New Roman" w:hAnsi="Times New Roman" w:eastAsia="仿宋_GB2312" w:cs="仿宋_GB2312"/>
                      <w:bCs/>
                      <w:color w:val="auto"/>
                      <w:kern w:val="2"/>
                      <w:sz w:val="21"/>
                      <w:szCs w:val="21"/>
                      <w:lang w:val="en-US" w:eastAsia="zh-CN" w:bidi="ar"/>
                    </w:rPr>
                    <w:t>措施</w:t>
                  </w:r>
                </w:p>
              </w:tc>
              <w:tc>
                <w:tcPr>
                  <w:tcW w:w="4634" w:type="pct"/>
                  <w:tcBorders>
                    <w:tl2br w:val="nil"/>
                    <w:tr2bl w:val="nil"/>
                  </w:tcBorders>
                  <w:shd w:val="clear" w:color="auto" w:fill="auto"/>
                  <w:vAlign w:val="center"/>
                </w:tcPr>
                <w:p w14:paraId="46599759">
                  <w:pPr>
                    <w:keepNext w:val="0"/>
                    <w:keepLines w:val="0"/>
                    <w:widowControl w:val="0"/>
                    <w:suppressLineNumbers w:val="0"/>
                    <w:snapToGrid w:val="0"/>
                    <w:spacing w:before="0" w:beforeAutospacing="0" w:after="0" w:afterAutospacing="0" w:line="310" w:lineRule="exact"/>
                    <w:ind w:left="0" w:right="0"/>
                    <w:jc w:val="both"/>
                    <w:rPr>
                      <w:rFonts w:hint="default" w:eastAsia="仿宋_GB2312"/>
                      <w:bCs/>
                      <w:color w:val="auto"/>
                      <w:szCs w:val="21"/>
                      <w:lang w:val="en-US"/>
                    </w:rPr>
                  </w:pPr>
                  <w:r>
                    <w:rPr>
                      <w:rFonts w:hint="eastAsia" w:ascii="Times New Roman" w:hAnsi="Times New Roman" w:eastAsia="仿宋_GB2312" w:cs="仿宋_GB2312"/>
                      <w:bCs/>
                      <w:color w:val="auto"/>
                      <w:kern w:val="2"/>
                      <w:sz w:val="21"/>
                      <w:szCs w:val="21"/>
                      <w:lang w:val="en-US" w:eastAsia="zh-CN" w:bidi="ar"/>
                    </w:rPr>
                    <w:t>①严格执行安全操作规程和劳动防护制度，建立维检制度，由专人负责定期检查、记录设施情况，定期检修；建立健全岗位责任制、制定正确的操作规程、建立管理台账。</w:t>
                  </w:r>
                </w:p>
                <w:p w14:paraId="042168CA">
                  <w:pPr>
                    <w:keepNext w:val="0"/>
                    <w:keepLines w:val="0"/>
                    <w:widowControl w:val="0"/>
                    <w:suppressLineNumbers w:val="0"/>
                    <w:snapToGrid w:val="0"/>
                    <w:spacing w:before="0" w:beforeAutospacing="0" w:after="0" w:afterAutospacing="0" w:line="310" w:lineRule="exact"/>
                    <w:ind w:left="0" w:right="0"/>
                    <w:jc w:val="both"/>
                    <w:rPr>
                      <w:rFonts w:hint="default" w:eastAsia="仿宋_GB2312"/>
                      <w:bCs/>
                      <w:color w:val="auto"/>
                      <w:szCs w:val="21"/>
                      <w:lang w:val="en-US"/>
                    </w:rPr>
                  </w:pPr>
                  <w:r>
                    <w:rPr>
                      <w:rFonts w:hint="eastAsia" w:ascii="Times New Roman" w:hAnsi="Times New Roman" w:eastAsia="仿宋_GB2312" w:cs="仿宋_GB2312"/>
                      <w:bCs/>
                      <w:color w:val="auto"/>
                      <w:kern w:val="2"/>
                      <w:sz w:val="21"/>
                      <w:szCs w:val="21"/>
                      <w:lang w:val="en-US" w:eastAsia="zh-CN" w:bidi="ar"/>
                    </w:rPr>
                    <w:t>②</w:t>
                  </w:r>
                  <w:r>
                    <w:rPr>
                      <w:rFonts w:hint="eastAsia" w:ascii="Times New Roman" w:hAnsi="Times New Roman" w:eastAsia="仿宋_GB2312" w:cs="仿宋_GB2312"/>
                      <w:color w:val="auto"/>
                      <w:kern w:val="2"/>
                      <w:sz w:val="21"/>
                      <w:szCs w:val="21"/>
                      <w:lang w:val="en-US" w:eastAsia="zh-CN" w:bidi="ar"/>
                    </w:rPr>
                    <w:t>厂区排水系统按照“清污分流、雨污分流”的原则设计。一为雨水系统，本项目不涉及初期雨水，雨水排水排入</w:t>
                  </w:r>
                  <w:r>
                    <w:rPr>
                      <w:rFonts w:hint="eastAsia" w:eastAsia="仿宋_GB2312" w:cs="仿宋_GB2312"/>
                      <w:color w:val="auto"/>
                      <w:kern w:val="2"/>
                      <w:sz w:val="21"/>
                      <w:szCs w:val="21"/>
                      <w:lang w:val="en-US" w:eastAsia="zh-CN" w:bidi="ar"/>
                    </w:rPr>
                    <w:t>出租方</w:t>
                  </w:r>
                  <w:r>
                    <w:rPr>
                      <w:rFonts w:hint="eastAsia" w:ascii="Times New Roman" w:hAnsi="Times New Roman" w:eastAsia="仿宋_GB2312" w:cs="仿宋_GB2312"/>
                      <w:color w:val="auto"/>
                      <w:kern w:val="2"/>
                      <w:sz w:val="21"/>
                      <w:szCs w:val="21"/>
                      <w:lang w:val="en-US" w:eastAsia="zh-CN" w:bidi="ar"/>
                    </w:rPr>
                    <w:t>雨水管网。二为污水系统，本项目生活污水经化粪池处理后和纯水制备过程中产生浓水达标接管至常州金坛第二污水处理有限公司处理</w:t>
                  </w:r>
                  <w:r>
                    <w:rPr>
                      <w:rFonts w:hint="eastAsia" w:eastAsia="仿宋_GB2312" w:cs="仿宋_GB2312"/>
                      <w:color w:val="auto"/>
                      <w:kern w:val="2"/>
                      <w:sz w:val="21"/>
                      <w:szCs w:val="21"/>
                      <w:lang w:val="en-US" w:eastAsia="zh-CN" w:bidi="ar"/>
                    </w:rPr>
                    <w:t>。</w:t>
                  </w:r>
                  <w:r>
                    <w:rPr>
                      <w:rFonts w:hint="eastAsia" w:ascii="Times New Roman" w:hAnsi="Times New Roman" w:eastAsia="仿宋_GB2312" w:cs="仿宋_GB2312"/>
                      <w:color w:val="auto"/>
                      <w:kern w:val="2"/>
                      <w:sz w:val="21"/>
                      <w:szCs w:val="21"/>
                      <w:lang w:val="en-US" w:eastAsia="zh-CN" w:bidi="ar"/>
                    </w:rPr>
                    <w:t>本项目工艺废水、设备清洗废水、地面清洁废水、洗衣废水、循环冷却系统排水、废气喷淋废水、质检区废水经污水站处理后回用至循环冷却水系统。</w:t>
                  </w:r>
                </w:p>
              </w:tc>
            </w:tr>
            <w:tr w14:paraId="71E9E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vAlign w:val="center"/>
                </w:tcPr>
                <w:p w14:paraId="56928135">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固废</w:t>
                  </w:r>
                </w:p>
                <w:p w14:paraId="4AD2B87E">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处理</w:t>
                  </w:r>
                </w:p>
                <w:p w14:paraId="18412880">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措施</w:t>
                  </w:r>
                </w:p>
              </w:tc>
              <w:tc>
                <w:tcPr>
                  <w:tcW w:w="4634" w:type="pct"/>
                  <w:tcBorders>
                    <w:tl2br w:val="nil"/>
                    <w:tr2bl w:val="nil"/>
                  </w:tcBorders>
                  <w:shd w:val="clear" w:color="auto" w:fill="auto"/>
                  <w:vAlign w:val="center"/>
                </w:tcPr>
                <w:p w14:paraId="2EC6608B">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①</w:t>
                  </w:r>
                  <w:r>
                    <w:rPr>
                      <w:rFonts w:hint="eastAsia" w:ascii="Times New Roman" w:hAnsi="Times New Roman" w:eastAsia="仿宋_GB2312" w:cs="仿宋_GB2312"/>
                      <w:bCs/>
                      <w:color w:val="auto"/>
                      <w:kern w:val="0"/>
                      <w:sz w:val="21"/>
                      <w:szCs w:val="21"/>
                      <w:lang w:val="en-US" w:eastAsia="zh-CN" w:bidi="ar"/>
                    </w:rPr>
                    <w:t>危险废物在厂区暂存，按照《危险废物贮存污染控制标准》建设，按照《环境保护图形标志</w:t>
                  </w:r>
                  <w:r>
                    <w:rPr>
                      <w:rFonts w:hint="default" w:ascii="Times New Roman" w:hAnsi="Times New Roman" w:eastAsia="仿宋_GB2312" w:cs="Times New Roman"/>
                      <w:bCs/>
                      <w:color w:val="auto"/>
                      <w:kern w:val="0"/>
                      <w:sz w:val="21"/>
                      <w:szCs w:val="21"/>
                      <w:lang w:val="en-US" w:eastAsia="zh-CN" w:bidi="ar"/>
                    </w:rPr>
                    <w:t>—</w:t>
                  </w:r>
                  <w:r>
                    <w:rPr>
                      <w:rFonts w:hint="eastAsia" w:ascii="Times New Roman" w:hAnsi="Times New Roman" w:eastAsia="仿宋_GB2312" w:cs="仿宋_GB2312"/>
                      <w:bCs/>
                      <w:color w:val="auto"/>
                      <w:kern w:val="0"/>
                      <w:sz w:val="21"/>
                      <w:szCs w:val="21"/>
                      <w:lang w:val="en-US" w:eastAsia="zh-CN" w:bidi="ar"/>
                    </w:rPr>
                    <w:t>固体废物贮存（处置场）》（</w:t>
                  </w:r>
                  <w:r>
                    <w:rPr>
                      <w:rFonts w:hint="default" w:ascii="Times New Roman" w:hAnsi="Times New Roman" w:eastAsia="仿宋_GB2312" w:cs="Times New Roman"/>
                      <w:bCs/>
                      <w:color w:val="auto"/>
                      <w:kern w:val="0"/>
                      <w:sz w:val="21"/>
                      <w:szCs w:val="21"/>
                      <w:lang w:val="en-US" w:eastAsia="zh-CN" w:bidi="ar"/>
                    </w:rPr>
                    <w:t>GB15562.2-1995</w:t>
                  </w:r>
                  <w:r>
                    <w:rPr>
                      <w:rFonts w:hint="eastAsia" w:ascii="Times New Roman" w:hAnsi="Times New Roman" w:eastAsia="仿宋_GB2312" w:cs="仿宋_GB2312"/>
                      <w:bCs/>
                      <w:color w:val="auto"/>
                      <w:kern w:val="0"/>
                      <w:sz w:val="21"/>
                      <w:szCs w:val="21"/>
                      <w:lang w:val="en-US" w:eastAsia="zh-CN" w:bidi="ar"/>
                    </w:rPr>
                    <w:t>）、《省生态环境厅关于进一步加强危险废物污染防治工作的实施意见》（苏环办</w:t>
                  </w:r>
                  <w:r>
                    <w:rPr>
                      <w:rFonts w:hint="default" w:ascii="Times New Roman" w:hAnsi="Times New Roman" w:eastAsia="仿宋_GB2312" w:cs="Times New Roman"/>
                      <w:bCs/>
                      <w:color w:val="auto"/>
                      <w:kern w:val="0"/>
                      <w:sz w:val="21"/>
                      <w:szCs w:val="21"/>
                      <w:lang w:val="en-US" w:eastAsia="zh-CN" w:bidi="ar"/>
                    </w:rPr>
                    <w:t>[2019]327</w:t>
                  </w:r>
                  <w:r>
                    <w:rPr>
                      <w:rFonts w:hint="eastAsia" w:ascii="Times New Roman" w:hAnsi="Times New Roman" w:eastAsia="仿宋_GB2312" w:cs="仿宋_GB2312"/>
                      <w:bCs/>
                      <w:color w:val="auto"/>
                      <w:kern w:val="0"/>
                      <w:sz w:val="21"/>
                      <w:szCs w:val="21"/>
                      <w:lang w:val="en-US" w:eastAsia="zh-CN" w:bidi="ar"/>
                    </w:rPr>
                    <w:t>号）、《省生态环境厅关于印发江苏省危险废物贮存规范化管理专项整治行动方案的通知》（苏环办</w:t>
                  </w:r>
                  <w:r>
                    <w:rPr>
                      <w:rFonts w:hint="default" w:ascii="Times New Roman" w:hAnsi="Times New Roman" w:eastAsia="仿宋_GB2312" w:cs="Times New Roman"/>
                      <w:bCs/>
                      <w:color w:val="auto"/>
                      <w:kern w:val="0"/>
                      <w:sz w:val="21"/>
                      <w:szCs w:val="21"/>
                      <w:lang w:val="en-US" w:eastAsia="zh-CN" w:bidi="ar"/>
                    </w:rPr>
                    <w:t>[2019]149</w:t>
                  </w:r>
                  <w:r>
                    <w:rPr>
                      <w:rFonts w:hint="eastAsia" w:ascii="Times New Roman" w:hAnsi="Times New Roman" w:eastAsia="仿宋_GB2312" w:cs="仿宋_GB2312"/>
                      <w:bCs/>
                      <w:color w:val="auto"/>
                      <w:kern w:val="0"/>
                      <w:sz w:val="21"/>
                      <w:szCs w:val="21"/>
                      <w:lang w:val="en-US" w:eastAsia="zh-CN" w:bidi="ar"/>
                    </w:rPr>
                    <w:t>号）、《省生态环境厅关于做好江苏省危险废物全生命周期监控系统上线运行工作的通知》（苏环办</w:t>
                  </w:r>
                  <w:r>
                    <w:rPr>
                      <w:rFonts w:hint="default" w:ascii="Times New Roman" w:hAnsi="Times New Roman" w:eastAsia="仿宋_GB2312" w:cs="Times New Roman"/>
                      <w:bCs/>
                      <w:color w:val="auto"/>
                      <w:kern w:val="0"/>
                      <w:sz w:val="21"/>
                      <w:szCs w:val="21"/>
                      <w:lang w:val="en-US" w:eastAsia="zh-CN" w:bidi="ar"/>
                    </w:rPr>
                    <w:t>[2020]401</w:t>
                  </w:r>
                  <w:r>
                    <w:rPr>
                      <w:rFonts w:hint="eastAsia" w:ascii="Times New Roman" w:hAnsi="Times New Roman" w:eastAsia="仿宋_GB2312" w:cs="仿宋_GB2312"/>
                      <w:bCs/>
                      <w:color w:val="auto"/>
                      <w:kern w:val="0"/>
                      <w:sz w:val="21"/>
                      <w:szCs w:val="21"/>
                      <w:lang w:val="en-US" w:eastAsia="zh-CN" w:bidi="ar"/>
                    </w:rPr>
                    <w:t>号）中的要求设置环境保护图形标志。</w:t>
                  </w:r>
                </w:p>
                <w:p w14:paraId="510E0DC0">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②</w:t>
                  </w:r>
                  <w:r>
                    <w:rPr>
                      <w:rFonts w:hint="eastAsia" w:ascii="Times New Roman" w:hAnsi="Times New Roman" w:eastAsia="仿宋_GB2312" w:cs="仿宋_GB2312"/>
                      <w:bCs/>
                      <w:color w:val="auto"/>
                      <w:kern w:val="0"/>
                      <w:sz w:val="21"/>
                      <w:szCs w:val="21"/>
                      <w:lang w:val="en-US" w:eastAsia="zh-CN" w:bidi="ar"/>
                    </w:rPr>
                    <w:t>项目所有危险废物均委托有资质单位无害化处置，不得给环境带来二次污染；生活垃圾集中收集，及时运出。</w:t>
                  </w:r>
                </w:p>
              </w:tc>
            </w:tr>
            <w:tr w14:paraId="5AEC8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vAlign w:val="center"/>
                </w:tcPr>
                <w:p w14:paraId="5200334B">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噪声</w:t>
                  </w:r>
                </w:p>
                <w:p w14:paraId="79C07FD1">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控制</w:t>
                  </w:r>
                </w:p>
                <w:p w14:paraId="3184CB0F">
                  <w:pPr>
                    <w:keepNext w:val="0"/>
                    <w:keepLines w:val="0"/>
                    <w:widowControl/>
                    <w:suppressLineNumbers w:val="0"/>
                    <w:snapToGrid w:val="0"/>
                    <w:spacing w:before="0" w:beforeAutospacing="0" w:after="0" w:afterAutospacing="0" w:line="310" w:lineRule="exact"/>
                    <w:ind w:left="0" w:right="0"/>
                    <w:jc w:val="center"/>
                    <w:rPr>
                      <w:rFonts w:hint="default" w:eastAsia="仿宋_GB2312"/>
                      <w:bCs/>
                      <w:color w:val="auto"/>
                      <w:kern w:val="0"/>
                      <w:szCs w:val="21"/>
                      <w:lang w:val="en-US"/>
                    </w:rPr>
                  </w:pPr>
                  <w:r>
                    <w:rPr>
                      <w:rFonts w:hint="eastAsia" w:ascii="Times New Roman" w:hAnsi="Times New Roman" w:eastAsia="仿宋_GB2312" w:cs="仿宋_GB2312"/>
                      <w:bCs/>
                      <w:color w:val="auto"/>
                      <w:kern w:val="0"/>
                      <w:sz w:val="21"/>
                      <w:szCs w:val="21"/>
                      <w:lang w:val="en-US" w:eastAsia="zh-CN" w:bidi="ar"/>
                    </w:rPr>
                    <w:t>措施</w:t>
                  </w:r>
                </w:p>
              </w:tc>
              <w:tc>
                <w:tcPr>
                  <w:tcW w:w="4634" w:type="pct"/>
                  <w:tcBorders>
                    <w:tl2br w:val="nil"/>
                    <w:tr2bl w:val="nil"/>
                  </w:tcBorders>
                  <w:shd w:val="clear" w:color="auto" w:fill="auto"/>
                  <w:vAlign w:val="center"/>
                </w:tcPr>
                <w:p w14:paraId="2D6B3031">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①</w:t>
                  </w:r>
                  <w:r>
                    <w:rPr>
                      <w:rFonts w:hint="eastAsia" w:ascii="Times New Roman" w:hAnsi="Times New Roman" w:eastAsia="仿宋_GB2312" w:cs="仿宋_GB2312"/>
                      <w:bCs/>
                      <w:color w:val="auto"/>
                      <w:kern w:val="0"/>
                      <w:sz w:val="21"/>
                      <w:szCs w:val="21"/>
                      <w:lang w:val="en-US" w:eastAsia="zh-CN" w:bidi="ar"/>
                    </w:rPr>
                    <w:t>固定噪声污染源对边界影响最大处，设置噪声监测点，同时设置标志牌；</w:t>
                  </w:r>
                </w:p>
                <w:p w14:paraId="17C19299">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②</w:t>
                  </w:r>
                  <w:r>
                    <w:rPr>
                      <w:rFonts w:hint="eastAsia" w:ascii="Times New Roman" w:hAnsi="Times New Roman" w:eastAsia="仿宋_GB2312" w:cs="仿宋_GB2312"/>
                      <w:bCs/>
                      <w:color w:val="auto"/>
                      <w:kern w:val="0"/>
                      <w:sz w:val="21"/>
                      <w:szCs w:val="21"/>
                      <w:lang w:val="en-US" w:eastAsia="zh-CN" w:bidi="ar"/>
                    </w:rPr>
                    <w:t>合理布局，尽可能将噪声设备集中布置、集中管理，在主体建筑设计中，墙体要采取隔声、吸声效果好的建筑材料，采用隔声门窗；并充分利用距离衰减；</w:t>
                  </w:r>
                </w:p>
                <w:p w14:paraId="73ED00A0">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③</w:t>
                  </w:r>
                  <w:r>
                    <w:rPr>
                      <w:rFonts w:hint="eastAsia" w:ascii="Times New Roman" w:hAnsi="Times New Roman" w:eastAsia="仿宋_GB2312" w:cs="仿宋_GB2312"/>
                      <w:bCs/>
                      <w:color w:val="auto"/>
                      <w:kern w:val="0"/>
                      <w:sz w:val="21"/>
                      <w:szCs w:val="21"/>
                      <w:lang w:val="en-US" w:eastAsia="zh-CN" w:bidi="ar"/>
                    </w:rPr>
                    <w:t>在生产中尽量采用低噪声设备，在设备运行时，加强设备维修与日常保养，使之正常运转；</w:t>
                  </w:r>
                </w:p>
                <w:p w14:paraId="6B844B7B">
                  <w:pPr>
                    <w:keepNext w:val="0"/>
                    <w:keepLines w:val="0"/>
                    <w:widowControl/>
                    <w:suppressLineNumbers w:val="0"/>
                    <w:snapToGrid w:val="0"/>
                    <w:spacing w:before="0" w:beforeAutospacing="0" w:after="0" w:afterAutospacing="0" w:line="310" w:lineRule="exact"/>
                    <w:ind w:left="0" w:right="0"/>
                    <w:jc w:val="left"/>
                    <w:rPr>
                      <w:rFonts w:hint="default" w:eastAsia="仿宋_GB2312"/>
                      <w:bCs/>
                      <w:color w:val="auto"/>
                      <w:kern w:val="0"/>
                      <w:szCs w:val="21"/>
                      <w:lang w:val="en-US"/>
                    </w:rPr>
                  </w:pPr>
                  <w:r>
                    <w:rPr>
                      <w:rFonts w:hint="eastAsia" w:ascii="Times New Roman" w:hAnsi="Times New Roman" w:eastAsia="仿宋_GB2312" w:cs="宋体"/>
                      <w:bCs/>
                      <w:color w:val="auto"/>
                      <w:kern w:val="0"/>
                      <w:sz w:val="21"/>
                      <w:szCs w:val="21"/>
                      <w:lang w:val="en-US" w:eastAsia="zh-CN" w:bidi="ar"/>
                    </w:rPr>
                    <w:t>④</w:t>
                  </w:r>
                  <w:r>
                    <w:rPr>
                      <w:rFonts w:hint="eastAsia" w:ascii="Times New Roman" w:hAnsi="Times New Roman" w:eastAsia="仿宋_GB2312" w:cs="仿宋_GB2312"/>
                      <w:bCs/>
                      <w:color w:val="auto"/>
                      <w:kern w:val="0"/>
                      <w:sz w:val="21"/>
                      <w:szCs w:val="21"/>
                      <w:lang w:val="en-US" w:eastAsia="zh-CN" w:bidi="ar"/>
                    </w:rPr>
                    <w:t>较大的噪声源在设备安装时，须对噪声源进行屏蔽、隔声、减振、消声，减小声能的辐射和传播，如对泵安装隔声罩隔声，在风机排风口外安装消声器，内置消声插片，使噪声在通过特殊构造的消声器时削减。</w:t>
                  </w:r>
                </w:p>
              </w:tc>
            </w:tr>
          </w:tbl>
          <w:p w14:paraId="16BF791C">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s="仿宋_GB2312"/>
                <w:bCs/>
                <w:color w:val="auto"/>
                <w:kern w:val="0"/>
                <w:sz w:val="24"/>
                <w:szCs w:val="24"/>
                <w:lang w:val="en-US" w:eastAsia="zh-CN" w:bidi="ar"/>
              </w:rPr>
            </w:pPr>
            <w:r>
              <w:rPr>
                <w:rFonts w:hint="eastAsia" w:eastAsia="仿宋_GB2312" w:cs="仿宋_GB2312"/>
                <w:bCs/>
                <w:color w:val="auto"/>
                <w:kern w:val="0"/>
                <w:sz w:val="24"/>
                <w:szCs w:val="24"/>
                <w:lang w:val="en-US" w:eastAsia="zh-CN" w:bidi="ar"/>
              </w:rPr>
              <w:t>2、“三同时”验收情况</w:t>
            </w:r>
          </w:p>
          <w:p w14:paraId="71162852">
            <w:pPr>
              <w:keepNext w:val="0"/>
              <w:keepLines w:val="0"/>
              <w:widowControl/>
              <w:suppressLineNumbers w:val="0"/>
              <w:spacing w:before="0" w:beforeAutospacing="0" w:after="0" w:afterAutospacing="0" w:line="500" w:lineRule="exact"/>
              <w:ind w:left="0" w:right="0" w:firstLine="480" w:firstLineChars="200"/>
              <w:jc w:val="left"/>
              <w:rPr>
                <w:rFonts w:hint="eastAsia" w:eastAsia="仿宋_GB2312"/>
                <w:color w:val="auto"/>
                <w:kern w:val="0"/>
                <w:sz w:val="24"/>
                <w:lang w:eastAsia="zh-CN"/>
              </w:rPr>
            </w:pPr>
            <w:r>
              <w:rPr>
                <w:rFonts w:hint="eastAsia" w:eastAsia="仿宋_GB2312"/>
                <w:color w:val="auto"/>
                <w:kern w:val="0"/>
                <w:sz w:val="24"/>
                <w:lang w:eastAsia="zh-CN"/>
              </w:rPr>
              <w:t>根据《中华人民共和国环境保护法》规定，建设项目污染防治设施必须与主体工程同时设计、同时施工、同时投入运行，而污染防治设施建设“三同时”验收是严格控制新污染源和污染物排放总量、遏制环境恶化趋势的有力措施。具体实施计划为：</w:t>
            </w:r>
          </w:p>
          <w:p w14:paraId="3C7EBEDA">
            <w:pPr>
              <w:keepNext w:val="0"/>
              <w:keepLines w:val="0"/>
              <w:widowControl/>
              <w:suppressLineNumbers w:val="0"/>
              <w:spacing w:before="0" w:beforeAutospacing="0" w:after="0" w:afterAutospacing="0" w:line="500" w:lineRule="exact"/>
              <w:ind w:left="0" w:right="0" w:firstLine="480" w:firstLineChars="200"/>
              <w:jc w:val="left"/>
              <w:rPr>
                <w:rFonts w:hint="eastAsia" w:eastAsia="仿宋_GB2312"/>
                <w:color w:val="auto"/>
                <w:kern w:val="0"/>
                <w:sz w:val="24"/>
                <w:lang w:eastAsia="zh-CN"/>
              </w:rPr>
            </w:pPr>
            <w:r>
              <w:rPr>
                <w:rFonts w:hint="eastAsia" w:eastAsia="仿宋_GB2312"/>
                <w:color w:val="auto"/>
                <w:kern w:val="0"/>
                <w:sz w:val="24"/>
                <w:lang w:eastAsia="zh-CN"/>
              </w:rPr>
              <w:t>（1）建设单位请有资质的第三方监测机构对正常生产情况下各排污口排放的污染物情况进行监测。</w:t>
            </w:r>
          </w:p>
          <w:p w14:paraId="724A9493">
            <w:pPr>
              <w:keepNext w:val="0"/>
              <w:keepLines w:val="0"/>
              <w:widowControl/>
              <w:suppressLineNumbers w:val="0"/>
              <w:spacing w:before="0" w:beforeAutospacing="0" w:after="0" w:afterAutospacing="0" w:line="500" w:lineRule="exact"/>
              <w:ind w:left="0" w:right="0" w:firstLine="480" w:firstLineChars="200"/>
              <w:jc w:val="left"/>
              <w:rPr>
                <w:rFonts w:hint="eastAsia" w:eastAsia="仿宋_GB2312"/>
                <w:color w:val="auto"/>
                <w:kern w:val="0"/>
                <w:sz w:val="24"/>
                <w:lang w:eastAsia="zh-CN"/>
              </w:rPr>
            </w:pPr>
            <w:r>
              <w:rPr>
                <w:rFonts w:hint="eastAsia" w:eastAsia="仿宋_GB2312"/>
                <w:color w:val="auto"/>
                <w:kern w:val="0"/>
                <w:sz w:val="24"/>
                <w:lang w:eastAsia="zh-CN"/>
              </w:rPr>
              <w:t>（2）建设单位应当按照国务院环境保护行政主管部门规定的标准和程序，对配套建设的环境保护设施进行验收，编制验收报告。除按照国家规定需要保密的情形外，建设单位应当依法向社会公开验收报告。“三同时”验收内容见下表。</w:t>
            </w:r>
          </w:p>
          <w:p w14:paraId="5B5849B1">
            <w:pPr>
              <w:keepNext w:val="0"/>
              <w:keepLines w:val="0"/>
              <w:widowControl/>
              <w:suppressLineNumbers w:val="0"/>
              <w:spacing w:before="0" w:beforeAutospacing="0" w:after="0" w:afterAutospacing="0" w:line="400" w:lineRule="exact"/>
              <w:ind w:left="0" w:right="0"/>
              <w:jc w:val="center"/>
              <w:rPr>
                <w:rFonts w:hint="default" w:eastAsia="仿宋_GB2312"/>
                <w:b/>
                <w:bCs/>
                <w:color w:val="auto"/>
                <w:kern w:val="0"/>
                <w:sz w:val="22"/>
                <w:szCs w:val="22"/>
                <w:lang w:val="zh-CN"/>
              </w:rPr>
            </w:pPr>
            <w:r>
              <w:rPr>
                <w:rFonts w:hint="eastAsia" w:eastAsia="仿宋_GB2312"/>
                <w:b/>
                <w:bCs/>
                <w:color w:val="auto"/>
                <w:kern w:val="0"/>
                <w:sz w:val="22"/>
                <w:szCs w:val="22"/>
                <w:lang w:val="zh-CN"/>
              </w:rPr>
              <w:t>表</w:t>
            </w:r>
            <w:r>
              <w:rPr>
                <w:rFonts w:hint="default" w:ascii="Times New Roman" w:hAnsi="Times New Roman" w:eastAsia="仿宋_GB2312" w:cs="Times New Roman"/>
                <w:b/>
                <w:bCs/>
                <w:color w:val="auto"/>
                <w:kern w:val="0"/>
                <w:sz w:val="22"/>
                <w:szCs w:val="22"/>
                <w:lang w:val="zh-CN"/>
              </w:rPr>
              <w:t>4-</w:t>
            </w:r>
            <w:r>
              <w:rPr>
                <w:rFonts w:hint="eastAsia" w:eastAsia="仿宋_GB2312" w:cs="Times New Roman"/>
                <w:b/>
                <w:bCs/>
                <w:color w:val="auto"/>
                <w:kern w:val="0"/>
                <w:sz w:val="22"/>
                <w:szCs w:val="22"/>
                <w:lang w:val="en-US" w:eastAsia="zh-CN"/>
              </w:rPr>
              <w:t>39</w:t>
            </w:r>
            <w:r>
              <w:rPr>
                <w:rFonts w:hint="default" w:eastAsia="仿宋_GB2312"/>
                <w:b/>
                <w:bCs/>
                <w:color w:val="auto"/>
                <w:kern w:val="0"/>
                <w:sz w:val="22"/>
                <w:szCs w:val="22"/>
                <w:lang w:val="zh-CN"/>
              </w:rPr>
              <w:t xml:space="preserve">  </w:t>
            </w:r>
            <w:r>
              <w:rPr>
                <w:rFonts w:hint="eastAsia" w:eastAsia="仿宋_GB2312"/>
                <w:b/>
                <w:bCs/>
                <w:color w:val="auto"/>
                <w:kern w:val="0"/>
                <w:sz w:val="22"/>
                <w:szCs w:val="22"/>
                <w:lang w:val="zh-CN"/>
              </w:rPr>
              <w:t>本项目 “三同时”验收一览表</w:t>
            </w:r>
          </w:p>
          <w:tbl>
            <w:tblPr>
              <w:tblStyle w:val="88"/>
              <w:tblW w:w="4998"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28" w:type="dxa"/>
                <w:bottom w:w="0" w:type="dxa"/>
                <w:right w:w="28" w:type="dxa"/>
              </w:tblCellMar>
            </w:tblPr>
            <w:tblGrid>
              <w:gridCol w:w="863"/>
              <w:gridCol w:w="1405"/>
              <w:gridCol w:w="1407"/>
              <w:gridCol w:w="647"/>
              <w:gridCol w:w="865"/>
              <w:gridCol w:w="3447"/>
              <w:gridCol w:w="876"/>
              <w:gridCol w:w="786"/>
            </w:tblGrid>
            <w:tr w14:paraId="038FC18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Align w:val="center"/>
                </w:tcPr>
                <w:p w14:paraId="5058CA8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类别</w:t>
                  </w:r>
                </w:p>
              </w:tc>
              <w:tc>
                <w:tcPr>
                  <w:tcW w:w="1365" w:type="pct"/>
                  <w:gridSpan w:val="2"/>
                  <w:vAlign w:val="center"/>
                </w:tcPr>
                <w:p w14:paraId="424358A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污染物名称</w:t>
                  </w:r>
                </w:p>
              </w:tc>
              <w:tc>
                <w:tcPr>
                  <w:tcW w:w="734" w:type="pct"/>
                  <w:gridSpan w:val="2"/>
                  <w:vAlign w:val="center"/>
                </w:tcPr>
                <w:p w14:paraId="63DF46C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环保设施名称</w:t>
                  </w:r>
                </w:p>
              </w:tc>
              <w:tc>
                <w:tcPr>
                  <w:tcW w:w="1673" w:type="pct"/>
                  <w:vAlign w:val="center"/>
                </w:tcPr>
                <w:p w14:paraId="538486E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治理措施</w:t>
                  </w:r>
                </w:p>
              </w:tc>
              <w:tc>
                <w:tcPr>
                  <w:tcW w:w="425" w:type="pct"/>
                  <w:vAlign w:val="center"/>
                </w:tcPr>
                <w:p w14:paraId="416D89A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进度</w:t>
                  </w:r>
                </w:p>
              </w:tc>
              <w:tc>
                <w:tcPr>
                  <w:tcW w:w="381" w:type="pct"/>
                  <w:vAlign w:val="center"/>
                </w:tcPr>
                <w:p w14:paraId="404C554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b/>
                      <w:color w:val="auto"/>
                      <w:szCs w:val="21"/>
                    </w:rPr>
                  </w:pPr>
                  <w:r>
                    <w:rPr>
                      <w:rFonts w:hint="eastAsia" w:ascii="Times New Roman" w:hAnsi="Times New Roman"/>
                      <w:b/>
                      <w:color w:val="auto"/>
                      <w:szCs w:val="21"/>
                    </w:rPr>
                    <w:t>预期效果</w:t>
                  </w:r>
                </w:p>
              </w:tc>
            </w:tr>
            <w:tr w14:paraId="056EC26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restart"/>
                  <w:vAlign w:val="center"/>
                </w:tcPr>
                <w:p w14:paraId="6C12F58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废气</w:t>
                  </w:r>
                </w:p>
              </w:tc>
              <w:tc>
                <w:tcPr>
                  <w:tcW w:w="682" w:type="pct"/>
                  <w:vAlign w:val="center"/>
                </w:tcPr>
                <w:p w14:paraId="0B27227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工艺中未捕集废气、称量间废气</w:t>
                  </w:r>
                </w:p>
              </w:tc>
              <w:tc>
                <w:tcPr>
                  <w:tcW w:w="682" w:type="pct"/>
                  <w:vAlign w:val="center"/>
                </w:tcPr>
                <w:p w14:paraId="05E0AEB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颗粒物</w:t>
                  </w:r>
                </w:p>
              </w:tc>
              <w:tc>
                <w:tcPr>
                  <w:tcW w:w="734" w:type="pct"/>
                  <w:gridSpan w:val="2"/>
                  <w:vAlign w:val="center"/>
                </w:tcPr>
                <w:p w14:paraId="448C8F2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布袋除尘</w:t>
                  </w:r>
                </w:p>
              </w:tc>
              <w:tc>
                <w:tcPr>
                  <w:tcW w:w="1673" w:type="pct"/>
                  <w:vAlign w:val="center"/>
                </w:tcPr>
                <w:p w14:paraId="593D4876">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废气经布袋除尘处理后通过</w:t>
                  </w:r>
                  <w:r>
                    <w:rPr>
                      <w:rFonts w:hint="default" w:ascii="Times New Roman" w:hAnsi="Times New Roman"/>
                      <w:color w:val="auto"/>
                      <w:szCs w:val="21"/>
                    </w:rPr>
                    <w:t>15米高1#排气筒排放</w:t>
                  </w:r>
                  <w:r>
                    <w:rPr>
                      <w:rFonts w:hint="eastAsia" w:ascii="Times New Roman" w:hAnsi="Times New Roman"/>
                      <w:color w:val="auto"/>
                      <w:szCs w:val="21"/>
                    </w:rPr>
                    <w:t>。</w:t>
                  </w:r>
                </w:p>
              </w:tc>
              <w:tc>
                <w:tcPr>
                  <w:tcW w:w="425" w:type="pct"/>
                  <w:vAlign w:val="center"/>
                </w:tcPr>
                <w:p w14:paraId="075E761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Merge w:val="restart"/>
                  <w:vAlign w:val="center"/>
                </w:tcPr>
                <w:p w14:paraId="65C760E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达标排放</w:t>
                  </w:r>
                </w:p>
              </w:tc>
            </w:tr>
            <w:tr w14:paraId="525FE9D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4E8E509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Merge w:val="restart"/>
                  <w:vAlign w:val="center"/>
                </w:tcPr>
                <w:p w14:paraId="5C4B3162">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工艺废气、质检区废气、危废库废气、污水站废气</w:t>
                  </w:r>
                </w:p>
              </w:tc>
              <w:tc>
                <w:tcPr>
                  <w:tcW w:w="682" w:type="pct"/>
                  <w:vAlign w:val="center"/>
                </w:tcPr>
                <w:p w14:paraId="29D1E5BB">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lang w:val="en-US"/>
                    </w:rPr>
                  </w:pPr>
                  <w:r>
                    <w:rPr>
                      <w:rFonts w:hint="eastAsia" w:ascii="Times New Roman" w:hAnsi="Times New Roman"/>
                      <w:color w:val="auto"/>
                      <w:szCs w:val="21"/>
                      <w:lang w:val="en-US"/>
                    </w:rPr>
                    <w:t>非甲烷总烃</w:t>
                  </w:r>
                </w:p>
              </w:tc>
              <w:tc>
                <w:tcPr>
                  <w:tcW w:w="734" w:type="pct"/>
                  <w:gridSpan w:val="2"/>
                  <w:vMerge w:val="restart"/>
                  <w:vAlign w:val="center"/>
                </w:tcPr>
                <w:p w14:paraId="2D08377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酸喷淋</w:t>
                  </w:r>
                  <w:r>
                    <w:rPr>
                      <w:rFonts w:hint="default" w:ascii="Times New Roman" w:hAnsi="Times New Roman"/>
                      <w:color w:val="auto"/>
                      <w:szCs w:val="21"/>
                    </w:rPr>
                    <w:t>+碱喷淋+除雾器+活性炭吸附</w:t>
                  </w:r>
                </w:p>
              </w:tc>
              <w:tc>
                <w:tcPr>
                  <w:tcW w:w="1673" w:type="pct"/>
                  <w:vMerge w:val="restart"/>
                  <w:vAlign w:val="center"/>
                </w:tcPr>
                <w:p w14:paraId="3CB2380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废气经酸喷淋</w:t>
                  </w:r>
                  <w:r>
                    <w:rPr>
                      <w:rFonts w:hint="default" w:ascii="Times New Roman" w:hAnsi="Times New Roman"/>
                      <w:color w:val="auto"/>
                      <w:szCs w:val="21"/>
                    </w:rPr>
                    <w:t>+碱喷淋+除雾器+活性炭吸附</w:t>
                  </w:r>
                  <w:r>
                    <w:rPr>
                      <w:rFonts w:hint="eastAsia" w:ascii="Times New Roman" w:hAnsi="Times New Roman"/>
                      <w:color w:val="auto"/>
                      <w:szCs w:val="21"/>
                    </w:rPr>
                    <w:t>处理后通过</w:t>
                  </w:r>
                  <w:r>
                    <w:rPr>
                      <w:rFonts w:hint="default" w:ascii="Times New Roman" w:hAnsi="Times New Roman"/>
                      <w:color w:val="auto"/>
                      <w:szCs w:val="21"/>
                    </w:rPr>
                    <w:t>15米高2#排气筒排放</w:t>
                  </w:r>
                  <w:r>
                    <w:rPr>
                      <w:rFonts w:hint="eastAsia" w:ascii="Times New Roman" w:hAnsi="Times New Roman"/>
                      <w:color w:val="auto"/>
                      <w:szCs w:val="21"/>
                    </w:rPr>
                    <w:t>。</w:t>
                  </w:r>
                </w:p>
              </w:tc>
              <w:tc>
                <w:tcPr>
                  <w:tcW w:w="425" w:type="pct"/>
                  <w:vMerge w:val="restart"/>
                  <w:vAlign w:val="center"/>
                </w:tcPr>
                <w:p w14:paraId="3049717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与本项目同步</w:t>
                  </w:r>
                </w:p>
              </w:tc>
              <w:tc>
                <w:tcPr>
                  <w:tcW w:w="381" w:type="pct"/>
                  <w:vMerge w:val="continue"/>
                  <w:vAlign w:val="center"/>
                </w:tcPr>
                <w:p w14:paraId="7931894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56C1D0E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51652D7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Merge w:val="continue"/>
                  <w:vAlign w:val="center"/>
                </w:tcPr>
                <w:p w14:paraId="3D2C7358">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Align w:val="center"/>
                </w:tcPr>
                <w:p w14:paraId="68594BA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NH</w:t>
                  </w:r>
                  <w:r>
                    <w:rPr>
                      <w:rFonts w:hint="eastAsia" w:ascii="Times New Roman" w:hAnsi="Times New Roman"/>
                      <w:color w:val="auto"/>
                      <w:szCs w:val="21"/>
                      <w:vertAlign w:val="subscript"/>
                    </w:rPr>
                    <w:t>3</w:t>
                  </w:r>
                </w:p>
              </w:tc>
              <w:tc>
                <w:tcPr>
                  <w:tcW w:w="734" w:type="pct"/>
                  <w:gridSpan w:val="2"/>
                  <w:vMerge w:val="continue"/>
                  <w:vAlign w:val="center"/>
                </w:tcPr>
                <w:p w14:paraId="45BAE1E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673" w:type="pct"/>
                  <w:vMerge w:val="continue"/>
                  <w:vAlign w:val="center"/>
                </w:tcPr>
                <w:p w14:paraId="05D19C4E">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425" w:type="pct"/>
                  <w:vMerge w:val="continue"/>
                  <w:vAlign w:val="center"/>
                </w:tcPr>
                <w:p w14:paraId="4C88431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81" w:type="pct"/>
                  <w:vMerge w:val="continue"/>
                  <w:vAlign w:val="center"/>
                </w:tcPr>
                <w:p w14:paraId="52F6DCF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743ED93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79880C4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Merge w:val="continue"/>
                  <w:vAlign w:val="center"/>
                </w:tcPr>
                <w:p w14:paraId="3478C96B">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Align w:val="center"/>
                </w:tcPr>
                <w:p w14:paraId="3E63085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H</w:t>
                  </w:r>
                  <w:r>
                    <w:rPr>
                      <w:rFonts w:hint="eastAsia" w:ascii="Times New Roman" w:hAnsi="Times New Roman"/>
                      <w:color w:val="auto"/>
                      <w:szCs w:val="21"/>
                      <w:vertAlign w:val="subscript"/>
                    </w:rPr>
                    <w:t>2</w:t>
                  </w:r>
                  <w:r>
                    <w:rPr>
                      <w:rFonts w:hint="eastAsia" w:ascii="Times New Roman" w:hAnsi="Times New Roman"/>
                      <w:color w:val="auto"/>
                      <w:szCs w:val="21"/>
                    </w:rPr>
                    <w:t>S</w:t>
                  </w:r>
                </w:p>
              </w:tc>
              <w:tc>
                <w:tcPr>
                  <w:tcW w:w="734" w:type="pct"/>
                  <w:gridSpan w:val="2"/>
                  <w:vMerge w:val="continue"/>
                  <w:vAlign w:val="center"/>
                </w:tcPr>
                <w:p w14:paraId="0FDA5A0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673" w:type="pct"/>
                  <w:vMerge w:val="continue"/>
                  <w:vAlign w:val="center"/>
                </w:tcPr>
                <w:p w14:paraId="506E5D1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425" w:type="pct"/>
                  <w:vMerge w:val="continue"/>
                  <w:vAlign w:val="center"/>
                </w:tcPr>
                <w:p w14:paraId="61E327A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81" w:type="pct"/>
                  <w:vMerge w:val="continue"/>
                  <w:vAlign w:val="center"/>
                </w:tcPr>
                <w:p w14:paraId="3CB31AE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2994B82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490915F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Merge w:val="continue"/>
                  <w:vAlign w:val="center"/>
                </w:tcPr>
                <w:p w14:paraId="16998545">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Align w:val="center"/>
                </w:tcPr>
                <w:p w14:paraId="6AE70E09">
                  <w:pPr>
                    <w:pStyle w:val="169"/>
                    <w:keepNext w:val="0"/>
                    <w:keepLines w:val="0"/>
                    <w:widowControl w:val="0"/>
                    <w:suppressLineNumbers w:val="0"/>
                    <w:snapToGrid w:val="0"/>
                    <w:spacing w:before="0" w:beforeAutospacing="0" w:after="0" w:afterAutospacing="0" w:line="320" w:lineRule="exact"/>
                    <w:ind w:left="0" w:right="0"/>
                    <w:rPr>
                      <w:rFonts w:hint="eastAsia" w:ascii="Times New Roman" w:hAnsi="Times New Roman" w:eastAsia="仿宋_GB2312"/>
                      <w:color w:val="auto"/>
                      <w:szCs w:val="21"/>
                      <w:lang w:eastAsia="zh-CN"/>
                    </w:rPr>
                  </w:pPr>
                  <w:r>
                    <w:rPr>
                      <w:rFonts w:hint="eastAsia" w:ascii="Times New Roman" w:hAnsi="Times New Roman"/>
                      <w:color w:val="auto"/>
                      <w:szCs w:val="21"/>
                      <w:lang w:eastAsia="zh-CN"/>
                    </w:rPr>
                    <w:t>臭气浓度</w:t>
                  </w:r>
                </w:p>
              </w:tc>
              <w:tc>
                <w:tcPr>
                  <w:tcW w:w="734" w:type="pct"/>
                  <w:gridSpan w:val="2"/>
                  <w:vMerge w:val="continue"/>
                  <w:vAlign w:val="center"/>
                </w:tcPr>
                <w:p w14:paraId="3B8652A0">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673" w:type="pct"/>
                  <w:vMerge w:val="continue"/>
                  <w:vAlign w:val="center"/>
                </w:tcPr>
                <w:p w14:paraId="73F146DB">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425" w:type="pct"/>
                  <w:vMerge w:val="continue"/>
                  <w:vAlign w:val="center"/>
                </w:tcPr>
                <w:p w14:paraId="3C83BAB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81" w:type="pct"/>
                  <w:vMerge w:val="continue"/>
                  <w:vAlign w:val="center"/>
                </w:tcPr>
                <w:p w14:paraId="7E0A214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193A919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7B7EFC9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Merge w:val="continue"/>
                  <w:vAlign w:val="center"/>
                </w:tcPr>
                <w:p w14:paraId="21E0F2D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Align w:val="center"/>
                </w:tcPr>
                <w:p w14:paraId="7A4A3B82">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szCs w:val="21"/>
                    </w:rPr>
                    <w:t>HCl</w:t>
                  </w:r>
                </w:p>
              </w:tc>
              <w:tc>
                <w:tcPr>
                  <w:tcW w:w="734" w:type="pct"/>
                  <w:gridSpan w:val="2"/>
                  <w:vMerge w:val="continue"/>
                  <w:vAlign w:val="center"/>
                </w:tcPr>
                <w:p w14:paraId="2B1FBD0F">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673" w:type="pct"/>
                  <w:vMerge w:val="continue"/>
                  <w:vAlign w:val="center"/>
                </w:tcPr>
                <w:p w14:paraId="798FB2CD">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425" w:type="pct"/>
                  <w:vMerge w:val="continue"/>
                  <w:vAlign w:val="center"/>
                </w:tcPr>
                <w:p w14:paraId="2AB9C6D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81" w:type="pct"/>
                  <w:vMerge w:val="continue"/>
                  <w:vAlign w:val="center"/>
                </w:tcPr>
                <w:p w14:paraId="01C2AC1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24F0D24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62DF30D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Merge w:val="restart"/>
                  <w:vAlign w:val="center"/>
                </w:tcPr>
                <w:p w14:paraId="169B93E2">
                  <w:pPr>
                    <w:keepNext w:val="0"/>
                    <w:keepLines w:val="0"/>
                    <w:suppressLineNumbers w:val="0"/>
                    <w:spacing w:before="0" w:beforeAutospacing="0" w:after="0" w:afterAutospacing="0" w:line="320" w:lineRule="exact"/>
                    <w:ind w:left="0" w:right="0"/>
                    <w:jc w:val="center"/>
                    <w:rPr>
                      <w:rFonts w:hint="default" w:ascii="Times New Roman" w:hAnsi="Times New Roman"/>
                      <w:color w:val="auto"/>
                      <w:kern w:val="0"/>
                      <w:sz w:val="21"/>
                    </w:rPr>
                  </w:pPr>
                  <w:r>
                    <w:rPr>
                      <w:rFonts w:hint="eastAsia" w:ascii="Times New Roman" w:hAnsi="Times New Roman" w:eastAsia="仿宋_GB2312" w:cs="Times New Roman"/>
                      <w:color w:val="auto"/>
                      <w:kern w:val="2"/>
                      <w:sz w:val="21"/>
                      <w:szCs w:val="21"/>
                      <w:lang w:val="en-US" w:eastAsia="zh-CN" w:bidi="ar-SA"/>
                    </w:rPr>
                    <w:t>燃气蒸汽发生器</w:t>
                  </w:r>
                </w:p>
              </w:tc>
              <w:tc>
                <w:tcPr>
                  <w:tcW w:w="682" w:type="pct"/>
                  <w:vAlign w:val="center"/>
                </w:tcPr>
                <w:p w14:paraId="0172B0E7">
                  <w:pPr>
                    <w:keepNext w:val="0"/>
                    <w:keepLines w:val="0"/>
                    <w:suppressLineNumbers w:val="0"/>
                    <w:spacing w:before="0" w:beforeAutospacing="0" w:after="0" w:afterAutospacing="0" w:line="320" w:lineRule="exact"/>
                    <w:ind w:left="0" w:right="0"/>
                    <w:jc w:val="center"/>
                    <w:rPr>
                      <w:rFonts w:hint="default" w:ascii="Times New Roman" w:hAnsi="Times New Roman"/>
                      <w:color w:val="auto"/>
                      <w:kern w:val="0"/>
                      <w:sz w:val="21"/>
                    </w:rPr>
                  </w:pPr>
                  <w:r>
                    <w:rPr>
                      <w:rFonts w:hint="default" w:ascii="Times New Roman" w:hAnsi="Times New Roman"/>
                      <w:color w:val="auto"/>
                      <w:sz w:val="21"/>
                    </w:rPr>
                    <w:t>SO</w:t>
                  </w:r>
                  <w:r>
                    <w:rPr>
                      <w:rFonts w:hint="default" w:ascii="Times New Roman" w:hAnsi="Times New Roman"/>
                      <w:color w:val="auto"/>
                      <w:sz w:val="21"/>
                      <w:vertAlign w:val="subscript"/>
                    </w:rPr>
                    <w:t>2</w:t>
                  </w:r>
                </w:p>
              </w:tc>
              <w:tc>
                <w:tcPr>
                  <w:tcW w:w="734" w:type="pct"/>
                  <w:gridSpan w:val="2"/>
                  <w:vMerge w:val="restart"/>
                  <w:vAlign w:val="center"/>
                </w:tcPr>
                <w:p w14:paraId="397C2885">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lang w:val="en-US"/>
                    </w:rPr>
                  </w:pPr>
                  <w:r>
                    <w:rPr>
                      <w:rFonts w:hint="eastAsia" w:ascii="Times New Roman" w:hAnsi="Times New Roman"/>
                      <w:color w:val="auto"/>
                      <w:szCs w:val="21"/>
                      <w:lang w:val="en-US"/>
                    </w:rPr>
                    <w:t>/</w:t>
                  </w:r>
                </w:p>
              </w:tc>
              <w:tc>
                <w:tcPr>
                  <w:tcW w:w="1673" w:type="pct"/>
                  <w:vMerge w:val="restart"/>
                  <w:vAlign w:val="center"/>
                </w:tcPr>
                <w:p w14:paraId="12270AA2">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lang w:val="en-US"/>
                    </w:rPr>
                  </w:pPr>
                  <w:r>
                    <w:rPr>
                      <w:rFonts w:hint="eastAsia" w:ascii="Times New Roman" w:hAnsi="Times New Roman"/>
                      <w:color w:val="auto"/>
                      <w:szCs w:val="21"/>
                    </w:rPr>
                    <w:t>通过</w:t>
                  </w:r>
                  <w:r>
                    <w:rPr>
                      <w:rFonts w:hint="default" w:ascii="Times New Roman" w:hAnsi="Times New Roman"/>
                      <w:color w:val="auto"/>
                      <w:szCs w:val="21"/>
                    </w:rPr>
                    <w:t>15米高</w:t>
                  </w:r>
                  <w:r>
                    <w:rPr>
                      <w:rFonts w:hint="eastAsia" w:ascii="Times New Roman" w:hAnsi="Times New Roman"/>
                      <w:color w:val="auto"/>
                      <w:szCs w:val="21"/>
                      <w:lang w:val="en-US"/>
                    </w:rPr>
                    <w:t>3</w:t>
                  </w:r>
                  <w:r>
                    <w:rPr>
                      <w:rFonts w:hint="default" w:ascii="Times New Roman" w:hAnsi="Times New Roman"/>
                      <w:color w:val="auto"/>
                      <w:szCs w:val="21"/>
                    </w:rPr>
                    <w:t>#排气筒排放</w:t>
                  </w:r>
                  <w:r>
                    <w:rPr>
                      <w:rFonts w:hint="eastAsia" w:ascii="Times New Roman" w:hAnsi="Times New Roman"/>
                      <w:color w:val="auto"/>
                      <w:szCs w:val="21"/>
                    </w:rPr>
                    <w:t>。</w:t>
                  </w:r>
                </w:p>
              </w:tc>
              <w:tc>
                <w:tcPr>
                  <w:tcW w:w="425" w:type="pct"/>
                  <w:vMerge w:val="restart"/>
                  <w:vAlign w:val="center"/>
                </w:tcPr>
                <w:p w14:paraId="75C6CA6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与本项目同步</w:t>
                  </w:r>
                </w:p>
              </w:tc>
              <w:tc>
                <w:tcPr>
                  <w:tcW w:w="381" w:type="pct"/>
                  <w:vMerge w:val="continue"/>
                  <w:vAlign w:val="center"/>
                </w:tcPr>
                <w:p w14:paraId="6FAFF47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0D6D993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47CC0B8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Merge w:val="continue"/>
                  <w:vAlign w:val="center"/>
                </w:tcPr>
                <w:p w14:paraId="703E9F80">
                  <w:pPr>
                    <w:keepNext w:val="0"/>
                    <w:keepLines w:val="0"/>
                    <w:suppressLineNumbers w:val="0"/>
                    <w:spacing w:before="0" w:beforeAutospacing="0" w:after="0" w:afterAutospacing="0" w:line="320" w:lineRule="exact"/>
                    <w:ind w:left="0" w:right="0"/>
                    <w:jc w:val="center"/>
                    <w:rPr>
                      <w:rFonts w:hint="default" w:ascii="Times New Roman" w:hAnsi="Times New Roman"/>
                      <w:color w:val="auto"/>
                      <w:sz w:val="21"/>
                    </w:rPr>
                  </w:pPr>
                </w:p>
              </w:tc>
              <w:tc>
                <w:tcPr>
                  <w:tcW w:w="682" w:type="pct"/>
                  <w:vAlign w:val="center"/>
                </w:tcPr>
                <w:p w14:paraId="678BBD35">
                  <w:pPr>
                    <w:keepNext w:val="0"/>
                    <w:keepLines w:val="0"/>
                    <w:suppressLineNumbers w:val="0"/>
                    <w:spacing w:before="0" w:beforeAutospacing="0" w:after="0" w:afterAutospacing="0" w:line="320" w:lineRule="exact"/>
                    <w:ind w:left="0" w:right="0"/>
                    <w:jc w:val="center"/>
                    <w:rPr>
                      <w:rFonts w:hint="default" w:ascii="Times New Roman" w:hAnsi="Times New Roman"/>
                      <w:color w:val="auto"/>
                      <w:sz w:val="21"/>
                    </w:rPr>
                  </w:pPr>
                  <w:r>
                    <w:rPr>
                      <w:rFonts w:hint="default" w:ascii="Times New Roman" w:hAnsi="Times New Roman"/>
                      <w:color w:val="auto"/>
                      <w:sz w:val="21"/>
                    </w:rPr>
                    <w:t>NO</w:t>
                  </w:r>
                  <w:r>
                    <w:rPr>
                      <w:rFonts w:hint="default" w:ascii="Times New Roman" w:hAnsi="Times New Roman"/>
                      <w:color w:val="auto"/>
                      <w:sz w:val="21"/>
                      <w:vertAlign w:val="subscript"/>
                    </w:rPr>
                    <w:t>X</w:t>
                  </w:r>
                </w:p>
              </w:tc>
              <w:tc>
                <w:tcPr>
                  <w:tcW w:w="734" w:type="pct"/>
                  <w:gridSpan w:val="2"/>
                  <w:vMerge w:val="continue"/>
                  <w:vAlign w:val="center"/>
                </w:tcPr>
                <w:p w14:paraId="7105D687">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673" w:type="pct"/>
                  <w:vMerge w:val="continue"/>
                  <w:vAlign w:val="center"/>
                </w:tcPr>
                <w:p w14:paraId="77CE256E">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425" w:type="pct"/>
                  <w:vMerge w:val="continue"/>
                  <w:vAlign w:val="center"/>
                </w:tcPr>
                <w:p w14:paraId="6F373A7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81" w:type="pct"/>
                  <w:vMerge w:val="continue"/>
                  <w:vAlign w:val="center"/>
                </w:tcPr>
                <w:p w14:paraId="12F5515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0B229CD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5C88A7A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682" w:type="pct"/>
                  <w:vMerge w:val="continue"/>
                  <w:vAlign w:val="center"/>
                </w:tcPr>
                <w:p w14:paraId="3BCE76BE">
                  <w:pPr>
                    <w:keepNext w:val="0"/>
                    <w:keepLines w:val="0"/>
                    <w:suppressLineNumbers w:val="0"/>
                    <w:spacing w:before="0" w:beforeAutospacing="0" w:after="0" w:afterAutospacing="0" w:line="320" w:lineRule="exact"/>
                    <w:ind w:left="0" w:right="0"/>
                    <w:jc w:val="center"/>
                    <w:rPr>
                      <w:rFonts w:hint="default" w:ascii="Times New Roman" w:hAnsi="Times New Roman"/>
                      <w:color w:val="auto"/>
                      <w:sz w:val="21"/>
                    </w:rPr>
                  </w:pPr>
                </w:p>
              </w:tc>
              <w:tc>
                <w:tcPr>
                  <w:tcW w:w="682" w:type="pct"/>
                  <w:vAlign w:val="center"/>
                </w:tcPr>
                <w:p w14:paraId="7E54C2BA">
                  <w:pPr>
                    <w:keepNext w:val="0"/>
                    <w:keepLines w:val="0"/>
                    <w:suppressLineNumbers w:val="0"/>
                    <w:spacing w:before="0" w:beforeAutospacing="0" w:after="0" w:afterAutospacing="0" w:line="320" w:lineRule="exact"/>
                    <w:ind w:left="0" w:right="0"/>
                    <w:jc w:val="center"/>
                    <w:rPr>
                      <w:rFonts w:hint="default" w:ascii="Times New Roman" w:hAnsi="Times New Roman"/>
                      <w:color w:val="auto"/>
                      <w:sz w:val="21"/>
                    </w:rPr>
                  </w:pPr>
                  <w:r>
                    <w:rPr>
                      <w:rFonts w:hint="eastAsia" w:ascii="Times New Roman" w:hAnsi="Times New Roman"/>
                      <w:color w:val="auto"/>
                      <w:sz w:val="21"/>
                    </w:rPr>
                    <w:t>颗粒物</w:t>
                  </w:r>
                </w:p>
              </w:tc>
              <w:tc>
                <w:tcPr>
                  <w:tcW w:w="734" w:type="pct"/>
                  <w:gridSpan w:val="2"/>
                  <w:vMerge w:val="continue"/>
                  <w:vAlign w:val="center"/>
                </w:tcPr>
                <w:p w14:paraId="63D32920">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673" w:type="pct"/>
                  <w:vMerge w:val="continue"/>
                  <w:vAlign w:val="center"/>
                </w:tcPr>
                <w:p w14:paraId="3D678EB0">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425" w:type="pct"/>
                  <w:vMerge w:val="continue"/>
                  <w:vAlign w:val="center"/>
                </w:tcPr>
                <w:p w14:paraId="53B1B08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81" w:type="pct"/>
                  <w:vMerge w:val="continue"/>
                  <w:vAlign w:val="center"/>
                </w:tcPr>
                <w:p w14:paraId="74DE338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0722BA0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restart"/>
                  <w:vAlign w:val="center"/>
                </w:tcPr>
                <w:p w14:paraId="72681EA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废水</w:t>
                  </w:r>
                </w:p>
              </w:tc>
              <w:tc>
                <w:tcPr>
                  <w:tcW w:w="1365" w:type="pct"/>
                  <w:gridSpan w:val="2"/>
                  <w:vAlign w:val="center"/>
                </w:tcPr>
                <w:p w14:paraId="4E2E0F9A">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rPr>
                    <w:t>生活污水</w:t>
                  </w:r>
                  <w:r>
                    <w:rPr>
                      <w:rFonts w:hint="eastAsia" w:ascii="Times New Roman" w:hAnsi="Times New Roman"/>
                      <w:color w:val="auto"/>
                      <w:lang w:val="en-US"/>
                    </w:rPr>
                    <w:t>和纯水制备过程中产生浓水</w:t>
                  </w:r>
                </w:p>
              </w:tc>
              <w:tc>
                <w:tcPr>
                  <w:tcW w:w="734" w:type="pct"/>
                  <w:gridSpan w:val="2"/>
                  <w:vAlign w:val="center"/>
                </w:tcPr>
                <w:p w14:paraId="560F7E2E">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color w:val="auto"/>
                    </w:rPr>
                    <w:t>/</w:t>
                  </w:r>
                </w:p>
              </w:tc>
              <w:tc>
                <w:tcPr>
                  <w:tcW w:w="1673" w:type="pct"/>
                  <w:vAlign w:val="center"/>
                </w:tcPr>
                <w:p w14:paraId="4A11F0C0">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hAnsi="Times New Roman"/>
                      <w:color w:val="auto"/>
                    </w:rPr>
                    <w:t>达标接管至</w:t>
                  </w:r>
                  <w:r>
                    <w:rPr>
                      <w:rFonts w:hint="eastAsia" w:ascii="Times New Roman" w:hAnsi="Times New Roman"/>
                      <w:color w:val="auto"/>
                    </w:rPr>
                    <w:t>常州金坛区第二污水处理有限公司</w:t>
                  </w:r>
                  <w:r>
                    <w:rPr>
                      <w:rFonts w:hint="default" w:hAnsi="Times New Roman"/>
                      <w:color w:val="auto"/>
                    </w:rPr>
                    <w:t>处理</w:t>
                  </w:r>
                  <w:r>
                    <w:rPr>
                      <w:rFonts w:hint="eastAsia" w:hAnsi="Times New Roman"/>
                      <w:color w:val="auto"/>
                    </w:rPr>
                    <w:t>。</w:t>
                  </w:r>
                </w:p>
              </w:tc>
              <w:tc>
                <w:tcPr>
                  <w:tcW w:w="425" w:type="pct"/>
                  <w:vAlign w:val="center"/>
                </w:tcPr>
                <w:p w14:paraId="60256EB0">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Align w:val="center"/>
                </w:tcPr>
                <w:p w14:paraId="53305B0F">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达标排放</w:t>
                  </w:r>
                </w:p>
              </w:tc>
            </w:tr>
            <w:tr w14:paraId="7831EC9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04CD925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1365" w:type="pct"/>
                  <w:gridSpan w:val="2"/>
                  <w:vAlign w:val="center"/>
                </w:tcPr>
                <w:p w14:paraId="6855024C">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rPr>
                    <w:t>工艺废水、设备清洗废水、地面清洁废水、洗衣废水、废气喷淋废水、质检区废水、循环冷却系统排水</w:t>
                  </w:r>
                </w:p>
              </w:tc>
              <w:tc>
                <w:tcPr>
                  <w:tcW w:w="734" w:type="pct"/>
                  <w:gridSpan w:val="2"/>
                  <w:vAlign w:val="center"/>
                </w:tcPr>
                <w:p w14:paraId="40CE1355">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default"/>
                      <w:color w:val="auto"/>
                    </w:rPr>
                    <w:t>厂区污水站</w:t>
                  </w:r>
                </w:p>
              </w:tc>
              <w:tc>
                <w:tcPr>
                  <w:tcW w:w="1673" w:type="pct"/>
                  <w:vAlign w:val="center"/>
                </w:tcPr>
                <w:p w14:paraId="14297D44">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default"/>
                      <w:color w:val="auto"/>
                    </w:rPr>
                    <w:t>厂区污水站处理后回用至循环冷却系统补水</w:t>
                  </w:r>
                  <w:r>
                    <w:rPr>
                      <w:rFonts w:hint="eastAsia"/>
                      <w:color w:val="auto"/>
                    </w:rPr>
                    <w:t>，</w:t>
                  </w:r>
                  <w:r>
                    <w:rPr>
                      <w:rFonts w:hint="eastAsia"/>
                      <w:color w:val="auto"/>
                      <w:lang w:val="en-US"/>
                    </w:rPr>
                    <w:t>不外排</w:t>
                  </w:r>
                  <w:r>
                    <w:rPr>
                      <w:rFonts w:hint="eastAsia"/>
                      <w:color w:val="auto"/>
                    </w:rPr>
                    <w:t>。</w:t>
                  </w:r>
                </w:p>
              </w:tc>
              <w:tc>
                <w:tcPr>
                  <w:tcW w:w="425" w:type="pct"/>
                  <w:vAlign w:val="center"/>
                </w:tcPr>
                <w:p w14:paraId="2ACB7939">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Align w:val="center"/>
                </w:tcPr>
                <w:p w14:paraId="7F5BDAB5">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lang w:val="en-US"/>
                    </w:rPr>
                    <w:t>达标</w:t>
                  </w:r>
                  <w:r>
                    <w:rPr>
                      <w:rFonts w:hint="eastAsia" w:ascii="Times New Roman" w:hAnsi="Times New Roman"/>
                      <w:color w:val="auto"/>
                      <w:szCs w:val="21"/>
                    </w:rPr>
                    <w:t>回用</w:t>
                  </w:r>
                </w:p>
              </w:tc>
            </w:tr>
            <w:tr w14:paraId="2D079F0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Align w:val="center"/>
                </w:tcPr>
                <w:p w14:paraId="7B02CDA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噪声</w:t>
                  </w:r>
                </w:p>
              </w:tc>
              <w:tc>
                <w:tcPr>
                  <w:tcW w:w="1365" w:type="pct"/>
                  <w:gridSpan w:val="2"/>
                  <w:vAlign w:val="center"/>
                </w:tcPr>
                <w:p w14:paraId="42BF4CD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引风机、冷却塔、空压机组</w:t>
                  </w:r>
                  <w:r>
                    <w:rPr>
                      <w:rFonts w:hint="eastAsia" w:ascii="Times New Roman" w:hAnsi="Times New Roman"/>
                      <w:color w:val="auto"/>
                      <w:szCs w:val="21"/>
                      <w:lang w:val="en-US"/>
                    </w:rPr>
                    <w:t>和制冷机组</w:t>
                  </w:r>
                  <w:r>
                    <w:rPr>
                      <w:rFonts w:hint="eastAsia" w:ascii="Times New Roman" w:hAnsi="Times New Roman"/>
                      <w:color w:val="auto"/>
                      <w:szCs w:val="21"/>
                    </w:rPr>
                    <w:t>等</w:t>
                  </w:r>
                </w:p>
              </w:tc>
              <w:tc>
                <w:tcPr>
                  <w:tcW w:w="734" w:type="pct"/>
                  <w:gridSpan w:val="2"/>
                  <w:vAlign w:val="center"/>
                </w:tcPr>
                <w:p w14:paraId="3C26516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w:t>
                  </w:r>
                </w:p>
              </w:tc>
              <w:tc>
                <w:tcPr>
                  <w:tcW w:w="1673" w:type="pct"/>
                  <w:vAlign w:val="center"/>
                </w:tcPr>
                <w:p w14:paraId="4D645A8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kern w:val="2"/>
                      <w:szCs w:val="21"/>
                      <w:lang w:val="en-US"/>
                    </w:rPr>
                    <w:t>减振、隔声等装置。</w:t>
                  </w:r>
                </w:p>
              </w:tc>
              <w:tc>
                <w:tcPr>
                  <w:tcW w:w="425" w:type="pct"/>
                  <w:vAlign w:val="center"/>
                </w:tcPr>
                <w:p w14:paraId="73CB789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Align w:val="center"/>
                </w:tcPr>
                <w:p w14:paraId="78103DF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厂界噪声达标</w:t>
                  </w:r>
                </w:p>
              </w:tc>
            </w:tr>
            <w:tr w14:paraId="790F2B6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cantSplit/>
                <w:trHeight w:val="340" w:hRule="atLeast"/>
                <w:jc w:val="center"/>
              </w:trPr>
              <w:tc>
                <w:tcPr>
                  <w:tcW w:w="419" w:type="pct"/>
                  <w:vAlign w:val="center"/>
                </w:tcPr>
                <w:p w14:paraId="42556ED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地下水、土壤</w:t>
                  </w:r>
                </w:p>
              </w:tc>
              <w:tc>
                <w:tcPr>
                  <w:tcW w:w="1365" w:type="pct"/>
                  <w:gridSpan w:val="2"/>
                  <w:vAlign w:val="center"/>
                </w:tcPr>
                <w:p w14:paraId="68E66E9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w:t>
                  </w:r>
                </w:p>
              </w:tc>
              <w:tc>
                <w:tcPr>
                  <w:tcW w:w="734" w:type="pct"/>
                  <w:gridSpan w:val="2"/>
                  <w:vAlign w:val="center"/>
                </w:tcPr>
                <w:p w14:paraId="01C7D72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w:t>
                  </w:r>
                </w:p>
              </w:tc>
              <w:tc>
                <w:tcPr>
                  <w:tcW w:w="1673" w:type="pct"/>
                  <w:vAlign w:val="center"/>
                </w:tcPr>
                <w:p w14:paraId="67B5A9F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防腐、</w:t>
                  </w:r>
                  <w:r>
                    <w:rPr>
                      <w:rFonts w:hint="default" w:ascii="Times New Roman" w:hAnsi="Times New Roman"/>
                      <w:color w:val="auto"/>
                      <w:szCs w:val="21"/>
                    </w:rPr>
                    <w:t>防渗、防漏，监控系统等</w:t>
                  </w:r>
                  <w:r>
                    <w:rPr>
                      <w:rFonts w:hint="eastAsia" w:ascii="Times New Roman" w:hAnsi="Times New Roman"/>
                      <w:color w:val="auto"/>
                      <w:szCs w:val="21"/>
                    </w:rPr>
                    <w:t>。</w:t>
                  </w:r>
                </w:p>
              </w:tc>
              <w:tc>
                <w:tcPr>
                  <w:tcW w:w="425" w:type="pct"/>
                  <w:vAlign w:val="center"/>
                </w:tcPr>
                <w:p w14:paraId="678D0FD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Align w:val="center"/>
                </w:tcPr>
                <w:p w14:paraId="5B88049C">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源头控制地下水及土壤污染</w:t>
                  </w:r>
                </w:p>
              </w:tc>
            </w:tr>
            <w:tr w14:paraId="381BED2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restart"/>
                  <w:vAlign w:val="center"/>
                </w:tcPr>
                <w:p w14:paraId="07B35D0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固废</w:t>
                  </w:r>
                </w:p>
              </w:tc>
              <w:tc>
                <w:tcPr>
                  <w:tcW w:w="1365" w:type="pct"/>
                  <w:gridSpan w:val="2"/>
                  <w:vAlign w:val="center"/>
                </w:tcPr>
                <w:p w14:paraId="6DD71863">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lang w:val="en-US"/>
                    </w:rPr>
                  </w:pPr>
                  <w:r>
                    <w:rPr>
                      <w:rFonts w:hint="eastAsia" w:ascii="Times New Roman" w:hAnsi="Times New Roman"/>
                      <w:color w:val="auto"/>
                    </w:rPr>
                    <w:t>沾染危险化学品的废包装材料、车间清洁废物、废矿物油、废树脂、废陶瓷膜、废超滤、纳滤膜、废活性炭、</w:t>
                  </w:r>
                  <w:r>
                    <w:rPr>
                      <w:rFonts w:hint="eastAsia" w:ascii="Times New Roman" w:hAnsi="Times New Roman"/>
                      <w:color w:val="auto"/>
                      <w:lang w:val="en-US"/>
                    </w:rPr>
                    <w:t>污泥</w:t>
                  </w:r>
                </w:p>
              </w:tc>
              <w:tc>
                <w:tcPr>
                  <w:tcW w:w="734" w:type="pct"/>
                  <w:gridSpan w:val="2"/>
                  <w:vMerge w:val="restart"/>
                  <w:vAlign w:val="center"/>
                </w:tcPr>
                <w:p w14:paraId="4E1ACEF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固废分类收集储存设施</w:t>
                  </w:r>
                </w:p>
              </w:tc>
              <w:tc>
                <w:tcPr>
                  <w:tcW w:w="1673" w:type="pct"/>
                  <w:vAlign w:val="center"/>
                </w:tcPr>
                <w:p w14:paraId="15222AB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委托有资质单位处置。</w:t>
                  </w:r>
                </w:p>
              </w:tc>
              <w:tc>
                <w:tcPr>
                  <w:tcW w:w="425" w:type="pct"/>
                  <w:vMerge w:val="restart"/>
                  <w:vAlign w:val="center"/>
                </w:tcPr>
                <w:p w14:paraId="6BF1123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Merge w:val="restart"/>
                  <w:vAlign w:val="center"/>
                </w:tcPr>
                <w:p w14:paraId="6ED74C3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固废零排放</w:t>
                  </w:r>
                </w:p>
              </w:tc>
            </w:tr>
            <w:tr w14:paraId="31D1D0D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25ED889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1365" w:type="pct"/>
                  <w:gridSpan w:val="2"/>
                  <w:vAlign w:val="center"/>
                </w:tcPr>
                <w:p w14:paraId="52580971">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rPr>
                  </w:pPr>
                  <w:r>
                    <w:rPr>
                      <w:rFonts w:hint="eastAsia" w:ascii="Times New Roman" w:hAnsi="Times New Roman"/>
                      <w:color w:val="auto"/>
                    </w:rPr>
                    <w:t>为沾染危险化学品的实验室废物、浓缩菌液、废胶囊、</w:t>
                  </w:r>
                  <w:r>
                    <w:rPr>
                      <w:rFonts w:hint="eastAsia" w:ascii="Times New Roman" w:hAnsi="Times New Roman"/>
                      <w:color w:val="auto"/>
                      <w:lang w:val="en-US"/>
                    </w:rPr>
                    <w:t>纯水制备产生的废活性炭、滤膜、废滤芯、废离子交换树脂</w:t>
                  </w:r>
                </w:p>
              </w:tc>
              <w:tc>
                <w:tcPr>
                  <w:tcW w:w="734" w:type="pct"/>
                  <w:gridSpan w:val="2"/>
                  <w:vMerge w:val="continue"/>
                  <w:vAlign w:val="center"/>
                </w:tcPr>
                <w:p w14:paraId="339ACC7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673" w:type="pct"/>
                  <w:vAlign w:val="center"/>
                </w:tcPr>
                <w:p w14:paraId="150F58EB">
                  <w:pPr>
                    <w:pStyle w:val="169"/>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lang w:val="en-US"/>
                    </w:rPr>
                  </w:pPr>
                  <w:r>
                    <w:rPr>
                      <w:rFonts w:hint="eastAsia" w:ascii="Times New Roman" w:hAnsi="Times New Roman"/>
                      <w:color w:val="auto"/>
                    </w:rPr>
                    <w:t>作为一般固废委</w:t>
                  </w:r>
                  <w:r>
                    <w:rPr>
                      <w:rFonts w:hint="eastAsia" w:ascii="Times New Roman" w:hAnsi="Times New Roman"/>
                      <w:color w:val="auto"/>
                      <w:lang w:val="en-US"/>
                    </w:rPr>
                    <w:t>外处置。</w:t>
                  </w:r>
                </w:p>
              </w:tc>
              <w:tc>
                <w:tcPr>
                  <w:tcW w:w="425" w:type="pct"/>
                  <w:vMerge w:val="continue"/>
                  <w:vAlign w:val="center"/>
                </w:tcPr>
                <w:p w14:paraId="018FF34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81" w:type="pct"/>
                  <w:vMerge w:val="continue"/>
                  <w:vAlign w:val="center"/>
                </w:tcPr>
                <w:p w14:paraId="71E8B09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0B8E950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57DA2B9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1365" w:type="pct"/>
                  <w:gridSpan w:val="2"/>
                  <w:vAlign w:val="center"/>
                </w:tcPr>
                <w:p w14:paraId="12C69AA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生活垃圾</w:t>
                  </w:r>
                </w:p>
              </w:tc>
              <w:tc>
                <w:tcPr>
                  <w:tcW w:w="734" w:type="pct"/>
                  <w:gridSpan w:val="2"/>
                  <w:vMerge w:val="continue"/>
                  <w:vAlign w:val="center"/>
                </w:tcPr>
                <w:p w14:paraId="79DD7E6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1673" w:type="pct"/>
                  <w:vAlign w:val="center"/>
                </w:tcPr>
                <w:p w14:paraId="14A98C7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r>
                    <w:rPr>
                      <w:rFonts w:hint="eastAsia" w:ascii="Times New Roman" w:hAnsi="Times New Roman"/>
                      <w:color w:val="auto"/>
                      <w:szCs w:val="21"/>
                    </w:rPr>
                    <w:t>环卫部门统一收集清运。</w:t>
                  </w:r>
                </w:p>
              </w:tc>
              <w:tc>
                <w:tcPr>
                  <w:tcW w:w="425" w:type="pct"/>
                  <w:vMerge w:val="continue"/>
                  <w:vAlign w:val="center"/>
                </w:tcPr>
                <w:p w14:paraId="62089F5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81" w:type="pct"/>
                  <w:vMerge w:val="continue"/>
                  <w:vAlign w:val="center"/>
                </w:tcPr>
                <w:p w14:paraId="4C06FFE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54C3C56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Align w:val="center"/>
                </w:tcPr>
                <w:p w14:paraId="26584E3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排污口</w:t>
                  </w:r>
                </w:p>
              </w:tc>
              <w:tc>
                <w:tcPr>
                  <w:tcW w:w="1365" w:type="pct"/>
                  <w:gridSpan w:val="2"/>
                  <w:vAlign w:val="center"/>
                </w:tcPr>
                <w:p w14:paraId="194974E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w:t>
                  </w:r>
                </w:p>
              </w:tc>
              <w:tc>
                <w:tcPr>
                  <w:tcW w:w="734" w:type="pct"/>
                  <w:gridSpan w:val="2"/>
                  <w:vAlign w:val="center"/>
                </w:tcPr>
                <w:p w14:paraId="51E1F05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排污口设置</w:t>
                  </w:r>
                </w:p>
              </w:tc>
              <w:tc>
                <w:tcPr>
                  <w:tcW w:w="1673" w:type="pct"/>
                  <w:vAlign w:val="center"/>
                </w:tcPr>
                <w:p w14:paraId="2C58269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规范化设置计量装置、采样口</w:t>
                  </w:r>
                  <w:r>
                    <w:rPr>
                      <w:rFonts w:hint="eastAsia" w:ascii="Times New Roman" w:hAnsi="Times New Roman"/>
                      <w:color w:val="auto"/>
                      <w:szCs w:val="21"/>
                      <w:lang w:val="en-US"/>
                    </w:rPr>
                    <w:t>和</w:t>
                  </w:r>
                  <w:r>
                    <w:rPr>
                      <w:rFonts w:hint="eastAsia" w:ascii="Times New Roman" w:hAnsi="Times New Roman"/>
                      <w:color w:val="auto"/>
                      <w:szCs w:val="21"/>
                    </w:rPr>
                    <w:t>截流阀。</w:t>
                  </w:r>
                </w:p>
              </w:tc>
              <w:tc>
                <w:tcPr>
                  <w:tcW w:w="425" w:type="pct"/>
                  <w:vAlign w:val="center"/>
                </w:tcPr>
                <w:p w14:paraId="022E35A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Align w:val="center"/>
                </w:tcPr>
                <w:p w14:paraId="2BAFCE1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规范设置</w:t>
                  </w:r>
                </w:p>
              </w:tc>
            </w:tr>
            <w:tr w14:paraId="6A4A3E8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Align w:val="center"/>
                </w:tcPr>
                <w:p w14:paraId="3EA0E22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清污分流、管网建设</w:t>
                  </w:r>
                </w:p>
              </w:tc>
              <w:tc>
                <w:tcPr>
                  <w:tcW w:w="1365" w:type="pct"/>
                  <w:gridSpan w:val="2"/>
                  <w:vAlign w:val="center"/>
                </w:tcPr>
                <w:p w14:paraId="74D677C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w:t>
                  </w:r>
                </w:p>
              </w:tc>
              <w:tc>
                <w:tcPr>
                  <w:tcW w:w="734" w:type="pct"/>
                  <w:gridSpan w:val="2"/>
                  <w:vAlign w:val="center"/>
                </w:tcPr>
                <w:p w14:paraId="41DF552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清污分流管网</w:t>
                  </w:r>
                </w:p>
              </w:tc>
              <w:tc>
                <w:tcPr>
                  <w:tcW w:w="1673" w:type="pct"/>
                  <w:vAlign w:val="center"/>
                </w:tcPr>
                <w:p w14:paraId="0DA4C1A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w:t>
                  </w:r>
                </w:p>
              </w:tc>
              <w:tc>
                <w:tcPr>
                  <w:tcW w:w="425" w:type="pct"/>
                  <w:vAlign w:val="center"/>
                </w:tcPr>
                <w:p w14:paraId="0201A92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Align w:val="center"/>
                </w:tcPr>
                <w:p w14:paraId="77C7EED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按清污分流原则收集废水</w:t>
                  </w:r>
                </w:p>
              </w:tc>
            </w:tr>
            <w:tr w14:paraId="29ED7AD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restart"/>
                  <w:vAlign w:val="center"/>
                </w:tcPr>
                <w:p w14:paraId="44BE6D9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风险措施</w:t>
                  </w:r>
                </w:p>
              </w:tc>
              <w:tc>
                <w:tcPr>
                  <w:tcW w:w="1365" w:type="pct"/>
                  <w:gridSpan w:val="2"/>
                  <w:vMerge w:val="restart"/>
                  <w:vAlign w:val="center"/>
                </w:tcPr>
                <w:p w14:paraId="53DFADB5">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w:t>
                  </w:r>
                </w:p>
              </w:tc>
              <w:tc>
                <w:tcPr>
                  <w:tcW w:w="314" w:type="pct"/>
                  <w:vMerge w:val="restart"/>
                  <w:vAlign w:val="center"/>
                </w:tcPr>
                <w:p w14:paraId="5D0D39CD">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环境风险防范措施</w:t>
                  </w:r>
                </w:p>
              </w:tc>
              <w:tc>
                <w:tcPr>
                  <w:tcW w:w="420" w:type="pct"/>
                  <w:vAlign w:val="center"/>
                </w:tcPr>
                <w:p w14:paraId="4BAD528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水环境风险防范措施</w:t>
                  </w:r>
                </w:p>
              </w:tc>
              <w:tc>
                <w:tcPr>
                  <w:tcW w:w="1673" w:type="pct"/>
                  <w:vAlign w:val="center"/>
                </w:tcPr>
                <w:p w14:paraId="0640E822">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依托</w:t>
                  </w:r>
                  <w:r>
                    <w:rPr>
                      <w:rFonts w:hint="eastAsia" w:ascii="Times New Roman" w:hAnsi="Times New Roman"/>
                      <w:color w:val="auto"/>
                      <w:szCs w:val="21"/>
                      <w:lang w:val="en-US" w:eastAsia="zh-CN"/>
                    </w:rPr>
                    <w:t>出租方</w:t>
                  </w:r>
                  <w:r>
                    <w:rPr>
                      <w:rFonts w:hint="eastAsia" w:ascii="Times New Roman" w:hAnsi="Times New Roman"/>
                      <w:color w:val="auto"/>
                      <w:szCs w:val="21"/>
                    </w:rPr>
                    <w:t>现有的两座事故应急池，容积各为4</w:t>
                  </w:r>
                  <w:r>
                    <w:rPr>
                      <w:rFonts w:hint="default" w:ascii="Times New Roman" w:hAnsi="Times New Roman"/>
                      <w:color w:val="auto"/>
                      <w:szCs w:val="21"/>
                    </w:rPr>
                    <w:t>00</w:t>
                  </w:r>
                  <w:r>
                    <w:rPr>
                      <w:rFonts w:hint="eastAsia" w:ascii="Times New Roman" w:hAnsi="Times New Roman"/>
                      <w:color w:val="auto"/>
                      <w:szCs w:val="21"/>
                    </w:rPr>
                    <w:t>m</w:t>
                  </w:r>
                  <w:r>
                    <w:rPr>
                      <w:rFonts w:hint="default" w:ascii="Times New Roman" w:hAnsi="Times New Roman"/>
                      <w:color w:val="auto"/>
                      <w:szCs w:val="21"/>
                      <w:vertAlign w:val="superscript"/>
                    </w:rPr>
                    <w:t>3</w:t>
                  </w:r>
                  <w:r>
                    <w:rPr>
                      <w:rFonts w:hint="eastAsia" w:ascii="Times New Roman" w:hAnsi="Times New Roman"/>
                      <w:color w:val="auto"/>
                      <w:szCs w:val="21"/>
                    </w:rPr>
                    <w:t>，</w:t>
                  </w:r>
                  <w:r>
                    <w:rPr>
                      <w:rFonts w:hint="eastAsia" w:ascii="Times New Roman" w:hAnsi="Times New Roman"/>
                      <w:color w:val="auto"/>
                      <w:szCs w:val="21"/>
                      <w:lang w:val="en-US"/>
                    </w:rPr>
                    <w:t>总容积为800</w:t>
                  </w:r>
                  <w:r>
                    <w:rPr>
                      <w:rFonts w:hint="eastAsia" w:ascii="Times New Roman" w:hAnsi="Times New Roman"/>
                      <w:color w:val="auto"/>
                      <w:szCs w:val="21"/>
                    </w:rPr>
                    <w:t>m</w:t>
                  </w:r>
                  <w:r>
                    <w:rPr>
                      <w:rFonts w:hint="default" w:ascii="Times New Roman" w:hAnsi="Times New Roman"/>
                      <w:color w:val="auto"/>
                      <w:szCs w:val="21"/>
                      <w:vertAlign w:val="superscript"/>
                    </w:rPr>
                    <w:t>3</w:t>
                  </w:r>
                  <w:r>
                    <w:rPr>
                      <w:rFonts w:hint="eastAsia" w:ascii="Times New Roman" w:hAnsi="Times New Roman"/>
                      <w:color w:val="auto"/>
                      <w:szCs w:val="21"/>
                    </w:rPr>
                    <w:t>。</w:t>
                  </w:r>
                </w:p>
              </w:tc>
              <w:tc>
                <w:tcPr>
                  <w:tcW w:w="425" w:type="pct"/>
                  <w:vAlign w:val="center"/>
                </w:tcPr>
                <w:p w14:paraId="41BDD01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依托</w:t>
                  </w:r>
                  <w:r>
                    <w:rPr>
                      <w:rFonts w:hint="eastAsia" w:ascii="Times New Roman" w:hAnsi="Times New Roman"/>
                      <w:color w:val="auto"/>
                      <w:szCs w:val="21"/>
                      <w:lang w:val="en-US" w:eastAsia="zh-CN"/>
                    </w:rPr>
                    <w:t>出租方</w:t>
                  </w:r>
                  <w:r>
                    <w:rPr>
                      <w:rFonts w:hint="eastAsia" w:ascii="Times New Roman" w:hAnsi="Times New Roman"/>
                      <w:color w:val="auto"/>
                      <w:szCs w:val="21"/>
                    </w:rPr>
                    <w:t>原有</w:t>
                  </w:r>
                </w:p>
              </w:tc>
              <w:tc>
                <w:tcPr>
                  <w:tcW w:w="381" w:type="pct"/>
                  <w:vMerge w:val="restart"/>
                  <w:vAlign w:val="center"/>
                </w:tcPr>
                <w:p w14:paraId="4700971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风险防控、应急</w:t>
                  </w:r>
                </w:p>
              </w:tc>
            </w:tr>
            <w:tr w14:paraId="4D6AD0D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3DBFFACB">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1365" w:type="pct"/>
                  <w:gridSpan w:val="2"/>
                  <w:vMerge w:val="continue"/>
                  <w:vAlign w:val="center"/>
                </w:tcPr>
                <w:p w14:paraId="370E304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314" w:type="pct"/>
                  <w:vMerge w:val="continue"/>
                  <w:vAlign w:val="center"/>
                </w:tcPr>
                <w:p w14:paraId="0A5164F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420" w:type="pct"/>
                  <w:vAlign w:val="center"/>
                </w:tcPr>
                <w:p w14:paraId="14450E2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消防水</w:t>
                  </w:r>
                </w:p>
              </w:tc>
              <w:tc>
                <w:tcPr>
                  <w:tcW w:w="1673" w:type="pct"/>
                  <w:vAlign w:val="center"/>
                </w:tcPr>
                <w:p w14:paraId="57BBEDD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default" w:ascii="Times New Roman" w:hAnsi="Times New Roman"/>
                      <w:color w:val="auto"/>
                      <w:szCs w:val="21"/>
                    </w:rPr>
                    <w:t>2座地下消防水池及泵房，消防水池有效容积分别为498.69m</w:t>
                  </w:r>
                  <w:r>
                    <w:rPr>
                      <w:rFonts w:hint="default" w:ascii="Times New Roman" w:hAnsi="Times New Roman"/>
                      <w:color w:val="auto"/>
                      <w:szCs w:val="21"/>
                      <w:vertAlign w:val="superscript"/>
                    </w:rPr>
                    <w:t>3</w:t>
                  </w:r>
                  <w:r>
                    <w:rPr>
                      <w:rFonts w:hint="default" w:ascii="Times New Roman" w:hAnsi="Times New Roman"/>
                      <w:color w:val="auto"/>
                      <w:szCs w:val="21"/>
                    </w:rPr>
                    <w:t>和1420.03m</w:t>
                  </w:r>
                  <w:r>
                    <w:rPr>
                      <w:rFonts w:hint="default" w:ascii="Times New Roman" w:hAnsi="Times New Roman"/>
                      <w:color w:val="auto"/>
                      <w:szCs w:val="21"/>
                      <w:vertAlign w:val="superscript"/>
                    </w:rPr>
                    <w:t>3</w:t>
                  </w:r>
                </w:p>
              </w:tc>
              <w:tc>
                <w:tcPr>
                  <w:tcW w:w="425" w:type="pct"/>
                  <w:vAlign w:val="center"/>
                </w:tcPr>
                <w:p w14:paraId="4FB97163">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依托</w:t>
                  </w:r>
                  <w:r>
                    <w:rPr>
                      <w:rFonts w:hint="eastAsia" w:ascii="Times New Roman" w:hAnsi="Times New Roman"/>
                      <w:color w:val="auto"/>
                      <w:szCs w:val="21"/>
                      <w:lang w:val="en-US" w:eastAsia="zh-CN"/>
                    </w:rPr>
                    <w:t>出租方</w:t>
                  </w:r>
                  <w:r>
                    <w:rPr>
                      <w:rFonts w:hint="eastAsia" w:ascii="Times New Roman" w:hAnsi="Times New Roman"/>
                      <w:color w:val="auto"/>
                      <w:szCs w:val="21"/>
                    </w:rPr>
                    <w:t>原有</w:t>
                  </w:r>
                </w:p>
              </w:tc>
              <w:tc>
                <w:tcPr>
                  <w:tcW w:w="381" w:type="pct"/>
                  <w:vMerge w:val="continue"/>
                  <w:vAlign w:val="center"/>
                </w:tcPr>
                <w:p w14:paraId="59FEF840">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5572B37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070CAE31">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1365" w:type="pct"/>
                  <w:gridSpan w:val="2"/>
                  <w:vMerge w:val="continue"/>
                  <w:vAlign w:val="center"/>
                </w:tcPr>
                <w:p w14:paraId="34B3D5D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314" w:type="pct"/>
                  <w:vMerge w:val="restart"/>
                  <w:vAlign w:val="center"/>
                </w:tcPr>
                <w:p w14:paraId="4D0BD0F7">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环境应急管理</w:t>
                  </w:r>
                </w:p>
              </w:tc>
              <w:tc>
                <w:tcPr>
                  <w:tcW w:w="420" w:type="pct"/>
                  <w:vAlign w:val="center"/>
                </w:tcPr>
                <w:p w14:paraId="7B06A25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突发环境事件应急预案</w:t>
                  </w:r>
                </w:p>
              </w:tc>
              <w:tc>
                <w:tcPr>
                  <w:tcW w:w="1673" w:type="pct"/>
                  <w:vAlign w:val="center"/>
                </w:tcPr>
                <w:p w14:paraId="385E8184">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突发环境事件应急预案备案，配备应急物资</w:t>
                  </w:r>
                </w:p>
              </w:tc>
              <w:tc>
                <w:tcPr>
                  <w:tcW w:w="425" w:type="pct"/>
                  <w:vAlign w:val="center"/>
                </w:tcPr>
                <w:p w14:paraId="021F3D3F">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Merge w:val="continue"/>
                  <w:vAlign w:val="center"/>
                </w:tcPr>
                <w:p w14:paraId="18252DE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r w14:paraId="469C193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28" w:type="dxa"/>
                  <w:bottom w:w="0" w:type="dxa"/>
                  <w:right w:w="28" w:type="dxa"/>
                </w:tblCellMar>
              </w:tblPrEx>
              <w:trPr>
                <w:trHeight w:val="340" w:hRule="atLeast"/>
                <w:jc w:val="center"/>
              </w:trPr>
              <w:tc>
                <w:tcPr>
                  <w:tcW w:w="419" w:type="pct"/>
                  <w:vMerge w:val="continue"/>
                  <w:vAlign w:val="center"/>
                </w:tcPr>
                <w:p w14:paraId="15F1F55A">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p>
              </w:tc>
              <w:tc>
                <w:tcPr>
                  <w:tcW w:w="1365" w:type="pct"/>
                  <w:gridSpan w:val="2"/>
                  <w:vMerge w:val="continue"/>
                  <w:vAlign w:val="center"/>
                </w:tcPr>
                <w:p w14:paraId="542189B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314" w:type="pct"/>
                  <w:vMerge w:val="continue"/>
                  <w:vAlign w:val="center"/>
                </w:tcPr>
                <w:p w14:paraId="4EDF0158">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c>
                <w:tcPr>
                  <w:tcW w:w="420" w:type="pct"/>
                  <w:vAlign w:val="center"/>
                </w:tcPr>
                <w:p w14:paraId="57748E16">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突发环境事件隐患排查</w:t>
                  </w:r>
                </w:p>
              </w:tc>
              <w:tc>
                <w:tcPr>
                  <w:tcW w:w="1673" w:type="pct"/>
                  <w:vAlign w:val="center"/>
                </w:tcPr>
                <w:p w14:paraId="4667BFD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建立隐患排查制度，开展隐患排查整治</w:t>
                  </w:r>
                </w:p>
              </w:tc>
              <w:tc>
                <w:tcPr>
                  <w:tcW w:w="425" w:type="pct"/>
                  <w:vAlign w:val="center"/>
                </w:tcPr>
                <w:p w14:paraId="4502016E">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rPr>
                  </w:pPr>
                  <w:r>
                    <w:rPr>
                      <w:rFonts w:hint="eastAsia" w:ascii="Times New Roman" w:hAnsi="Times New Roman"/>
                      <w:color w:val="auto"/>
                      <w:szCs w:val="21"/>
                    </w:rPr>
                    <w:t>与本项目同步</w:t>
                  </w:r>
                </w:p>
              </w:tc>
              <w:tc>
                <w:tcPr>
                  <w:tcW w:w="381" w:type="pct"/>
                  <w:vMerge w:val="continue"/>
                  <w:vAlign w:val="center"/>
                </w:tcPr>
                <w:p w14:paraId="449E06F9">
                  <w:pPr>
                    <w:pStyle w:val="165"/>
                    <w:keepNext w:val="0"/>
                    <w:keepLines w:val="0"/>
                    <w:widowControl w:val="0"/>
                    <w:suppressLineNumbers w:val="0"/>
                    <w:snapToGrid w:val="0"/>
                    <w:spacing w:before="0" w:beforeAutospacing="0" w:after="0" w:afterAutospacing="0" w:line="320" w:lineRule="exact"/>
                    <w:ind w:left="0" w:right="0"/>
                    <w:rPr>
                      <w:rFonts w:hint="default" w:ascii="Times New Roman" w:hAnsi="Times New Roman"/>
                      <w:color w:val="auto"/>
                      <w:szCs w:val="21"/>
                      <w:highlight w:val="yellow"/>
                    </w:rPr>
                  </w:pPr>
                </w:p>
              </w:tc>
            </w:tr>
          </w:tbl>
          <w:p w14:paraId="5CA45265">
            <w:pPr>
              <w:keepNext w:val="0"/>
              <w:keepLines w:val="0"/>
              <w:suppressLineNumbers w:val="0"/>
              <w:spacing w:before="0" w:beforeAutospacing="0" w:after="0" w:afterAutospacing="0" w:line="500" w:lineRule="exact"/>
              <w:ind w:left="0" w:right="0"/>
              <w:rPr>
                <w:rFonts w:hint="default" w:eastAsia="仿宋_GB2312"/>
                <w:b/>
                <w:bCs/>
                <w:color w:val="auto"/>
                <w:kern w:val="0"/>
                <w:sz w:val="24"/>
                <w:szCs w:val="20"/>
              </w:rPr>
            </w:pPr>
            <w:r>
              <w:rPr>
                <w:rFonts w:hint="eastAsia" w:eastAsia="仿宋_GB2312"/>
                <w:b/>
                <w:bCs/>
                <w:color w:val="auto"/>
                <w:kern w:val="0"/>
                <w:sz w:val="24"/>
                <w:szCs w:val="20"/>
                <w:lang w:eastAsia="zh-CN"/>
              </w:rPr>
              <w:t>九</w:t>
            </w:r>
            <w:r>
              <w:rPr>
                <w:rFonts w:hint="default" w:eastAsia="仿宋_GB2312"/>
                <w:b/>
                <w:bCs/>
                <w:color w:val="auto"/>
                <w:kern w:val="0"/>
                <w:sz w:val="24"/>
                <w:szCs w:val="20"/>
              </w:rPr>
              <w:t>、自行监测要求</w:t>
            </w:r>
          </w:p>
          <w:p w14:paraId="26E55E4A">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根据《江苏省排放水污染物许可证管理办法》（省人民政府令[2011]74号）等文件要求，排污单位应按照规定对污染物排放情况进行监测，因此，除了环保主管部门的监督监测外，公司还应开展常规监测，以了解污染物达标排放情况。营运期的污染源监测内容应符合实际生产现状，公司在制度监测计划应充分考虑各类污染物排放情况，监测结果作为上报依据报当地环境保护主管部门。</w:t>
            </w:r>
          </w:p>
          <w:p w14:paraId="765FBCDE">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本项目污染源监测计划见下表。</w:t>
            </w:r>
          </w:p>
          <w:p w14:paraId="7AC56F25">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根据《排污单位自行监测技术指南 食品制造》（HJ1084-2020），本项目污染源及环境质量监测计划见</w:t>
            </w:r>
            <w:r>
              <w:rPr>
                <w:rFonts w:hint="eastAsia" w:eastAsia="仿宋_GB2312"/>
                <w:color w:val="auto"/>
                <w:kern w:val="0"/>
                <w:sz w:val="24"/>
                <w:lang w:eastAsia="zh-CN"/>
              </w:rPr>
              <w:t>下表</w:t>
            </w:r>
            <w:r>
              <w:rPr>
                <w:rFonts w:hint="default" w:eastAsia="仿宋_GB2312"/>
                <w:color w:val="auto"/>
                <w:kern w:val="0"/>
                <w:sz w:val="24"/>
              </w:rPr>
              <w:t>。</w:t>
            </w:r>
          </w:p>
          <w:p w14:paraId="4385CA2A">
            <w:pPr>
              <w:keepNext w:val="0"/>
              <w:keepLines w:val="0"/>
              <w:widowControl/>
              <w:suppressLineNumbers w:val="0"/>
              <w:spacing w:before="0" w:beforeAutospacing="0" w:after="0" w:afterAutospacing="0" w:line="500" w:lineRule="exact"/>
              <w:ind w:left="0" w:right="0" w:firstLine="2" w:firstLineChars="1"/>
              <w:jc w:val="center"/>
              <w:rPr>
                <w:rFonts w:hint="default" w:ascii="Times New Roman" w:hAnsi="Times New Roman" w:eastAsia="仿宋_GB2312" w:cs="Times New Roman"/>
                <w:b/>
                <w:bCs/>
                <w:color w:val="auto"/>
                <w:kern w:val="0"/>
                <w:sz w:val="22"/>
                <w:szCs w:val="22"/>
                <w:lang w:val="zh-CN"/>
              </w:rPr>
            </w:pPr>
            <w:r>
              <w:rPr>
                <w:rFonts w:hint="default" w:ascii="Times New Roman" w:hAnsi="Times New Roman" w:eastAsia="仿宋_GB2312" w:cs="Times New Roman"/>
                <w:b/>
                <w:bCs/>
                <w:color w:val="auto"/>
                <w:kern w:val="0"/>
                <w:sz w:val="22"/>
                <w:szCs w:val="22"/>
                <w:lang w:val="zh-CN"/>
              </w:rPr>
              <w:t>表4-</w:t>
            </w:r>
            <w:r>
              <w:rPr>
                <w:rFonts w:hint="eastAsia" w:eastAsia="仿宋_GB2312" w:cs="Times New Roman"/>
                <w:b/>
                <w:bCs/>
                <w:color w:val="auto"/>
                <w:kern w:val="0"/>
                <w:sz w:val="22"/>
                <w:szCs w:val="22"/>
                <w:lang w:val="en-US" w:eastAsia="zh-CN"/>
              </w:rPr>
              <w:t>40</w:t>
            </w:r>
            <w:r>
              <w:rPr>
                <w:rFonts w:hint="default" w:ascii="Times New Roman" w:hAnsi="Times New Roman" w:eastAsia="仿宋_GB2312" w:cs="Times New Roman"/>
                <w:b/>
                <w:bCs/>
                <w:color w:val="auto"/>
                <w:kern w:val="0"/>
                <w:sz w:val="22"/>
                <w:szCs w:val="22"/>
                <w:lang w:val="zh-CN"/>
              </w:rPr>
              <w:t xml:space="preserve">  污染源及环境质量监测计划</w:t>
            </w:r>
          </w:p>
          <w:tbl>
            <w:tblPr>
              <w:tblStyle w:val="88"/>
              <w:tblW w:w="4998"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57" w:type="dxa"/>
                <w:bottom w:w="0" w:type="dxa"/>
                <w:right w:w="57" w:type="dxa"/>
              </w:tblCellMar>
            </w:tblPr>
            <w:tblGrid>
              <w:gridCol w:w="760"/>
              <w:gridCol w:w="591"/>
              <w:gridCol w:w="898"/>
              <w:gridCol w:w="2538"/>
              <w:gridCol w:w="3286"/>
              <w:gridCol w:w="1193"/>
              <w:gridCol w:w="1030"/>
            </w:tblGrid>
            <w:tr w14:paraId="7FF3C23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Align w:val="center"/>
                </w:tcPr>
                <w:p w14:paraId="4681275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类别</w:t>
                  </w:r>
                </w:p>
              </w:tc>
              <w:tc>
                <w:tcPr>
                  <w:tcW w:w="723" w:type="pct"/>
                  <w:gridSpan w:val="2"/>
                  <w:vAlign w:val="center"/>
                </w:tcPr>
                <w:p w14:paraId="5437EC5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监测位置</w:t>
                  </w:r>
                </w:p>
              </w:tc>
              <w:tc>
                <w:tcPr>
                  <w:tcW w:w="1232" w:type="pct"/>
                  <w:vAlign w:val="center"/>
                </w:tcPr>
                <w:p w14:paraId="307E46C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监测项目</w:t>
                  </w:r>
                </w:p>
              </w:tc>
              <w:tc>
                <w:tcPr>
                  <w:tcW w:w="1595" w:type="pct"/>
                  <w:vAlign w:val="center"/>
                </w:tcPr>
                <w:p w14:paraId="5DF3374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执行排放标准</w:t>
                  </w:r>
                </w:p>
              </w:tc>
              <w:tc>
                <w:tcPr>
                  <w:tcW w:w="579" w:type="pct"/>
                  <w:vAlign w:val="center"/>
                </w:tcPr>
                <w:p w14:paraId="3271D30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监测频率</w:t>
                  </w:r>
                </w:p>
              </w:tc>
              <w:tc>
                <w:tcPr>
                  <w:tcW w:w="500" w:type="pct"/>
                  <w:vAlign w:val="center"/>
                </w:tcPr>
                <w:p w14:paraId="692F976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监测单位</w:t>
                  </w:r>
                </w:p>
              </w:tc>
            </w:tr>
            <w:tr w14:paraId="02A0078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restart"/>
                  <w:vAlign w:val="center"/>
                </w:tcPr>
                <w:p w14:paraId="2B9C918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废气</w:t>
                  </w:r>
                </w:p>
              </w:tc>
              <w:tc>
                <w:tcPr>
                  <w:tcW w:w="287" w:type="pct"/>
                  <w:vMerge w:val="restart"/>
                  <w:vAlign w:val="center"/>
                </w:tcPr>
                <w:p w14:paraId="730C57A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有组织</w:t>
                  </w:r>
                </w:p>
              </w:tc>
              <w:tc>
                <w:tcPr>
                  <w:tcW w:w="435" w:type="pct"/>
                  <w:vAlign w:val="center"/>
                </w:tcPr>
                <w:p w14:paraId="00ED8DB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DA001</w:t>
                  </w:r>
                </w:p>
              </w:tc>
              <w:tc>
                <w:tcPr>
                  <w:tcW w:w="1232" w:type="pct"/>
                  <w:vAlign w:val="center"/>
                </w:tcPr>
                <w:p w14:paraId="6AA1517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颗粒物</w:t>
                  </w:r>
                </w:p>
              </w:tc>
              <w:tc>
                <w:tcPr>
                  <w:tcW w:w="1595" w:type="pct"/>
                  <w:vMerge w:val="restart"/>
                  <w:vAlign w:val="center"/>
                </w:tcPr>
                <w:p w14:paraId="5B7EF6A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bCs/>
                      <w:color w:val="auto"/>
                    </w:rPr>
                    <w:t>《大气污染物综合排放标准》（DB32/4041—2021）</w:t>
                  </w:r>
                </w:p>
              </w:tc>
              <w:tc>
                <w:tcPr>
                  <w:tcW w:w="579" w:type="pct"/>
                  <w:vAlign w:val="center"/>
                </w:tcPr>
                <w:p w14:paraId="5BEC057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1次/半年</w:t>
                  </w:r>
                </w:p>
              </w:tc>
              <w:tc>
                <w:tcPr>
                  <w:tcW w:w="500" w:type="pct"/>
                  <w:vMerge w:val="restart"/>
                  <w:vAlign w:val="center"/>
                </w:tcPr>
                <w:p w14:paraId="2523121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自行监测</w:t>
                  </w:r>
                  <w:r>
                    <w:rPr>
                      <w:rFonts w:hint="default" w:ascii="Times New Roman" w:hAnsi="Times New Roman" w:eastAsia="仿宋_GB2312" w:cs="Times New Roman"/>
                      <w:color w:val="auto"/>
                      <w:vertAlign w:val="superscript"/>
                    </w:rPr>
                    <w:t>①</w:t>
                  </w:r>
                  <w:r>
                    <w:rPr>
                      <w:rFonts w:hint="default" w:ascii="Times New Roman" w:hAnsi="Times New Roman" w:eastAsia="仿宋_GB2312" w:cs="Times New Roman"/>
                      <w:color w:val="auto"/>
                    </w:rPr>
                    <w:t>或委托有资质的</w:t>
                  </w:r>
                  <w:r>
                    <w:rPr>
                      <w:rFonts w:hint="eastAsia" w:ascii="Times New Roman" w:hAnsi="Times New Roman" w:cs="Times New Roman"/>
                      <w:color w:val="auto"/>
                      <w:lang w:eastAsia="zh-CN"/>
                    </w:rPr>
                    <w:t>环</w:t>
                  </w:r>
                  <w:bookmarkStart w:id="59" w:name="_GoBack"/>
                  <w:bookmarkEnd w:id="59"/>
                  <w:r>
                    <w:rPr>
                      <w:rFonts w:hint="default" w:ascii="Times New Roman" w:hAnsi="Times New Roman" w:eastAsia="仿宋_GB2312" w:cs="Times New Roman"/>
                      <w:color w:val="auto"/>
                    </w:rPr>
                    <w:t>境监测机构监测</w:t>
                  </w:r>
                </w:p>
              </w:tc>
            </w:tr>
            <w:tr w14:paraId="7CC8096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39E50E4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064A5B3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restart"/>
                  <w:vAlign w:val="center"/>
                </w:tcPr>
                <w:p w14:paraId="3650D7A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DA002</w:t>
                  </w:r>
                </w:p>
              </w:tc>
              <w:tc>
                <w:tcPr>
                  <w:tcW w:w="1232" w:type="pct"/>
                  <w:vAlign w:val="center"/>
                </w:tcPr>
                <w:p w14:paraId="303C302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HCl</w:t>
                  </w:r>
                </w:p>
              </w:tc>
              <w:tc>
                <w:tcPr>
                  <w:tcW w:w="1595" w:type="pct"/>
                  <w:vMerge w:val="continue"/>
                  <w:vAlign w:val="center"/>
                </w:tcPr>
                <w:p w14:paraId="6E75977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Cs/>
                      <w:color w:val="auto"/>
                    </w:rPr>
                  </w:pPr>
                </w:p>
              </w:tc>
              <w:tc>
                <w:tcPr>
                  <w:tcW w:w="579" w:type="pct"/>
                  <w:vAlign w:val="center"/>
                </w:tcPr>
                <w:p w14:paraId="7499F19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1次/半年</w:t>
                  </w:r>
                </w:p>
              </w:tc>
              <w:tc>
                <w:tcPr>
                  <w:tcW w:w="500" w:type="pct"/>
                  <w:vMerge w:val="continue"/>
                  <w:vAlign w:val="center"/>
                </w:tcPr>
                <w:p w14:paraId="36EEED8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r>
            <w:tr w14:paraId="5733EDE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3A83DB3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53D1AE2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continue"/>
                  <w:vAlign w:val="center"/>
                </w:tcPr>
                <w:p w14:paraId="4092AF5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31B82A9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非甲烷总烃</w:t>
                  </w:r>
                </w:p>
              </w:tc>
              <w:tc>
                <w:tcPr>
                  <w:tcW w:w="1595" w:type="pct"/>
                  <w:vMerge w:val="continue"/>
                  <w:vAlign w:val="center"/>
                </w:tcPr>
                <w:p w14:paraId="06B8155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579" w:type="pct"/>
                  <w:vAlign w:val="center"/>
                </w:tcPr>
                <w:p w14:paraId="0366ACF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1次/半年</w:t>
                  </w:r>
                </w:p>
              </w:tc>
              <w:tc>
                <w:tcPr>
                  <w:tcW w:w="500" w:type="pct"/>
                  <w:vMerge w:val="continue"/>
                  <w:vAlign w:val="center"/>
                </w:tcPr>
                <w:p w14:paraId="072F3F9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r>
            <w:tr w14:paraId="03AAA8A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55C16A4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5CAEDF0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continue"/>
                  <w:vAlign w:val="center"/>
                </w:tcPr>
                <w:p w14:paraId="429E8D9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32EB69A5">
                  <w:pPr>
                    <w:pStyle w:val="165"/>
                    <w:keepNext w:val="0"/>
                    <w:keepLines w:val="0"/>
                    <w:widowControl w:val="0"/>
                    <w:suppressLineNumbers w:val="0"/>
                    <w:spacing w:before="0" w:beforeAutospacing="0" w:after="0" w:afterAutospacing="0" w:line="320" w:lineRule="exact"/>
                    <w:ind w:left="0" w:right="0"/>
                    <w:rPr>
                      <w:rFonts w:hint="eastAsia" w:ascii="Times New Roman" w:hAnsi="Times New Roman" w:eastAsia="仿宋_GB2312" w:cs="Times New Roman"/>
                      <w:color w:val="auto"/>
                      <w:highlight w:val="yellow"/>
                      <w:lang w:eastAsia="zh-CN"/>
                    </w:rPr>
                  </w:pPr>
                  <w:r>
                    <w:rPr>
                      <w:rFonts w:hint="default" w:ascii="Times New Roman" w:hAnsi="Times New Roman" w:eastAsia="仿宋_GB2312" w:cs="Times New Roman"/>
                      <w:color w:val="auto"/>
                    </w:rPr>
                    <w:t>NH</w:t>
                  </w:r>
                  <w:r>
                    <w:rPr>
                      <w:rFonts w:hint="default" w:ascii="Times New Roman" w:hAnsi="Times New Roman" w:eastAsia="仿宋_GB2312" w:cs="Times New Roman"/>
                      <w:color w:val="auto"/>
                      <w:vertAlign w:val="subscript"/>
                    </w:rPr>
                    <w:t>3</w:t>
                  </w:r>
                  <w:r>
                    <w:rPr>
                      <w:rFonts w:hint="default" w:ascii="Times New Roman" w:hAnsi="Times New Roman" w:eastAsia="仿宋_GB2312" w:cs="Times New Roman"/>
                      <w:color w:val="auto"/>
                    </w:rPr>
                    <w:t>、H</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S</w:t>
                  </w:r>
                  <w:r>
                    <w:rPr>
                      <w:rFonts w:hint="eastAsia" w:ascii="Times New Roman" w:hAnsi="Times New Roman" w:cs="Times New Roman"/>
                      <w:color w:val="auto"/>
                      <w:lang w:eastAsia="zh-CN"/>
                    </w:rPr>
                    <w:t>、臭气浓度</w:t>
                  </w:r>
                </w:p>
              </w:tc>
              <w:tc>
                <w:tcPr>
                  <w:tcW w:w="1595" w:type="pct"/>
                  <w:vAlign w:val="center"/>
                </w:tcPr>
                <w:p w14:paraId="098F2B4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bCs/>
                      <w:color w:val="auto"/>
                    </w:rPr>
                    <w:t>《恶臭污染物排放标准》(GB14554-93)</w:t>
                  </w:r>
                </w:p>
              </w:tc>
              <w:tc>
                <w:tcPr>
                  <w:tcW w:w="579" w:type="pct"/>
                  <w:vAlign w:val="center"/>
                </w:tcPr>
                <w:p w14:paraId="18A9BA9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1次/季度</w:t>
                  </w:r>
                </w:p>
              </w:tc>
              <w:tc>
                <w:tcPr>
                  <w:tcW w:w="500" w:type="pct"/>
                  <w:vMerge w:val="continue"/>
                  <w:vAlign w:val="center"/>
                </w:tcPr>
                <w:p w14:paraId="58AA13F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6C6446B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2FD40AD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6A8BAB0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restart"/>
                  <w:vAlign w:val="center"/>
                </w:tcPr>
                <w:p w14:paraId="514EDFC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DA00</w:t>
                  </w:r>
                  <w:r>
                    <w:rPr>
                      <w:rFonts w:hint="default" w:ascii="Times New Roman" w:hAnsi="Times New Roman" w:eastAsia="仿宋_GB2312" w:cs="Times New Roman"/>
                      <w:color w:val="auto"/>
                      <w:lang w:val="en-US"/>
                    </w:rPr>
                    <w:t>3</w:t>
                  </w:r>
                </w:p>
              </w:tc>
              <w:tc>
                <w:tcPr>
                  <w:tcW w:w="1232" w:type="pct"/>
                  <w:vAlign w:val="center"/>
                </w:tcPr>
                <w:p w14:paraId="095DE2B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rPr>
                  </w:pPr>
                  <w:r>
                    <w:rPr>
                      <w:rFonts w:hint="default" w:ascii="Times New Roman" w:hAnsi="Times New Roman" w:eastAsia="仿宋_GB2312" w:cs="Times New Roman"/>
                      <w:color w:val="auto"/>
                      <w:sz w:val="21"/>
                    </w:rPr>
                    <w:t>SO</w:t>
                  </w:r>
                  <w:r>
                    <w:rPr>
                      <w:rFonts w:hint="default" w:ascii="Times New Roman" w:hAnsi="Times New Roman" w:eastAsia="仿宋_GB2312" w:cs="Times New Roman"/>
                      <w:color w:val="auto"/>
                      <w:sz w:val="21"/>
                      <w:vertAlign w:val="subscript"/>
                    </w:rPr>
                    <w:t>2</w:t>
                  </w:r>
                </w:p>
              </w:tc>
              <w:tc>
                <w:tcPr>
                  <w:tcW w:w="1595" w:type="pct"/>
                  <w:vMerge w:val="restart"/>
                  <w:vAlign w:val="center"/>
                </w:tcPr>
                <w:p w14:paraId="56EDE73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Cs/>
                      <w:color w:val="auto"/>
                    </w:rPr>
                  </w:pPr>
                  <w:r>
                    <w:rPr>
                      <w:rFonts w:hint="default" w:ascii="Times New Roman" w:hAnsi="Times New Roman" w:eastAsia="仿宋_GB2312" w:cs="Times New Roman"/>
                      <w:color w:val="auto"/>
                      <w:szCs w:val="21"/>
                    </w:rPr>
                    <w:t>《锅炉大气污染物排放标准》（DB32/4385-2022）</w:t>
                  </w:r>
                </w:p>
              </w:tc>
              <w:tc>
                <w:tcPr>
                  <w:tcW w:w="579" w:type="pct"/>
                  <w:vAlign w:val="center"/>
                </w:tcPr>
                <w:p w14:paraId="6922B2E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1次/年</w:t>
                  </w:r>
                </w:p>
              </w:tc>
              <w:tc>
                <w:tcPr>
                  <w:tcW w:w="500" w:type="pct"/>
                  <w:vMerge w:val="continue"/>
                  <w:vAlign w:val="center"/>
                </w:tcPr>
                <w:p w14:paraId="62D74F5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66A3BF3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78FE1A1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230CB91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continue"/>
                  <w:vAlign w:val="center"/>
                </w:tcPr>
                <w:p w14:paraId="52C8B97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114F21C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NO</w:t>
                  </w:r>
                  <w:r>
                    <w:rPr>
                      <w:rFonts w:hint="default" w:ascii="Times New Roman" w:hAnsi="Times New Roman" w:eastAsia="仿宋_GB2312" w:cs="Times New Roman"/>
                      <w:color w:val="auto"/>
                      <w:sz w:val="21"/>
                      <w:vertAlign w:val="subscript"/>
                    </w:rPr>
                    <w:t>X</w:t>
                  </w:r>
                </w:p>
              </w:tc>
              <w:tc>
                <w:tcPr>
                  <w:tcW w:w="1595" w:type="pct"/>
                  <w:vMerge w:val="continue"/>
                  <w:vAlign w:val="center"/>
                </w:tcPr>
                <w:p w14:paraId="0CE9AE0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Cs/>
                      <w:color w:val="auto"/>
                    </w:rPr>
                  </w:pPr>
                </w:p>
              </w:tc>
              <w:tc>
                <w:tcPr>
                  <w:tcW w:w="579" w:type="pct"/>
                  <w:vAlign w:val="center"/>
                </w:tcPr>
                <w:p w14:paraId="18E60EE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1次/月</w:t>
                  </w:r>
                </w:p>
              </w:tc>
              <w:tc>
                <w:tcPr>
                  <w:tcW w:w="500" w:type="pct"/>
                  <w:vMerge w:val="continue"/>
                  <w:vAlign w:val="center"/>
                </w:tcPr>
                <w:p w14:paraId="510165E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4D1D0BA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36E601E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7AA92F2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continue"/>
                  <w:vAlign w:val="center"/>
                </w:tcPr>
                <w:p w14:paraId="11C51FE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265940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default" w:ascii="Times New Roman" w:hAnsi="Times New Roman" w:eastAsia="仿宋_GB2312" w:cs="Times New Roman"/>
                      <w:color w:val="auto"/>
                      <w:sz w:val="21"/>
                    </w:rPr>
                    <w:t>颗粒物</w:t>
                  </w:r>
                </w:p>
              </w:tc>
              <w:tc>
                <w:tcPr>
                  <w:tcW w:w="1595" w:type="pct"/>
                  <w:vMerge w:val="continue"/>
                  <w:vAlign w:val="center"/>
                </w:tcPr>
                <w:p w14:paraId="74EA4FB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Cs/>
                      <w:color w:val="auto"/>
                    </w:rPr>
                  </w:pPr>
                </w:p>
              </w:tc>
              <w:tc>
                <w:tcPr>
                  <w:tcW w:w="579" w:type="pct"/>
                  <w:vAlign w:val="center"/>
                </w:tcPr>
                <w:p w14:paraId="6C5171C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1次/年</w:t>
                  </w:r>
                </w:p>
              </w:tc>
              <w:tc>
                <w:tcPr>
                  <w:tcW w:w="500" w:type="pct"/>
                  <w:vMerge w:val="continue"/>
                  <w:vAlign w:val="center"/>
                </w:tcPr>
                <w:p w14:paraId="7601D5B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107491C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600EC10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410E994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continue"/>
                  <w:vAlign w:val="center"/>
                </w:tcPr>
                <w:p w14:paraId="47ED119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3555CCB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 w:val="21"/>
                    </w:rPr>
                  </w:pPr>
                  <w:r>
                    <w:rPr>
                      <w:rFonts w:hint="eastAsia" w:eastAsia="仿宋_GB2312"/>
                      <w:bCs/>
                      <w:color w:val="auto"/>
                      <w:szCs w:val="21"/>
                    </w:rPr>
                    <w:t>烟气黑度（林格曼）</w:t>
                  </w:r>
                </w:p>
              </w:tc>
              <w:tc>
                <w:tcPr>
                  <w:tcW w:w="1595" w:type="pct"/>
                  <w:vMerge w:val="continue"/>
                  <w:vAlign w:val="center"/>
                </w:tcPr>
                <w:p w14:paraId="12A8E40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Cs/>
                      <w:color w:val="auto"/>
                    </w:rPr>
                  </w:pPr>
                </w:p>
              </w:tc>
              <w:tc>
                <w:tcPr>
                  <w:tcW w:w="579" w:type="pct"/>
                  <w:vAlign w:val="center"/>
                </w:tcPr>
                <w:p w14:paraId="2440B2F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1次/年</w:t>
                  </w:r>
                </w:p>
              </w:tc>
              <w:tc>
                <w:tcPr>
                  <w:tcW w:w="500" w:type="pct"/>
                  <w:vMerge w:val="continue"/>
                  <w:vAlign w:val="center"/>
                </w:tcPr>
                <w:p w14:paraId="7DB5A53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035DFBE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362C150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restart"/>
                  <w:vAlign w:val="center"/>
                </w:tcPr>
                <w:p w14:paraId="247F8EC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无组织</w:t>
                  </w:r>
                </w:p>
              </w:tc>
              <w:tc>
                <w:tcPr>
                  <w:tcW w:w="435" w:type="pct"/>
                  <w:vAlign w:val="center"/>
                </w:tcPr>
                <w:p w14:paraId="7B61121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厂区内</w:t>
                  </w:r>
                </w:p>
              </w:tc>
              <w:tc>
                <w:tcPr>
                  <w:tcW w:w="1232" w:type="pct"/>
                  <w:vAlign w:val="center"/>
                </w:tcPr>
                <w:p w14:paraId="494BB6B7">
                  <w:pPr>
                    <w:keepNext w:val="0"/>
                    <w:keepLines w:val="0"/>
                    <w:widowControl w:val="0"/>
                    <w:suppressLineNumbers w:val="0"/>
                    <w:adjustRightInd w:val="0"/>
                    <w:snapToGrid w:val="0"/>
                    <w:spacing w:before="0" w:beforeAutospacing="0" w:after="0" w:afterAutospacing="0" w:line="320" w:lineRule="exact"/>
                    <w:ind w:left="0" w:right="0"/>
                    <w:jc w:val="center"/>
                    <w:rPr>
                      <w:rFonts w:hint="default" w:ascii="Times New Roman" w:hAnsi="Times New Roman" w:eastAsia="仿宋_GB2312" w:cs="Times New Roman"/>
                      <w:color w:val="auto"/>
                      <w:kern w:val="0"/>
                      <w:sz w:val="21"/>
                      <w:szCs w:val="20"/>
                      <w:lang w:val="zh-CN"/>
                    </w:rPr>
                  </w:pPr>
                  <w:r>
                    <w:rPr>
                      <w:rFonts w:hint="default" w:ascii="Times New Roman" w:hAnsi="Times New Roman" w:eastAsia="仿宋_GB2312" w:cs="Times New Roman"/>
                      <w:color w:val="auto"/>
                      <w:kern w:val="0"/>
                      <w:sz w:val="21"/>
                      <w:szCs w:val="20"/>
                      <w:lang w:val="zh-CN"/>
                    </w:rPr>
                    <w:t>非甲烷总烃</w:t>
                  </w:r>
                </w:p>
              </w:tc>
              <w:tc>
                <w:tcPr>
                  <w:tcW w:w="1595" w:type="pct"/>
                  <w:vAlign w:val="center"/>
                </w:tcPr>
                <w:p w14:paraId="64B6C0D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bCs/>
                      <w:color w:val="auto"/>
                    </w:rPr>
                    <w:t>《大气污染物综合排放标准》(DB32/4041-2021)</w:t>
                  </w:r>
                </w:p>
              </w:tc>
              <w:tc>
                <w:tcPr>
                  <w:tcW w:w="579" w:type="pct"/>
                  <w:vAlign w:val="center"/>
                </w:tcPr>
                <w:p w14:paraId="53EC742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1次/季度</w:t>
                  </w:r>
                </w:p>
              </w:tc>
              <w:tc>
                <w:tcPr>
                  <w:tcW w:w="500" w:type="pct"/>
                  <w:vMerge w:val="continue"/>
                  <w:vAlign w:val="center"/>
                </w:tcPr>
                <w:p w14:paraId="7F771FD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5B23240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01B9B66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1614220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restart"/>
                  <w:vAlign w:val="center"/>
                </w:tcPr>
                <w:p w14:paraId="0DB2051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厂界</w:t>
                  </w:r>
                </w:p>
              </w:tc>
              <w:tc>
                <w:tcPr>
                  <w:tcW w:w="1232" w:type="pct"/>
                  <w:vAlign w:val="center"/>
                </w:tcPr>
                <w:p w14:paraId="29FC007C">
                  <w:pPr>
                    <w:pStyle w:val="165"/>
                    <w:keepNext w:val="0"/>
                    <w:keepLines w:val="0"/>
                    <w:widowControl w:val="0"/>
                    <w:suppressLineNumbers w:val="0"/>
                    <w:spacing w:before="0" w:beforeAutospacing="0" w:after="0" w:afterAutospacing="0" w:line="320" w:lineRule="exact"/>
                    <w:ind w:left="0" w:right="0"/>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rPr>
                    <w:t>H</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S、NH</w:t>
                  </w:r>
                  <w:r>
                    <w:rPr>
                      <w:rFonts w:hint="default" w:ascii="Times New Roman" w:hAnsi="Times New Roman" w:eastAsia="仿宋_GB2312" w:cs="Times New Roman"/>
                      <w:color w:val="auto"/>
                      <w:vertAlign w:val="sub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lang w:eastAsia="zh-CN"/>
                    </w:rPr>
                    <w:t>臭气浓度</w:t>
                  </w:r>
                </w:p>
              </w:tc>
              <w:tc>
                <w:tcPr>
                  <w:tcW w:w="1595" w:type="pct"/>
                  <w:vAlign w:val="center"/>
                </w:tcPr>
                <w:p w14:paraId="22227AF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bCs/>
                      <w:color w:val="auto"/>
                    </w:rPr>
                    <w:t>《恶臭污染物排放标准》(GB14554-93)</w:t>
                  </w:r>
                </w:p>
              </w:tc>
              <w:tc>
                <w:tcPr>
                  <w:tcW w:w="579" w:type="pct"/>
                  <w:vAlign w:val="center"/>
                </w:tcPr>
                <w:p w14:paraId="089A795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1次/半年</w:t>
                  </w:r>
                </w:p>
              </w:tc>
              <w:tc>
                <w:tcPr>
                  <w:tcW w:w="500" w:type="pct"/>
                  <w:vMerge w:val="continue"/>
                  <w:vAlign w:val="center"/>
                </w:tcPr>
                <w:p w14:paraId="2964DBF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45EBBBF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452DC6F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6EC3C0E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continue"/>
                  <w:vAlign w:val="center"/>
                </w:tcPr>
                <w:p w14:paraId="6CE932F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3B4C457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颗粒物</w:t>
                  </w:r>
                </w:p>
              </w:tc>
              <w:tc>
                <w:tcPr>
                  <w:tcW w:w="1595" w:type="pct"/>
                  <w:vMerge w:val="restart"/>
                  <w:vAlign w:val="center"/>
                </w:tcPr>
                <w:p w14:paraId="16D9B33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《大气污染物综合排放标准》(DB32/4041-2021)</w:t>
                  </w:r>
                </w:p>
              </w:tc>
              <w:tc>
                <w:tcPr>
                  <w:tcW w:w="579" w:type="pct"/>
                  <w:vAlign w:val="center"/>
                </w:tcPr>
                <w:p w14:paraId="675E1BA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1次/半年</w:t>
                  </w:r>
                </w:p>
              </w:tc>
              <w:tc>
                <w:tcPr>
                  <w:tcW w:w="500" w:type="pct"/>
                  <w:vMerge w:val="continue"/>
                  <w:vAlign w:val="center"/>
                </w:tcPr>
                <w:p w14:paraId="2D2BD2C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4F7E3F5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71DEC651">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287" w:type="pct"/>
                  <w:vMerge w:val="continue"/>
                  <w:vAlign w:val="center"/>
                </w:tcPr>
                <w:p w14:paraId="48662A1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435" w:type="pct"/>
                  <w:vMerge w:val="continue"/>
                  <w:vAlign w:val="center"/>
                </w:tcPr>
                <w:p w14:paraId="4C400EF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63A448E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非甲烷总烃、HCl</w:t>
                  </w:r>
                </w:p>
              </w:tc>
              <w:tc>
                <w:tcPr>
                  <w:tcW w:w="1595" w:type="pct"/>
                  <w:vMerge w:val="continue"/>
                  <w:vAlign w:val="center"/>
                </w:tcPr>
                <w:p w14:paraId="01E4346D">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Cs/>
                      <w:color w:val="auto"/>
                      <w:szCs w:val="21"/>
                    </w:rPr>
                  </w:pPr>
                </w:p>
              </w:tc>
              <w:tc>
                <w:tcPr>
                  <w:tcW w:w="579" w:type="pct"/>
                  <w:vAlign w:val="center"/>
                </w:tcPr>
                <w:p w14:paraId="20F4A2F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1次/半年</w:t>
                  </w:r>
                </w:p>
              </w:tc>
              <w:tc>
                <w:tcPr>
                  <w:tcW w:w="500" w:type="pct"/>
                  <w:vMerge w:val="continue"/>
                  <w:vAlign w:val="center"/>
                </w:tcPr>
                <w:p w14:paraId="30A2273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6BC9743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restart"/>
                  <w:vAlign w:val="center"/>
                </w:tcPr>
                <w:p w14:paraId="1F16AD6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废水</w:t>
                  </w:r>
                </w:p>
              </w:tc>
              <w:tc>
                <w:tcPr>
                  <w:tcW w:w="723" w:type="pct"/>
                  <w:gridSpan w:val="2"/>
                  <w:vMerge w:val="restart"/>
                  <w:vAlign w:val="center"/>
                </w:tcPr>
                <w:p w14:paraId="56A80CE8">
                  <w:pPr>
                    <w:pStyle w:val="165"/>
                    <w:keepNext w:val="0"/>
                    <w:keepLines w:val="0"/>
                    <w:widowControl w:val="0"/>
                    <w:suppressLineNumbers w:val="0"/>
                    <w:spacing w:before="0" w:beforeAutospacing="0" w:after="0" w:afterAutospacing="0" w:line="320" w:lineRule="exact"/>
                    <w:ind w:left="0" w:right="0"/>
                    <w:rPr>
                      <w:rFonts w:hint="eastAsia" w:eastAsia="仿宋_GB2312"/>
                      <w:color w:val="auto"/>
                      <w:lang w:eastAsia="zh-CN"/>
                    </w:rPr>
                  </w:pPr>
                  <w:r>
                    <w:rPr>
                      <w:rFonts w:hint="default" w:ascii="Times New Roman" w:hAnsi="Times New Roman" w:eastAsia="仿宋_GB2312" w:cs="Times New Roman"/>
                      <w:color w:val="auto"/>
                      <w:vertAlign w:val="superscript"/>
                    </w:rPr>
                    <w:t>③</w:t>
                  </w:r>
                  <w:r>
                    <w:rPr>
                      <w:rFonts w:hint="default" w:ascii="Times New Roman" w:hAnsi="Times New Roman" w:eastAsia="仿宋_GB2312" w:cs="Times New Roman"/>
                      <w:color w:val="auto"/>
                    </w:rPr>
                    <w:t>污水接管口</w:t>
                  </w:r>
                </w:p>
              </w:tc>
              <w:tc>
                <w:tcPr>
                  <w:tcW w:w="1232" w:type="pct"/>
                  <w:vAlign w:val="center"/>
                </w:tcPr>
                <w:p w14:paraId="3E451E9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pH值、COD、NH</w:t>
                  </w:r>
                  <w:r>
                    <w:rPr>
                      <w:rFonts w:hint="default" w:ascii="Times New Roman" w:hAnsi="Times New Roman" w:eastAsia="仿宋_GB2312" w:cs="Times New Roman"/>
                      <w:color w:val="auto"/>
                      <w:vertAlign w:val="subscript"/>
                    </w:rPr>
                    <w:t>3</w:t>
                  </w:r>
                  <w:r>
                    <w:rPr>
                      <w:rFonts w:hint="default" w:ascii="Times New Roman" w:hAnsi="Times New Roman" w:eastAsia="仿宋_GB2312" w:cs="Times New Roman"/>
                      <w:color w:val="auto"/>
                    </w:rPr>
                    <w:t>-N、流量</w:t>
                  </w:r>
                </w:p>
              </w:tc>
              <w:tc>
                <w:tcPr>
                  <w:tcW w:w="1595" w:type="pct"/>
                  <w:vMerge w:val="restart"/>
                  <w:vAlign w:val="center"/>
                </w:tcPr>
                <w:p w14:paraId="465CA04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《常州金坛区第二污水处理有限公司接管水质标准》</w:t>
                  </w:r>
                </w:p>
              </w:tc>
              <w:tc>
                <w:tcPr>
                  <w:tcW w:w="579" w:type="pct"/>
                  <w:vAlign w:val="center"/>
                </w:tcPr>
                <w:p w14:paraId="478E1C53">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1次/半年</w:t>
                  </w:r>
                </w:p>
              </w:tc>
              <w:tc>
                <w:tcPr>
                  <w:tcW w:w="500" w:type="pct"/>
                  <w:vMerge w:val="continue"/>
                  <w:vAlign w:val="center"/>
                </w:tcPr>
                <w:p w14:paraId="06C8344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0ADFB79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6D40384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723" w:type="pct"/>
                  <w:gridSpan w:val="2"/>
                  <w:vMerge w:val="continue"/>
                  <w:vAlign w:val="center"/>
                </w:tcPr>
                <w:p w14:paraId="0BF842A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558E176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SS、TN、TP</w:t>
                  </w:r>
                </w:p>
              </w:tc>
              <w:tc>
                <w:tcPr>
                  <w:tcW w:w="1595" w:type="pct"/>
                  <w:vMerge w:val="continue"/>
                  <w:vAlign w:val="center"/>
                </w:tcPr>
                <w:p w14:paraId="1A7B11A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c>
                <w:tcPr>
                  <w:tcW w:w="579" w:type="pct"/>
                  <w:vAlign w:val="center"/>
                </w:tcPr>
                <w:p w14:paraId="61224004">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1次/半年</w:t>
                  </w:r>
                </w:p>
              </w:tc>
              <w:tc>
                <w:tcPr>
                  <w:tcW w:w="500" w:type="pct"/>
                  <w:vMerge w:val="continue"/>
                  <w:vAlign w:val="center"/>
                </w:tcPr>
                <w:p w14:paraId="2EE8950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2B0595E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Merge w:val="continue"/>
                  <w:vAlign w:val="center"/>
                </w:tcPr>
                <w:p w14:paraId="701C7F5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723" w:type="pct"/>
                  <w:gridSpan w:val="2"/>
                  <w:vMerge w:val="continue"/>
                  <w:vAlign w:val="center"/>
                </w:tcPr>
                <w:p w14:paraId="20759C4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p>
              </w:tc>
              <w:tc>
                <w:tcPr>
                  <w:tcW w:w="1232" w:type="pct"/>
                  <w:vAlign w:val="center"/>
                </w:tcPr>
                <w:p w14:paraId="6A11AB66">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盐分</w:t>
                  </w:r>
                </w:p>
              </w:tc>
              <w:tc>
                <w:tcPr>
                  <w:tcW w:w="1595" w:type="pct"/>
                  <w:vMerge w:val="continue"/>
                  <w:vAlign w:val="center"/>
                </w:tcPr>
                <w:p w14:paraId="0B1ABB8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c>
                <w:tcPr>
                  <w:tcW w:w="579" w:type="pct"/>
                  <w:vAlign w:val="center"/>
                </w:tcPr>
                <w:p w14:paraId="2E0DB1E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1次/半年</w:t>
                  </w:r>
                </w:p>
              </w:tc>
              <w:tc>
                <w:tcPr>
                  <w:tcW w:w="500" w:type="pct"/>
                  <w:vMerge w:val="continue"/>
                  <w:vAlign w:val="center"/>
                </w:tcPr>
                <w:p w14:paraId="4D4361E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r w14:paraId="4358BC1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57" w:type="dxa"/>
                  <w:bottom w:w="0" w:type="dxa"/>
                  <w:right w:w="57" w:type="dxa"/>
                </w:tblCellMar>
              </w:tblPrEx>
              <w:trPr>
                <w:trHeight w:val="340" w:hRule="atLeast"/>
                <w:jc w:val="center"/>
              </w:trPr>
              <w:tc>
                <w:tcPr>
                  <w:tcW w:w="369" w:type="pct"/>
                  <w:vAlign w:val="center"/>
                </w:tcPr>
                <w:p w14:paraId="1A729AB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噪声</w:t>
                  </w:r>
                </w:p>
              </w:tc>
              <w:tc>
                <w:tcPr>
                  <w:tcW w:w="723" w:type="pct"/>
                  <w:gridSpan w:val="2"/>
                  <w:vAlign w:val="center"/>
                </w:tcPr>
                <w:p w14:paraId="53C6A2C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厂界</w:t>
                  </w:r>
                </w:p>
              </w:tc>
              <w:tc>
                <w:tcPr>
                  <w:tcW w:w="1232" w:type="pct"/>
                  <w:vAlign w:val="center"/>
                </w:tcPr>
                <w:p w14:paraId="63094ED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连续等效A声级</w:t>
                  </w:r>
                </w:p>
              </w:tc>
              <w:tc>
                <w:tcPr>
                  <w:tcW w:w="1595" w:type="pct"/>
                  <w:vAlign w:val="center"/>
                </w:tcPr>
                <w:p w14:paraId="16A096B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rPr>
                  </w:pPr>
                  <w:r>
                    <w:rPr>
                      <w:rFonts w:hint="default" w:ascii="Times New Roman" w:hAnsi="Times New Roman" w:eastAsia="仿宋_GB2312" w:cs="Times New Roman"/>
                      <w:color w:val="auto"/>
                    </w:rPr>
                    <w:t>《工业企业厂界环境噪声排放标准》（GB12348-2008）</w:t>
                  </w:r>
                </w:p>
              </w:tc>
              <w:tc>
                <w:tcPr>
                  <w:tcW w:w="579" w:type="pct"/>
                  <w:vAlign w:val="center"/>
                </w:tcPr>
                <w:p w14:paraId="62A05D7F">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r>
                    <w:rPr>
                      <w:rFonts w:hint="default" w:ascii="Times New Roman" w:hAnsi="Times New Roman" w:eastAsia="仿宋_GB2312" w:cs="Times New Roman"/>
                      <w:color w:val="auto"/>
                    </w:rPr>
                    <w:t>1次/季度</w:t>
                  </w:r>
                </w:p>
              </w:tc>
              <w:tc>
                <w:tcPr>
                  <w:tcW w:w="500" w:type="pct"/>
                  <w:vMerge w:val="continue"/>
                  <w:vAlign w:val="center"/>
                </w:tcPr>
                <w:p w14:paraId="02A2676B">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highlight w:val="yellow"/>
                    </w:rPr>
                  </w:pPr>
                </w:p>
              </w:tc>
            </w:tr>
          </w:tbl>
          <w:p w14:paraId="47BB3CED">
            <w:pPr>
              <w:pStyle w:val="169"/>
              <w:keepNext w:val="0"/>
              <w:keepLines w:val="0"/>
              <w:widowControl w:val="0"/>
              <w:suppressLineNumbers w:val="0"/>
              <w:spacing w:before="0" w:beforeAutospacing="0" w:after="0" w:afterAutospacing="0" w:line="500" w:lineRule="exact"/>
              <w:ind w:left="0" w:right="0" w:firstLine="420" w:firstLineChars="200"/>
              <w:jc w:val="both"/>
              <w:rPr>
                <w:rFonts w:hint="eastAsia" w:ascii="Times New Roman" w:hAnsi="Times New Roman" w:eastAsia="仿宋_GB2312"/>
                <w:snapToGrid w:val="0"/>
                <w:color w:val="1D35AD"/>
                <w:lang w:eastAsia="zh-CN"/>
              </w:rPr>
            </w:pPr>
            <w:r>
              <w:rPr>
                <w:rFonts w:hint="eastAsia" w:ascii="Times New Roman" w:hAnsi="Times New Roman"/>
                <w:snapToGrid w:val="0"/>
                <w:color w:val="1D35AD"/>
              </w:rPr>
              <w:t>备注：①企业有自行监测能力的项目可由企业自行完成监测。②当取得排污许可证时，监测频次按排污许可证执行。</w:t>
            </w:r>
            <w:r>
              <w:rPr>
                <w:rFonts w:hint="default" w:ascii="Times New Roman" w:hAnsi="Times New Roman" w:eastAsia="仿宋_GB2312" w:cs="Times New Roman"/>
                <w:color w:val="1D35AD"/>
                <w:vertAlign w:val="baseline"/>
              </w:rPr>
              <w:t>③</w:t>
            </w:r>
            <w:r>
              <w:rPr>
                <w:rFonts w:hint="eastAsia" w:ascii="Times New Roman" w:hAnsi="Times New Roman" w:cs="Times New Roman"/>
                <w:color w:val="1D35AD"/>
                <w:vertAlign w:val="baseline"/>
                <w:lang w:eastAsia="zh-CN"/>
              </w:rPr>
              <w:t>本项目</w:t>
            </w:r>
            <w:r>
              <w:rPr>
                <w:rFonts w:hint="default" w:ascii="Times New Roman" w:hAnsi="Times New Roman" w:eastAsia="仿宋_GB2312" w:cs="Times New Roman"/>
                <w:color w:val="1D35AD"/>
              </w:rPr>
              <w:t>污水接管口</w:t>
            </w:r>
            <w:r>
              <w:rPr>
                <w:rFonts w:hint="eastAsia" w:ascii="Times New Roman" w:hAnsi="Times New Roman" w:cs="Times New Roman"/>
                <w:color w:val="1D35AD"/>
                <w:lang w:eastAsia="zh-CN"/>
              </w:rPr>
              <w:t>依托出租方，污水合并排放。本项目废水在接入接管口前监测。</w:t>
            </w:r>
          </w:p>
          <w:p w14:paraId="238C8B1E">
            <w:pPr>
              <w:keepNext w:val="0"/>
              <w:keepLines w:val="0"/>
              <w:widowControl/>
              <w:suppressLineNumbers w:val="0"/>
              <w:spacing w:before="0" w:beforeAutospacing="0" w:after="0" w:afterAutospacing="0" w:line="500" w:lineRule="exact"/>
              <w:ind w:left="0" w:right="0" w:firstLine="480" w:firstLineChars="200"/>
              <w:jc w:val="left"/>
              <w:rPr>
                <w:rFonts w:hint="default" w:eastAsia="仿宋_GB2312"/>
                <w:color w:val="auto"/>
                <w:kern w:val="0"/>
                <w:sz w:val="24"/>
              </w:rPr>
            </w:pPr>
            <w:r>
              <w:rPr>
                <w:rFonts w:hint="default" w:eastAsia="仿宋_GB2312"/>
                <w:color w:val="auto"/>
                <w:kern w:val="0"/>
                <w:sz w:val="24"/>
              </w:rPr>
              <w:t>土壤、地下水建议跟踪监测计划见下表。</w:t>
            </w:r>
          </w:p>
          <w:p w14:paraId="73169152">
            <w:pPr>
              <w:keepNext w:val="0"/>
              <w:keepLines w:val="0"/>
              <w:widowControl/>
              <w:suppressLineNumbers w:val="0"/>
              <w:spacing w:before="0" w:beforeAutospacing="0" w:after="0" w:afterAutospacing="0" w:line="400" w:lineRule="exact"/>
              <w:ind w:left="0" w:right="0"/>
              <w:jc w:val="center"/>
              <w:rPr>
                <w:rFonts w:hint="default" w:eastAsia="仿宋_GB2312"/>
                <w:b/>
                <w:color w:val="auto"/>
                <w:kern w:val="0"/>
                <w:sz w:val="22"/>
                <w:szCs w:val="22"/>
              </w:rPr>
            </w:pPr>
            <w:r>
              <w:rPr>
                <w:rFonts w:hint="default" w:eastAsia="仿宋_GB2312"/>
                <w:b/>
                <w:color w:val="auto"/>
                <w:kern w:val="0"/>
                <w:sz w:val="22"/>
                <w:szCs w:val="22"/>
              </w:rPr>
              <w:t>表4-</w:t>
            </w:r>
            <w:r>
              <w:rPr>
                <w:rFonts w:hint="eastAsia" w:eastAsia="仿宋_GB2312"/>
                <w:b/>
                <w:color w:val="auto"/>
                <w:kern w:val="0"/>
                <w:sz w:val="22"/>
                <w:szCs w:val="22"/>
                <w:lang w:val="en-US" w:eastAsia="zh-CN"/>
              </w:rPr>
              <w:t>41</w:t>
            </w:r>
            <w:r>
              <w:rPr>
                <w:rFonts w:hint="default" w:eastAsia="仿宋_GB2312"/>
                <w:b/>
                <w:color w:val="auto"/>
                <w:kern w:val="0"/>
                <w:sz w:val="22"/>
                <w:szCs w:val="22"/>
              </w:rPr>
              <w:t xml:space="preserve"> </w:t>
            </w:r>
            <w:r>
              <w:rPr>
                <w:rFonts w:hint="eastAsia" w:eastAsia="仿宋_GB2312"/>
                <w:b/>
                <w:color w:val="auto"/>
                <w:kern w:val="0"/>
                <w:sz w:val="22"/>
                <w:szCs w:val="22"/>
                <w:lang w:val="en-US" w:eastAsia="zh-CN"/>
              </w:rPr>
              <w:t xml:space="preserve"> </w:t>
            </w:r>
            <w:r>
              <w:rPr>
                <w:rFonts w:hint="default" w:eastAsia="仿宋_GB2312"/>
                <w:b/>
                <w:color w:val="auto"/>
                <w:kern w:val="0"/>
                <w:sz w:val="22"/>
                <w:szCs w:val="22"/>
              </w:rPr>
              <w:t>土壤、地下水建议跟踪计划</w:t>
            </w:r>
          </w:p>
          <w:tbl>
            <w:tblPr>
              <w:tblStyle w:val="16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45" w:type="dxa"/>
                <w:bottom w:w="0" w:type="dxa"/>
                <w:right w:w="45" w:type="dxa"/>
              </w:tblCellMar>
            </w:tblPr>
            <w:tblGrid>
              <w:gridCol w:w="985"/>
              <w:gridCol w:w="1855"/>
              <w:gridCol w:w="4859"/>
              <w:gridCol w:w="1340"/>
              <w:gridCol w:w="1259"/>
            </w:tblGrid>
            <w:tr w14:paraId="67F53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478" w:type="pct"/>
                  <w:vAlign w:val="center"/>
                </w:tcPr>
                <w:p w14:paraId="4EEDBEA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类别</w:t>
                  </w:r>
                </w:p>
              </w:tc>
              <w:tc>
                <w:tcPr>
                  <w:tcW w:w="900" w:type="pct"/>
                  <w:vAlign w:val="center"/>
                </w:tcPr>
                <w:p w14:paraId="1D94661A">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监测位置</w:t>
                  </w:r>
                </w:p>
              </w:tc>
              <w:tc>
                <w:tcPr>
                  <w:tcW w:w="2358" w:type="pct"/>
                  <w:vAlign w:val="center"/>
                </w:tcPr>
                <w:p w14:paraId="4B810D9E">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监测项目</w:t>
                  </w:r>
                </w:p>
              </w:tc>
              <w:tc>
                <w:tcPr>
                  <w:tcW w:w="650" w:type="pct"/>
                  <w:vAlign w:val="center"/>
                </w:tcPr>
                <w:p w14:paraId="1B342A6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监测频率</w:t>
                  </w:r>
                </w:p>
              </w:tc>
              <w:tc>
                <w:tcPr>
                  <w:tcW w:w="611" w:type="pct"/>
                  <w:vAlign w:val="center"/>
                </w:tcPr>
                <w:p w14:paraId="7EE34A68">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监测单位</w:t>
                  </w:r>
                </w:p>
              </w:tc>
            </w:tr>
            <w:tr w14:paraId="6C73B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478" w:type="pct"/>
                  <w:vAlign w:val="center"/>
                </w:tcPr>
                <w:p w14:paraId="372C29C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地下水</w:t>
                  </w:r>
                </w:p>
              </w:tc>
              <w:tc>
                <w:tcPr>
                  <w:tcW w:w="900" w:type="pct"/>
                  <w:vAlign w:val="center"/>
                </w:tcPr>
                <w:p w14:paraId="6C25FD28">
                  <w:pPr>
                    <w:pStyle w:val="284"/>
                    <w:keepNext w:val="0"/>
                    <w:keepLines w:val="0"/>
                    <w:suppressLineNumbers w:val="0"/>
                    <w:spacing w:before="0" w:beforeAutospacing="0" w:after="0" w:afterAutospacing="0"/>
                    <w:ind w:left="0" w:right="0"/>
                    <w:rPr>
                      <w:rFonts w:hint="default" w:ascii="Times New Roman" w:hAnsi="Times New Roman" w:eastAsia="仿宋_GB2312" w:cs="Times New Roman"/>
                      <w:color w:val="auto"/>
                      <w:kern w:val="0"/>
                      <w:sz w:val="21"/>
                      <w:szCs w:val="21"/>
                      <w:lang w:val="zh-CN"/>
                    </w:rPr>
                  </w:pPr>
                  <w:r>
                    <w:rPr>
                      <w:rFonts w:hint="default" w:ascii="Times New Roman" w:hAnsi="Times New Roman" w:eastAsia="仿宋_GB2312" w:cs="Times New Roman"/>
                      <w:color w:val="auto"/>
                      <w:kern w:val="0"/>
                      <w:sz w:val="21"/>
                      <w:szCs w:val="21"/>
                      <w:lang w:val="zh-CN"/>
                    </w:rPr>
                    <w:t>临近河流1个点</w:t>
                  </w:r>
                </w:p>
              </w:tc>
              <w:tc>
                <w:tcPr>
                  <w:tcW w:w="2358" w:type="pct"/>
                  <w:vAlign w:val="center"/>
                </w:tcPr>
                <w:p w14:paraId="6B84A3A0">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K</w:t>
                  </w:r>
                  <w:r>
                    <w:rPr>
                      <w:rFonts w:hint="default" w:ascii="Times New Roman" w:hAnsi="Times New Roman" w:eastAsia="仿宋_GB2312" w:cs="Times New Roman"/>
                      <w:color w:val="auto"/>
                      <w:sz w:val="21"/>
                      <w:szCs w:val="21"/>
                      <w:vertAlign w:val="superscript"/>
                    </w:rPr>
                    <w:t>+</w:t>
                  </w:r>
                  <w:r>
                    <w:rPr>
                      <w:rFonts w:hint="default" w:ascii="Times New Roman" w:hAnsi="Times New Roman" w:eastAsia="仿宋_GB2312" w:cs="Times New Roman"/>
                      <w:color w:val="auto"/>
                      <w:sz w:val="21"/>
                      <w:szCs w:val="21"/>
                    </w:rPr>
                    <w:t>+Na</w:t>
                  </w:r>
                  <w:r>
                    <w:rPr>
                      <w:rFonts w:hint="default" w:ascii="Times New Roman" w:hAnsi="Times New Roman" w:eastAsia="仿宋_GB2312" w:cs="Times New Roman"/>
                      <w:color w:val="auto"/>
                      <w:sz w:val="21"/>
                      <w:szCs w:val="21"/>
                      <w:vertAlign w:val="superscript"/>
                    </w:rPr>
                    <w:t>+</w:t>
                  </w:r>
                  <w:r>
                    <w:rPr>
                      <w:rFonts w:hint="default" w:ascii="Times New Roman" w:hAnsi="Times New Roman" w:eastAsia="仿宋_GB2312" w:cs="Times New Roman"/>
                      <w:color w:val="auto"/>
                      <w:sz w:val="21"/>
                      <w:szCs w:val="21"/>
                    </w:rPr>
                    <w:t>、Ca</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、Mg</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、CO</w:t>
                  </w:r>
                  <w:r>
                    <w:rPr>
                      <w:rFonts w:hint="default" w:ascii="Times New Roman" w:hAnsi="Times New Roman" w:eastAsia="仿宋_GB2312" w:cs="Times New Roman"/>
                      <w:color w:val="auto"/>
                      <w:sz w:val="21"/>
                      <w:szCs w:val="21"/>
                      <w:vertAlign w:val="subscript"/>
                    </w:rPr>
                    <w:t>3</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、HCO</w:t>
                  </w:r>
                  <w:r>
                    <w:rPr>
                      <w:rFonts w:hint="default" w:ascii="Times New Roman" w:hAnsi="Times New Roman" w:eastAsia="仿宋_GB2312" w:cs="Times New Roman"/>
                      <w:color w:val="auto"/>
                      <w:sz w:val="21"/>
                      <w:szCs w:val="21"/>
                      <w:vertAlign w:val="superscript"/>
                    </w:rPr>
                    <w:t>3-</w:t>
                  </w:r>
                  <w:r>
                    <w:rPr>
                      <w:rFonts w:hint="default" w:ascii="Times New Roman" w:hAnsi="Times New Roman" w:eastAsia="仿宋_GB2312" w:cs="Times New Roman"/>
                      <w:color w:val="auto"/>
                      <w:sz w:val="21"/>
                      <w:szCs w:val="21"/>
                    </w:rPr>
                    <w:t>、Cl</w:t>
                  </w:r>
                  <w:r>
                    <w:rPr>
                      <w:rFonts w:hint="default" w:ascii="Times New Roman" w:hAnsi="Times New Roman" w:eastAsia="仿宋_GB2312" w:cs="Times New Roman"/>
                      <w:color w:val="auto"/>
                      <w:sz w:val="21"/>
                      <w:szCs w:val="21"/>
                      <w:vertAlign w:val="superscript"/>
                    </w:rPr>
                    <w:t>-</w:t>
                  </w:r>
                  <w:r>
                    <w:rPr>
                      <w:rFonts w:hint="default" w:ascii="Times New Roman" w:hAnsi="Times New Roman" w:eastAsia="仿宋_GB2312" w:cs="Times New Roman"/>
                      <w:color w:val="auto"/>
                      <w:sz w:val="21"/>
                      <w:szCs w:val="21"/>
                    </w:rPr>
                    <w:t>、SO</w:t>
                  </w:r>
                  <w:r>
                    <w:rPr>
                      <w:rFonts w:hint="default" w:ascii="Times New Roman" w:hAnsi="Times New Roman" w:eastAsia="仿宋_GB2312" w:cs="Times New Roman"/>
                      <w:color w:val="auto"/>
                      <w:sz w:val="21"/>
                      <w:szCs w:val="21"/>
                      <w:vertAlign w:val="subscript"/>
                    </w:rPr>
                    <w:t>4</w:t>
                  </w:r>
                  <w:r>
                    <w:rPr>
                      <w:rFonts w:hint="default" w:ascii="Times New Roman" w:hAnsi="Times New Roman" w:eastAsia="仿宋_GB2312" w:cs="Times New Roman"/>
                      <w:color w:val="auto"/>
                      <w:sz w:val="21"/>
                      <w:szCs w:val="21"/>
                      <w:vertAlign w:val="superscript"/>
                    </w:rPr>
                    <w:t>2-</w:t>
                  </w:r>
                  <w:r>
                    <w:rPr>
                      <w:rFonts w:hint="default" w:ascii="Times New Roman" w:hAnsi="Times New Roman" w:eastAsia="仿宋_GB2312" w:cs="Times New Roman"/>
                      <w:color w:val="auto"/>
                      <w:sz w:val="21"/>
                      <w:szCs w:val="21"/>
                    </w:rPr>
                    <w:t>、pH、氨氮、硝酸盐、亚硝酸盐、挥发性酚类、氰化物、砷、汞、铬（六价）、总硬度、铅、氟化物、镉、铁、锰、盐分、耗氧量（CODMn法，以O</w:t>
                  </w:r>
                  <w:r>
                    <w:rPr>
                      <w:rFonts w:hint="default" w:ascii="Times New Roman" w:hAnsi="Times New Roman" w:eastAsia="仿宋_GB2312" w:cs="Times New Roman"/>
                      <w:color w:val="auto"/>
                      <w:sz w:val="21"/>
                      <w:szCs w:val="21"/>
                      <w:vertAlign w:val="subscript"/>
                    </w:rPr>
                    <w:t>2</w:t>
                  </w:r>
                  <w:r>
                    <w:rPr>
                      <w:rFonts w:hint="default" w:ascii="Times New Roman" w:hAnsi="Times New Roman" w:eastAsia="仿宋_GB2312" w:cs="Times New Roman"/>
                      <w:color w:val="auto"/>
                      <w:sz w:val="21"/>
                      <w:szCs w:val="21"/>
                    </w:rPr>
                    <w:t>计）、硫酸盐、氯化物、总大肠菌数、菌落总数</w:t>
                  </w:r>
                </w:p>
              </w:tc>
              <w:tc>
                <w:tcPr>
                  <w:tcW w:w="650" w:type="pct"/>
                  <w:vAlign w:val="center"/>
                </w:tcPr>
                <w:p w14:paraId="68987439">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1次/年</w:t>
                  </w:r>
                </w:p>
              </w:tc>
              <w:tc>
                <w:tcPr>
                  <w:tcW w:w="611" w:type="pct"/>
                  <w:vMerge w:val="restart"/>
                  <w:vAlign w:val="center"/>
                </w:tcPr>
                <w:p w14:paraId="17F93467">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highlight w:val="yellow"/>
                    </w:rPr>
                  </w:pPr>
                  <w:r>
                    <w:rPr>
                      <w:rFonts w:hint="default" w:ascii="Times New Roman" w:hAnsi="Times New Roman" w:eastAsia="仿宋_GB2312" w:cs="Times New Roman"/>
                      <w:color w:val="auto"/>
                      <w:sz w:val="21"/>
                      <w:szCs w:val="21"/>
                    </w:rPr>
                    <w:t>委托有资质的环境监测机构</w:t>
                  </w:r>
                </w:p>
              </w:tc>
            </w:tr>
            <w:tr w14:paraId="3A55B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340" w:hRule="atLeast"/>
                <w:jc w:val="center"/>
              </w:trPr>
              <w:tc>
                <w:tcPr>
                  <w:tcW w:w="478" w:type="pct"/>
                  <w:vAlign w:val="center"/>
                </w:tcPr>
                <w:p w14:paraId="183736F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土壤</w:t>
                  </w:r>
                </w:p>
              </w:tc>
              <w:tc>
                <w:tcPr>
                  <w:tcW w:w="900" w:type="pct"/>
                  <w:vAlign w:val="center"/>
                </w:tcPr>
                <w:p w14:paraId="241B73F3">
                  <w:pPr>
                    <w:pStyle w:val="284"/>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kern w:val="0"/>
                      <w:sz w:val="21"/>
                      <w:szCs w:val="21"/>
                      <w:lang w:val="zh-CN"/>
                    </w:rPr>
                  </w:pPr>
                  <w:r>
                    <w:rPr>
                      <w:rFonts w:hint="default" w:ascii="Times New Roman" w:hAnsi="Times New Roman" w:eastAsia="仿宋_GB2312" w:cs="Times New Roman"/>
                      <w:color w:val="auto"/>
                      <w:kern w:val="0"/>
                      <w:sz w:val="21"/>
                      <w:szCs w:val="21"/>
                      <w:lang w:val="zh-CN"/>
                    </w:rPr>
                    <w:t>厂区范围内1个表层样</w:t>
                  </w:r>
                </w:p>
              </w:tc>
              <w:tc>
                <w:tcPr>
                  <w:tcW w:w="2358" w:type="pct"/>
                  <w:vAlign w:val="center"/>
                </w:tcPr>
                <w:p w14:paraId="327DD085">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pH、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650" w:type="pct"/>
                  <w:vAlign w:val="center"/>
                </w:tcPr>
                <w:p w14:paraId="17DEAC42">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1次/年</w:t>
                  </w:r>
                </w:p>
              </w:tc>
              <w:tc>
                <w:tcPr>
                  <w:tcW w:w="611" w:type="pct"/>
                  <w:vMerge w:val="continue"/>
                  <w:vAlign w:val="center"/>
                </w:tcPr>
                <w:p w14:paraId="1424A61C">
                  <w:pPr>
                    <w:pStyle w:val="165"/>
                    <w:keepNext w:val="0"/>
                    <w:keepLines w:val="0"/>
                    <w:widowControl w:val="0"/>
                    <w:suppressLineNumbers w:val="0"/>
                    <w:spacing w:before="0" w:beforeAutospacing="0" w:after="0" w:afterAutospacing="0" w:line="320" w:lineRule="exact"/>
                    <w:ind w:left="0" w:right="0"/>
                    <w:rPr>
                      <w:rFonts w:hint="default" w:ascii="Times New Roman" w:hAnsi="Times New Roman" w:eastAsia="仿宋_GB2312" w:cs="Times New Roman"/>
                      <w:color w:val="auto"/>
                      <w:sz w:val="21"/>
                      <w:szCs w:val="21"/>
                      <w:highlight w:val="yellow"/>
                    </w:rPr>
                  </w:pPr>
                </w:p>
              </w:tc>
            </w:tr>
          </w:tbl>
          <w:p w14:paraId="5364CEAF">
            <w:pPr>
              <w:pStyle w:val="2"/>
              <w:keepNext w:val="0"/>
              <w:keepLines w:val="0"/>
              <w:suppressLineNumbers w:val="0"/>
              <w:spacing w:beforeAutospacing="0" w:afterAutospacing="0"/>
              <w:ind w:left="0"/>
              <w:rPr>
                <w:rFonts w:hint="default" w:eastAsia="仿宋_GB2312"/>
                <w:b/>
                <w:color w:val="auto"/>
                <w:kern w:val="0"/>
                <w:sz w:val="22"/>
                <w:szCs w:val="22"/>
              </w:rPr>
            </w:pPr>
          </w:p>
          <w:p w14:paraId="190465D4">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7562A18A">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640B26C1">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383EE4E9">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1C33E674">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6F67EC81">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0D47A628">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4BEFAC48">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1C5E9401">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6D4B3D38">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6602D761">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2A9FC597">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6C7DF37F">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61852213">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2044F354">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1E02362B">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7F07CA46">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1AA677C9">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2E5A54FB">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59940B54">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563E4192">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1218BB84">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43CAEF3B">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487BBCF9">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518143E0">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1CC39068">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24B976CA">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3604BE9A">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294242BC">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7622BFE6">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4F0E3D00">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38CA730E">
            <w:pPr>
              <w:pStyle w:val="3"/>
              <w:keepNext w:val="0"/>
              <w:keepLines w:val="0"/>
              <w:suppressLineNumbers w:val="0"/>
              <w:spacing w:before="0" w:beforeAutospacing="0" w:after="0" w:afterAutospacing="0"/>
              <w:ind w:right="0"/>
              <w:rPr>
                <w:rFonts w:hint="default" w:eastAsia="仿宋_GB2312"/>
                <w:b/>
                <w:color w:val="auto"/>
                <w:kern w:val="0"/>
                <w:sz w:val="22"/>
                <w:szCs w:val="22"/>
              </w:rPr>
            </w:pPr>
          </w:p>
          <w:p w14:paraId="63C6CC4E">
            <w:pPr>
              <w:pStyle w:val="3"/>
              <w:keepNext w:val="0"/>
              <w:keepLines w:val="0"/>
              <w:suppressLineNumbers w:val="0"/>
              <w:spacing w:before="0" w:beforeAutospacing="0" w:after="0" w:afterAutospacing="0"/>
              <w:ind w:left="0" w:leftChars="0" w:right="0" w:firstLine="0" w:firstLineChars="0"/>
              <w:rPr>
                <w:rFonts w:hint="default" w:eastAsia="仿宋_GB2312"/>
                <w:bCs/>
                <w:color w:val="auto"/>
                <w:spacing w:val="-10"/>
                <w:sz w:val="24"/>
              </w:rPr>
            </w:pPr>
          </w:p>
        </w:tc>
      </w:tr>
    </w:tbl>
    <w:p w14:paraId="6C3DCCA1">
      <w:pPr>
        <w:adjustRightInd w:val="0"/>
        <w:snapToGrid w:val="0"/>
        <w:spacing w:line="360" w:lineRule="auto"/>
        <w:rPr>
          <w:rFonts w:eastAsia="仿宋_GB2312"/>
          <w:b/>
          <w:color w:val="auto"/>
          <w:kern w:val="0"/>
          <w:sz w:val="28"/>
          <w:szCs w:val="28"/>
        </w:rPr>
        <w:sectPr>
          <w:pgSz w:w="11907" w:h="16840"/>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p w14:paraId="157E117A">
      <w:pPr>
        <w:pStyle w:val="81"/>
        <w:jc w:val="center"/>
        <w:outlineLvl w:val="0"/>
        <w:rPr>
          <w:rFonts w:ascii="Times New Roman" w:hAnsi="Times New Roman" w:eastAsia="仿宋_GB2312"/>
          <w:b/>
          <w:snapToGrid w:val="0"/>
          <w:color w:val="auto"/>
          <w:sz w:val="30"/>
          <w:szCs w:val="30"/>
        </w:rPr>
      </w:pPr>
      <w:r>
        <w:rPr>
          <w:rFonts w:ascii="Times New Roman" w:hAnsi="Times New Roman" w:eastAsia="仿宋_GB2312"/>
          <w:b/>
          <w:snapToGrid w:val="0"/>
          <w:color w:val="auto"/>
          <w:sz w:val="30"/>
          <w:szCs w:val="30"/>
        </w:rPr>
        <w:t>五、</w:t>
      </w:r>
      <w:bookmarkStart w:id="58" w:name="_Hlk54167917"/>
      <w:r>
        <w:rPr>
          <w:rFonts w:ascii="Times New Roman" w:hAnsi="Times New Roman" w:eastAsia="仿宋_GB2312"/>
          <w:b/>
          <w:snapToGrid w:val="0"/>
          <w:color w:val="auto"/>
          <w:sz w:val="30"/>
          <w:szCs w:val="30"/>
        </w:rPr>
        <w:t>环境保护措施监督检查清单</w:t>
      </w:r>
      <w:bookmarkEnd w:id="58"/>
    </w:p>
    <w:tbl>
      <w:tblPr>
        <w:tblStyle w:val="87"/>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141"/>
        <w:gridCol w:w="1584"/>
        <w:gridCol w:w="1870"/>
        <w:gridCol w:w="2559"/>
        <w:gridCol w:w="2252"/>
      </w:tblGrid>
      <w:tr w14:paraId="03AC7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141" w:type="dxa"/>
            <w:tcBorders>
              <w:tl2br w:val="single" w:color="auto" w:sz="4" w:space="0"/>
            </w:tcBorders>
          </w:tcPr>
          <w:p w14:paraId="33A067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right"/>
              <w:textAlignment w:val="auto"/>
              <w:rPr>
                <w:rFonts w:hint="default" w:eastAsia="仿宋_GB2312"/>
                <w:b/>
                <w:color w:val="auto"/>
                <w:szCs w:val="21"/>
              </w:rPr>
            </w:pPr>
            <w:r>
              <w:rPr>
                <w:rFonts w:hint="default" w:eastAsia="仿宋_GB2312"/>
                <w:b/>
                <w:color w:val="auto"/>
                <w:szCs w:val="21"/>
              </w:rPr>
              <w:t>内容</w:t>
            </w:r>
          </w:p>
          <w:p w14:paraId="181DE7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eastAsia="仿宋_GB2312"/>
                <w:b/>
                <w:color w:val="auto"/>
                <w:szCs w:val="21"/>
              </w:rPr>
            </w:pPr>
            <w:r>
              <w:rPr>
                <w:rFonts w:hint="default" w:eastAsia="仿宋_GB2312"/>
                <w:b/>
                <w:color w:val="auto"/>
                <w:szCs w:val="21"/>
              </w:rPr>
              <w:t>要素</w:t>
            </w:r>
          </w:p>
        </w:tc>
        <w:tc>
          <w:tcPr>
            <w:tcW w:w="1584" w:type="dxa"/>
            <w:vAlign w:val="center"/>
          </w:tcPr>
          <w:p w14:paraId="789258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b/>
                <w:color w:val="auto"/>
                <w:szCs w:val="21"/>
              </w:rPr>
            </w:pPr>
            <w:r>
              <w:rPr>
                <w:rFonts w:hint="default" w:eastAsia="仿宋_GB2312"/>
                <w:b/>
                <w:color w:val="auto"/>
                <w:szCs w:val="21"/>
              </w:rPr>
              <w:t>排放口(编号、名称)/污染源</w:t>
            </w:r>
          </w:p>
        </w:tc>
        <w:tc>
          <w:tcPr>
            <w:tcW w:w="1870" w:type="dxa"/>
            <w:vAlign w:val="center"/>
          </w:tcPr>
          <w:p w14:paraId="0A73AF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b/>
                <w:color w:val="auto"/>
                <w:szCs w:val="21"/>
              </w:rPr>
            </w:pPr>
            <w:r>
              <w:rPr>
                <w:rFonts w:hint="default" w:eastAsia="仿宋_GB2312"/>
                <w:b/>
                <w:color w:val="auto"/>
                <w:szCs w:val="21"/>
              </w:rPr>
              <w:t>污染物项目</w:t>
            </w:r>
          </w:p>
        </w:tc>
        <w:tc>
          <w:tcPr>
            <w:tcW w:w="2559" w:type="dxa"/>
            <w:vAlign w:val="center"/>
          </w:tcPr>
          <w:p w14:paraId="785B97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b/>
                <w:color w:val="auto"/>
                <w:szCs w:val="21"/>
              </w:rPr>
            </w:pPr>
            <w:r>
              <w:rPr>
                <w:rFonts w:hint="default" w:eastAsia="仿宋_GB2312"/>
                <w:b/>
                <w:color w:val="auto"/>
                <w:szCs w:val="21"/>
              </w:rPr>
              <w:t>环境保护措施</w:t>
            </w:r>
          </w:p>
        </w:tc>
        <w:tc>
          <w:tcPr>
            <w:tcW w:w="2252" w:type="dxa"/>
            <w:vAlign w:val="center"/>
          </w:tcPr>
          <w:p w14:paraId="4B1A6C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b/>
                <w:color w:val="auto"/>
                <w:szCs w:val="21"/>
              </w:rPr>
            </w:pPr>
            <w:r>
              <w:rPr>
                <w:rFonts w:hint="default" w:eastAsia="仿宋_GB2312"/>
                <w:b/>
                <w:color w:val="auto"/>
                <w:szCs w:val="21"/>
              </w:rPr>
              <w:t>执行标准</w:t>
            </w:r>
          </w:p>
        </w:tc>
      </w:tr>
      <w:tr w14:paraId="1865E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83" w:hRule="atLeast"/>
          <w:jc w:val="center"/>
        </w:trPr>
        <w:tc>
          <w:tcPr>
            <w:tcW w:w="1141" w:type="dxa"/>
            <w:vMerge w:val="restart"/>
            <w:vAlign w:val="center"/>
          </w:tcPr>
          <w:p w14:paraId="0097F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大气环境</w:t>
            </w:r>
          </w:p>
        </w:tc>
        <w:tc>
          <w:tcPr>
            <w:tcW w:w="1584" w:type="dxa"/>
            <w:vAlign w:val="center"/>
          </w:tcPr>
          <w:p w14:paraId="1434C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color w:val="auto"/>
                <w:szCs w:val="21"/>
                <w:lang w:val="en-US" w:eastAsia="zh-CN"/>
              </w:rPr>
              <w:t>DA001</w:t>
            </w:r>
            <w:r>
              <w:rPr>
                <w:rFonts w:hint="default" w:eastAsia="仿宋_GB2312"/>
                <w:color w:val="auto"/>
                <w:szCs w:val="21"/>
              </w:rPr>
              <w:t>排气筒</w:t>
            </w:r>
          </w:p>
        </w:tc>
        <w:tc>
          <w:tcPr>
            <w:tcW w:w="1870" w:type="dxa"/>
            <w:vAlign w:val="center"/>
          </w:tcPr>
          <w:p w14:paraId="29A4C4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颗粒物</w:t>
            </w:r>
          </w:p>
        </w:tc>
        <w:tc>
          <w:tcPr>
            <w:tcW w:w="2559" w:type="dxa"/>
            <w:vAlign w:val="center"/>
          </w:tcPr>
          <w:p w14:paraId="0C745A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bCs/>
                <w:color w:val="auto"/>
                <w:szCs w:val="21"/>
              </w:rPr>
              <w:t>“布袋除尘”通过15米高排气筒排放（1#排气筒）</w:t>
            </w:r>
          </w:p>
        </w:tc>
        <w:tc>
          <w:tcPr>
            <w:tcW w:w="2252" w:type="dxa"/>
            <w:vMerge w:val="restart"/>
            <w:vAlign w:val="center"/>
          </w:tcPr>
          <w:p w14:paraId="11722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《大气污染物综合排放标准》（DB32/4041-2021）</w:t>
            </w:r>
          </w:p>
        </w:tc>
      </w:tr>
      <w:tr w14:paraId="3E0CD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6ED97A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restart"/>
            <w:vAlign w:val="center"/>
          </w:tcPr>
          <w:p w14:paraId="1A853B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color w:val="auto"/>
                <w:szCs w:val="21"/>
                <w:lang w:val="en-US" w:eastAsia="zh-CN"/>
              </w:rPr>
              <w:t>DA002</w:t>
            </w:r>
            <w:r>
              <w:rPr>
                <w:rFonts w:hint="default" w:eastAsia="仿宋_GB2312"/>
                <w:bCs/>
                <w:color w:val="auto"/>
                <w:szCs w:val="21"/>
              </w:rPr>
              <w:t>排气筒</w:t>
            </w:r>
          </w:p>
        </w:tc>
        <w:tc>
          <w:tcPr>
            <w:tcW w:w="1870" w:type="dxa"/>
            <w:vAlign w:val="center"/>
          </w:tcPr>
          <w:p w14:paraId="126831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color w:val="auto"/>
                <w:szCs w:val="21"/>
              </w:rPr>
              <w:t>非甲烷总烃</w:t>
            </w:r>
          </w:p>
        </w:tc>
        <w:tc>
          <w:tcPr>
            <w:tcW w:w="2559" w:type="dxa"/>
            <w:vMerge w:val="restart"/>
            <w:vAlign w:val="center"/>
          </w:tcPr>
          <w:p w14:paraId="60EC6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bCs/>
                <w:color w:val="auto"/>
                <w:szCs w:val="21"/>
              </w:rPr>
              <w:t>“</w:t>
            </w:r>
            <w:r>
              <w:rPr>
                <w:rFonts w:hint="default" w:eastAsia="仿宋_GB2312"/>
                <w:bCs/>
                <w:color w:val="auto"/>
                <w:szCs w:val="21"/>
              </w:rPr>
              <w:t>酸吸收+碱吸收+</w:t>
            </w:r>
            <w:r>
              <w:rPr>
                <w:rFonts w:hint="eastAsia" w:eastAsia="仿宋_GB2312"/>
                <w:bCs/>
                <w:color w:val="auto"/>
                <w:szCs w:val="21"/>
              </w:rPr>
              <w:t>除雾器</w:t>
            </w:r>
            <w:r>
              <w:rPr>
                <w:rFonts w:hint="default" w:eastAsia="仿宋_GB2312"/>
                <w:bCs/>
                <w:color w:val="auto"/>
                <w:szCs w:val="21"/>
              </w:rPr>
              <w:t>+</w:t>
            </w:r>
            <w:r>
              <w:rPr>
                <w:rFonts w:hint="eastAsia" w:eastAsia="仿宋_GB2312"/>
                <w:bCs/>
                <w:color w:val="auto"/>
                <w:szCs w:val="21"/>
              </w:rPr>
              <w:t>两级</w:t>
            </w:r>
            <w:r>
              <w:rPr>
                <w:rFonts w:hint="default" w:eastAsia="仿宋_GB2312"/>
                <w:bCs/>
                <w:color w:val="auto"/>
                <w:szCs w:val="21"/>
              </w:rPr>
              <w:t>活性炭</w:t>
            </w:r>
            <w:r>
              <w:rPr>
                <w:rFonts w:hint="eastAsia" w:eastAsia="仿宋_GB2312"/>
                <w:bCs/>
                <w:color w:val="auto"/>
                <w:szCs w:val="21"/>
              </w:rPr>
              <w:t>”</w:t>
            </w:r>
            <w:r>
              <w:rPr>
                <w:rFonts w:hint="default" w:eastAsia="仿宋_GB2312"/>
                <w:bCs/>
                <w:color w:val="auto"/>
                <w:szCs w:val="21"/>
              </w:rPr>
              <w:t>吸附</w:t>
            </w:r>
            <w:r>
              <w:rPr>
                <w:rFonts w:hint="eastAsia" w:eastAsia="仿宋_GB2312"/>
                <w:bCs/>
                <w:color w:val="auto"/>
                <w:szCs w:val="21"/>
              </w:rPr>
              <w:t>通过15米高排气筒排放（</w:t>
            </w:r>
            <w:r>
              <w:rPr>
                <w:rFonts w:hint="default" w:eastAsia="仿宋_GB2312"/>
                <w:bCs/>
                <w:color w:val="auto"/>
                <w:szCs w:val="21"/>
              </w:rPr>
              <w:t>2#</w:t>
            </w:r>
            <w:r>
              <w:rPr>
                <w:rFonts w:hint="eastAsia" w:eastAsia="仿宋_GB2312"/>
                <w:bCs/>
                <w:color w:val="auto"/>
                <w:szCs w:val="21"/>
              </w:rPr>
              <w:t>排气筒）</w:t>
            </w:r>
          </w:p>
        </w:tc>
        <w:tc>
          <w:tcPr>
            <w:tcW w:w="2252" w:type="dxa"/>
            <w:vMerge w:val="continue"/>
            <w:vAlign w:val="center"/>
          </w:tcPr>
          <w:p w14:paraId="04DE2A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r>
      <w:tr w14:paraId="3A857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374176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rPr>
            </w:pPr>
          </w:p>
        </w:tc>
        <w:tc>
          <w:tcPr>
            <w:tcW w:w="1584" w:type="dxa"/>
            <w:vMerge w:val="continue"/>
            <w:vAlign w:val="center"/>
          </w:tcPr>
          <w:p w14:paraId="2BFA9D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rPr>
            </w:pPr>
          </w:p>
        </w:tc>
        <w:tc>
          <w:tcPr>
            <w:tcW w:w="1870" w:type="dxa"/>
            <w:vAlign w:val="center"/>
          </w:tcPr>
          <w:p w14:paraId="683801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color w:val="auto"/>
                <w:szCs w:val="21"/>
              </w:rPr>
              <w:t>氯化氢</w:t>
            </w:r>
          </w:p>
        </w:tc>
        <w:tc>
          <w:tcPr>
            <w:tcW w:w="2559" w:type="dxa"/>
            <w:vMerge w:val="continue"/>
            <w:vAlign w:val="center"/>
          </w:tcPr>
          <w:p w14:paraId="4094D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2252" w:type="dxa"/>
            <w:vMerge w:val="continue"/>
            <w:vAlign w:val="center"/>
          </w:tcPr>
          <w:p w14:paraId="703E0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r>
      <w:tr w14:paraId="6972F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1B45C4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continue"/>
            <w:vAlign w:val="center"/>
          </w:tcPr>
          <w:p w14:paraId="17B77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870" w:type="dxa"/>
            <w:vAlign w:val="center"/>
          </w:tcPr>
          <w:p w14:paraId="0626F3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color w:val="auto"/>
                <w:szCs w:val="21"/>
              </w:rPr>
              <w:t>H</w:t>
            </w:r>
            <w:r>
              <w:rPr>
                <w:rFonts w:hint="default" w:eastAsia="仿宋_GB2312"/>
                <w:color w:val="auto"/>
                <w:szCs w:val="21"/>
                <w:vertAlign w:val="subscript"/>
              </w:rPr>
              <w:t>2</w:t>
            </w:r>
            <w:r>
              <w:rPr>
                <w:rFonts w:hint="default" w:eastAsia="仿宋_GB2312"/>
                <w:color w:val="auto"/>
                <w:szCs w:val="21"/>
              </w:rPr>
              <w:t>S</w:t>
            </w:r>
          </w:p>
        </w:tc>
        <w:tc>
          <w:tcPr>
            <w:tcW w:w="2559" w:type="dxa"/>
            <w:vMerge w:val="continue"/>
            <w:vAlign w:val="center"/>
          </w:tcPr>
          <w:p w14:paraId="39DE50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2252" w:type="dxa"/>
            <w:vMerge w:val="restart"/>
            <w:vAlign w:val="center"/>
          </w:tcPr>
          <w:p w14:paraId="70FB5D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color w:val="auto"/>
                <w:szCs w:val="21"/>
              </w:rPr>
              <w:t>《恶臭污染物排放标准》</w:t>
            </w:r>
            <w:r>
              <w:rPr>
                <w:rFonts w:hint="default" w:eastAsia="仿宋_GB2312"/>
                <w:color w:val="auto"/>
                <w:szCs w:val="21"/>
              </w:rPr>
              <w:t>(GB14554-93)</w:t>
            </w:r>
          </w:p>
        </w:tc>
      </w:tr>
      <w:tr w14:paraId="38499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1A1455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continue"/>
            <w:vAlign w:val="center"/>
          </w:tcPr>
          <w:p w14:paraId="3BBA2F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870" w:type="dxa"/>
            <w:vAlign w:val="center"/>
          </w:tcPr>
          <w:p w14:paraId="227CA2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NH</w:t>
            </w:r>
            <w:r>
              <w:rPr>
                <w:rFonts w:hint="default" w:eastAsia="仿宋_GB2312"/>
                <w:color w:val="auto"/>
                <w:szCs w:val="21"/>
                <w:vertAlign w:val="subscript"/>
              </w:rPr>
              <w:t>3</w:t>
            </w:r>
          </w:p>
        </w:tc>
        <w:tc>
          <w:tcPr>
            <w:tcW w:w="2559" w:type="dxa"/>
            <w:vMerge w:val="continue"/>
            <w:vAlign w:val="center"/>
          </w:tcPr>
          <w:p w14:paraId="30ABA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2252" w:type="dxa"/>
            <w:vMerge w:val="continue"/>
            <w:vAlign w:val="center"/>
          </w:tcPr>
          <w:p w14:paraId="1ED183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r>
      <w:tr w14:paraId="70193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4E47B3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continue"/>
            <w:vAlign w:val="center"/>
          </w:tcPr>
          <w:p w14:paraId="6A44EC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870" w:type="dxa"/>
            <w:vAlign w:val="center"/>
          </w:tcPr>
          <w:p w14:paraId="7A222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eastAsia="仿宋_GB2312"/>
                <w:color w:val="auto"/>
                <w:szCs w:val="21"/>
                <w:lang w:eastAsia="zh-CN"/>
              </w:rPr>
            </w:pPr>
            <w:r>
              <w:rPr>
                <w:rFonts w:hint="eastAsia" w:eastAsia="仿宋_GB2312"/>
                <w:color w:val="auto"/>
                <w:szCs w:val="21"/>
                <w:lang w:eastAsia="zh-CN"/>
              </w:rPr>
              <w:t>臭气浓度</w:t>
            </w:r>
          </w:p>
        </w:tc>
        <w:tc>
          <w:tcPr>
            <w:tcW w:w="2559" w:type="dxa"/>
            <w:vMerge w:val="continue"/>
            <w:vAlign w:val="center"/>
          </w:tcPr>
          <w:p w14:paraId="1899AF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2252" w:type="dxa"/>
            <w:vMerge w:val="continue"/>
            <w:vAlign w:val="center"/>
          </w:tcPr>
          <w:p w14:paraId="71B3B1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r>
      <w:tr w14:paraId="67052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2A74A3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restart"/>
            <w:vAlign w:val="center"/>
          </w:tcPr>
          <w:p w14:paraId="32BB7E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color w:val="auto"/>
                <w:szCs w:val="21"/>
                <w:lang w:val="en-US" w:eastAsia="zh-CN"/>
              </w:rPr>
              <w:t>DA003</w:t>
            </w:r>
            <w:r>
              <w:rPr>
                <w:rFonts w:hint="default" w:eastAsia="仿宋_GB2312"/>
                <w:bCs/>
                <w:color w:val="auto"/>
                <w:szCs w:val="21"/>
              </w:rPr>
              <w:t>排气筒</w:t>
            </w:r>
          </w:p>
        </w:tc>
        <w:tc>
          <w:tcPr>
            <w:tcW w:w="1870" w:type="dxa"/>
            <w:vAlign w:val="center"/>
          </w:tcPr>
          <w:p w14:paraId="64C5328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eastAsia="仿宋_GB2312"/>
                <w:color w:val="auto"/>
                <w:szCs w:val="21"/>
              </w:rPr>
            </w:pPr>
            <w:r>
              <w:rPr>
                <w:rFonts w:hint="default" w:ascii="Times New Roman" w:hAnsi="Times New Roman"/>
                <w:color w:val="auto"/>
                <w:sz w:val="21"/>
              </w:rPr>
              <w:t>SO</w:t>
            </w:r>
            <w:r>
              <w:rPr>
                <w:rFonts w:hint="default" w:ascii="Times New Roman" w:hAnsi="Times New Roman"/>
                <w:color w:val="auto"/>
                <w:sz w:val="21"/>
                <w:vertAlign w:val="subscript"/>
              </w:rPr>
              <w:t>2</w:t>
            </w:r>
          </w:p>
        </w:tc>
        <w:tc>
          <w:tcPr>
            <w:tcW w:w="2559" w:type="dxa"/>
            <w:vMerge w:val="restart"/>
            <w:vAlign w:val="center"/>
          </w:tcPr>
          <w:p w14:paraId="4E6E8D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eastAsia="仿宋_GB2312"/>
                <w:color w:val="auto"/>
                <w:szCs w:val="21"/>
                <w:lang w:val="en-US" w:eastAsia="zh-CN"/>
              </w:rPr>
            </w:pPr>
            <w:r>
              <w:rPr>
                <w:rFonts w:hint="eastAsia" w:eastAsia="仿宋_GB2312"/>
                <w:color w:val="auto"/>
                <w:szCs w:val="21"/>
                <w:lang w:val="en-US" w:eastAsia="zh-CN"/>
              </w:rPr>
              <w:t>/</w:t>
            </w:r>
          </w:p>
        </w:tc>
        <w:tc>
          <w:tcPr>
            <w:tcW w:w="2252" w:type="dxa"/>
            <w:vMerge w:val="restart"/>
            <w:vAlign w:val="center"/>
          </w:tcPr>
          <w:p w14:paraId="46B59F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参照《锅炉大气污染物排放标准》（DB32/4385-2022）*</w:t>
            </w:r>
          </w:p>
        </w:tc>
      </w:tr>
      <w:tr w14:paraId="22A5B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350C31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continue"/>
            <w:vAlign w:val="center"/>
          </w:tcPr>
          <w:p w14:paraId="1A239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870" w:type="dxa"/>
            <w:vAlign w:val="center"/>
          </w:tcPr>
          <w:p w14:paraId="3CD6F51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eastAsia="仿宋_GB2312"/>
                <w:color w:val="auto"/>
                <w:szCs w:val="21"/>
              </w:rPr>
            </w:pPr>
            <w:r>
              <w:rPr>
                <w:rFonts w:hint="default" w:ascii="Times New Roman" w:hAnsi="Times New Roman"/>
                <w:color w:val="auto"/>
                <w:sz w:val="21"/>
              </w:rPr>
              <w:t>NO</w:t>
            </w:r>
            <w:r>
              <w:rPr>
                <w:rFonts w:hint="eastAsia" w:ascii="Times New Roman" w:hAnsi="Times New Roman"/>
                <w:color w:val="auto"/>
                <w:sz w:val="21"/>
                <w:vertAlign w:val="subscript"/>
              </w:rPr>
              <w:t>X</w:t>
            </w:r>
          </w:p>
        </w:tc>
        <w:tc>
          <w:tcPr>
            <w:tcW w:w="2559" w:type="dxa"/>
            <w:vMerge w:val="continue"/>
            <w:vAlign w:val="center"/>
          </w:tcPr>
          <w:p w14:paraId="4552A6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2252" w:type="dxa"/>
            <w:vMerge w:val="continue"/>
            <w:vAlign w:val="center"/>
          </w:tcPr>
          <w:p w14:paraId="14F8B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r>
      <w:tr w14:paraId="6D6FE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35F797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continue"/>
            <w:vAlign w:val="center"/>
          </w:tcPr>
          <w:p w14:paraId="1F0BA5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870" w:type="dxa"/>
            <w:vAlign w:val="center"/>
          </w:tcPr>
          <w:p w14:paraId="1124C1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bCs/>
                <w:color w:val="auto"/>
                <w:szCs w:val="21"/>
              </w:rPr>
            </w:pPr>
            <w:r>
              <w:rPr>
                <w:rFonts w:hint="eastAsia" w:eastAsia="仿宋_GB2312"/>
                <w:bCs/>
                <w:color w:val="auto"/>
                <w:szCs w:val="21"/>
              </w:rPr>
              <w:t>颗粒物</w:t>
            </w:r>
          </w:p>
        </w:tc>
        <w:tc>
          <w:tcPr>
            <w:tcW w:w="2559" w:type="dxa"/>
            <w:vMerge w:val="continue"/>
            <w:vAlign w:val="center"/>
          </w:tcPr>
          <w:p w14:paraId="2C58D8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2252" w:type="dxa"/>
            <w:vMerge w:val="continue"/>
            <w:vAlign w:val="center"/>
          </w:tcPr>
          <w:p w14:paraId="3EDCF9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r>
      <w:tr w14:paraId="088E3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141" w:type="dxa"/>
            <w:vMerge w:val="continue"/>
            <w:vAlign w:val="center"/>
          </w:tcPr>
          <w:p w14:paraId="2B15E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continue"/>
            <w:vAlign w:val="center"/>
          </w:tcPr>
          <w:p w14:paraId="45D36A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870" w:type="dxa"/>
            <w:vAlign w:val="center"/>
          </w:tcPr>
          <w:p w14:paraId="2F8EF2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eastAsia="仿宋_GB2312"/>
                <w:bCs/>
                <w:color w:val="auto"/>
                <w:szCs w:val="21"/>
              </w:rPr>
            </w:pPr>
            <w:r>
              <w:rPr>
                <w:rFonts w:hint="eastAsia" w:eastAsia="仿宋_GB2312"/>
                <w:bCs/>
                <w:color w:val="auto"/>
                <w:szCs w:val="21"/>
              </w:rPr>
              <w:t xml:space="preserve">烟气黑度（林格曼） </w:t>
            </w:r>
          </w:p>
        </w:tc>
        <w:tc>
          <w:tcPr>
            <w:tcW w:w="2559" w:type="dxa"/>
            <w:vMerge w:val="continue"/>
            <w:vAlign w:val="center"/>
          </w:tcPr>
          <w:p w14:paraId="409B0B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2252" w:type="dxa"/>
            <w:vMerge w:val="continue"/>
            <w:vAlign w:val="center"/>
          </w:tcPr>
          <w:p w14:paraId="335F15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r>
      <w:tr w14:paraId="66276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141" w:type="dxa"/>
            <w:vAlign w:val="center"/>
          </w:tcPr>
          <w:p w14:paraId="50909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地表水环境</w:t>
            </w:r>
          </w:p>
        </w:tc>
        <w:tc>
          <w:tcPr>
            <w:tcW w:w="1584" w:type="dxa"/>
            <w:vAlign w:val="center"/>
          </w:tcPr>
          <w:p w14:paraId="1BFAF99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0" w:right="0"/>
              <w:jc w:val="center"/>
              <w:textAlignment w:val="auto"/>
              <w:rPr>
                <w:rFonts w:hint="eastAsia" w:eastAsia="仿宋_GB2312"/>
                <w:color w:val="auto"/>
                <w:szCs w:val="21"/>
                <w:lang w:eastAsia="zh-CN"/>
              </w:rPr>
            </w:pPr>
            <w:r>
              <w:rPr>
                <w:rFonts w:hint="default" w:eastAsia="仿宋_GB2312"/>
                <w:color w:val="auto"/>
                <w:szCs w:val="21"/>
              </w:rPr>
              <w:t>生活污水</w:t>
            </w:r>
            <w:r>
              <w:rPr>
                <w:rFonts w:hint="eastAsia" w:eastAsia="仿宋_GB2312"/>
                <w:color w:val="auto"/>
                <w:szCs w:val="21"/>
                <w:lang w:eastAsia="zh-CN"/>
              </w:rPr>
              <w:t>、纯水制备产生的浓水</w:t>
            </w:r>
          </w:p>
        </w:tc>
        <w:tc>
          <w:tcPr>
            <w:tcW w:w="1870" w:type="dxa"/>
            <w:vAlign w:val="center"/>
          </w:tcPr>
          <w:p w14:paraId="32DEB9B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COD、</w:t>
            </w:r>
            <w:r>
              <w:rPr>
                <w:rFonts w:hint="default" w:eastAsia="仿宋_GB2312"/>
                <w:bCs/>
                <w:color w:val="auto"/>
                <w:szCs w:val="21"/>
              </w:rPr>
              <w:t>SS、NH</w:t>
            </w:r>
            <w:r>
              <w:rPr>
                <w:rFonts w:hint="default" w:eastAsia="仿宋_GB2312"/>
                <w:bCs/>
                <w:color w:val="auto"/>
                <w:szCs w:val="21"/>
                <w:vertAlign w:val="subscript"/>
              </w:rPr>
              <w:t>3</w:t>
            </w:r>
            <w:r>
              <w:rPr>
                <w:rFonts w:hint="default" w:eastAsia="仿宋_GB2312"/>
                <w:bCs/>
                <w:color w:val="auto"/>
                <w:szCs w:val="21"/>
              </w:rPr>
              <w:t>-N、TN、TP</w:t>
            </w:r>
          </w:p>
        </w:tc>
        <w:tc>
          <w:tcPr>
            <w:tcW w:w="2559" w:type="dxa"/>
            <w:vAlign w:val="center"/>
          </w:tcPr>
          <w:p w14:paraId="187137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eastAsia" w:eastAsia="仿宋_GB2312"/>
                <w:color w:val="auto"/>
                <w:szCs w:val="21"/>
                <w:lang w:eastAsia="zh-CN"/>
              </w:rPr>
              <w:t>接管至</w:t>
            </w:r>
            <w:r>
              <w:rPr>
                <w:rFonts w:hint="default" w:eastAsia="仿宋_GB2312"/>
                <w:color w:val="auto"/>
                <w:szCs w:val="21"/>
              </w:rPr>
              <w:t>常州金坛区第二污水处理有限公司</w:t>
            </w:r>
          </w:p>
        </w:tc>
        <w:tc>
          <w:tcPr>
            <w:tcW w:w="2252" w:type="dxa"/>
            <w:vAlign w:val="center"/>
          </w:tcPr>
          <w:p w14:paraId="54A2E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接管标准</w:t>
            </w:r>
          </w:p>
        </w:tc>
      </w:tr>
      <w:tr w14:paraId="004B2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30" w:hRule="atLeast"/>
          <w:jc w:val="center"/>
        </w:trPr>
        <w:tc>
          <w:tcPr>
            <w:tcW w:w="1141" w:type="dxa"/>
            <w:vAlign w:val="center"/>
          </w:tcPr>
          <w:p w14:paraId="1032A6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声环境</w:t>
            </w:r>
          </w:p>
        </w:tc>
        <w:tc>
          <w:tcPr>
            <w:tcW w:w="8265" w:type="dxa"/>
            <w:gridSpan w:val="4"/>
            <w:vAlign w:val="center"/>
          </w:tcPr>
          <w:p w14:paraId="20E6246D">
            <w:pPr>
              <w:pStyle w:val="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0" w:right="0" w:firstLine="0" w:firstLineChars="0"/>
              <w:jc w:val="center"/>
              <w:textAlignment w:val="auto"/>
              <w:rPr>
                <w:rFonts w:hint="default" w:eastAsia="仿宋_GB2312"/>
                <w:bCs/>
                <w:color w:val="auto"/>
                <w:szCs w:val="21"/>
              </w:rPr>
            </w:pPr>
            <w:r>
              <w:rPr>
                <w:rFonts w:hint="default" w:eastAsia="仿宋_GB2312"/>
                <w:color w:val="auto"/>
                <w:szCs w:val="21"/>
              </w:rPr>
              <w:t>在采取噪声防治措施的前提下，本项目所在地东、西、北厂界噪声贡献值能够符合《工业企业厂界环境噪声排放标准》（GB12348-2008）中的3类标准限值，南厂界噪声贡献值能够符合《工业企业厂界环境噪声排放标准》（GB12348-2008）中的4类标准限值。因此，本项目噪声对周围声环境影响较小。</w:t>
            </w:r>
          </w:p>
        </w:tc>
      </w:tr>
      <w:tr w14:paraId="5DFE7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141" w:type="dxa"/>
            <w:vAlign w:val="center"/>
          </w:tcPr>
          <w:p w14:paraId="57A200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电磁辐射</w:t>
            </w:r>
          </w:p>
        </w:tc>
        <w:tc>
          <w:tcPr>
            <w:tcW w:w="1584" w:type="dxa"/>
            <w:vAlign w:val="center"/>
          </w:tcPr>
          <w:p w14:paraId="290552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w:t>
            </w:r>
          </w:p>
        </w:tc>
        <w:tc>
          <w:tcPr>
            <w:tcW w:w="1870" w:type="dxa"/>
            <w:vAlign w:val="center"/>
          </w:tcPr>
          <w:p w14:paraId="7FE10659">
            <w:pPr>
              <w:pStyle w:val="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0" w:right="0" w:firstLine="0" w:firstLineChars="0"/>
              <w:jc w:val="center"/>
              <w:textAlignment w:val="auto"/>
              <w:rPr>
                <w:rFonts w:hint="default" w:eastAsia="仿宋_GB2312"/>
                <w:bCs/>
                <w:color w:val="auto"/>
                <w:szCs w:val="21"/>
              </w:rPr>
            </w:pPr>
            <w:r>
              <w:rPr>
                <w:rFonts w:hint="default" w:eastAsia="仿宋_GB2312"/>
                <w:bCs/>
                <w:color w:val="auto"/>
                <w:szCs w:val="21"/>
              </w:rPr>
              <w:t>/</w:t>
            </w:r>
          </w:p>
        </w:tc>
        <w:tc>
          <w:tcPr>
            <w:tcW w:w="2559" w:type="dxa"/>
            <w:vAlign w:val="center"/>
          </w:tcPr>
          <w:p w14:paraId="206449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w:t>
            </w:r>
          </w:p>
        </w:tc>
        <w:tc>
          <w:tcPr>
            <w:tcW w:w="2252" w:type="dxa"/>
            <w:vAlign w:val="center"/>
          </w:tcPr>
          <w:p w14:paraId="2275F5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w:t>
            </w:r>
          </w:p>
        </w:tc>
      </w:tr>
      <w:tr w14:paraId="53AF0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22" w:hRule="atLeast"/>
          <w:jc w:val="center"/>
        </w:trPr>
        <w:tc>
          <w:tcPr>
            <w:tcW w:w="1141" w:type="dxa"/>
            <w:vMerge w:val="restart"/>
            <w:vAlign w:val="center"/>
          </w:tcPr>
          <w:p w14:paraId="1AF398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固体废物</w:t>
            </w:r>
          </w:p>
        </w:tc>
        <w:tc>
          <w:tcPr>
            <w:tcW w:w="1584" w:type="dxa"/>
            <w:vMerge w:val="restart"/>
            <w:vAlign w:val="center"/>
          </w:tcPr>
          <w:p w14:paraId="2CDE2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生产过程</w:t>
            </w:r>
          </w:p>
        </w:tc>
        <w:tc>
          <w:tcPr>
            <w:tcW w:w="1870" w:type="dxa"/>
            <w:vAlign w:val="center"/>
          </w:tcPr>
          <w:p w14:paraId="228DF276">
            <w:pPr>
              <w:pStyle w:val="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0" w:right="0" w:firstLine="0" w:firstLineChars="0"/>
              <w:jc w:val="center"/>
              <w:textAlignment w:val="auto"/>
              <w:rPr>
                <w:rFonts w:hint="default" w:eastAsia="仿宋_GB2312"/>
                <w:bCs/>
                <w:color w:val="auto"/>
                <w:szCs w:val="21"/>
              </w:rPr>
            </w:pPr>
            <w:r>
              <w:rPr>
                <w:rFonts w:hint="default" w:eastAsia="仿宋_GB2312"/>
                <w:bCs/>
                <w:color w:val="auto"/>
                <w:szCs w:val="21"/>
              </w:rPr>
              <w:t>废包装材料、车间清洁废物、废矿物油、废树脂、废陶瓷膜、废超滤、纳滤膜、实验室废物、蒸发残渣、废活性炭、污泥等</w:t>
            </w:r>
          </w:p>
        </w:tc>
        <w:tc>
          <w:tcPr>
            <w:tcW w:w="2559" w:type="dxa"/>
            <w:vAlign w:val="center"/>
          </w:tcPr>
          <w:p w14:paraId="78BAE642">
            <w:pPr>
              <w:pStyle w:val="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0" w:right="0" w:firstLine="0" w:firstLineChars="0"/>
              <w:jc w:val="center"/>
              <w:textAlignment w:val="auto"/>
              <w:rPr>
                <w:rFonts w:hint="default" w:eastAsia="仿宋_GB2312"/>
                <w:bCs/>
                <w:color w:val="auto"/>
                <w:szCs w:val="21"/>
              </w:rPr>
            </w:pPr>
            <w:r>
              <w:rPr>
                <w:rFonts w:hint="default" w:eastAsia="仿宋_GB2312"/>
                <w:bCs/>
                <w:color w:val="auto"/>
                <w:szCs w:val="21"/>
              </w:rPr>
              <w:t>委托有资质单位处置</w:t>
            </w:r>
          </w:p>
        </w:tc>
        <w:tc>
          <w:tcPr>
            <w:tcW w:w="2252" w:type="dxa"/>
            <w:vMerge w:val="restart"/>
            <w:vAlign w:val="center"/>
          </w:tcPr>
          <w:p w14:paraId="633E2E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固废“零排放”</w:t>
            </w:r>
          </w:p>
        </w:tc>
      </w:tr>
      <w:tr w14:paraId="2026B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3" w:hRule="atLeast"/>
          <w:jc w:val="center"/>
        </w:trPr>
        <w:tc>
          <w:tcPr>
            <w:tcW w:w="1141" w:type="dxa"/>
            <w:vMerge w:val="continue"/>
            <w:vAlign w:val="center"/>
          </w:tcPr>
          <w:p w14:paraId="5E3875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584" w:type="dxa"/>
            <w:vMerge w:val="continue"/>
            <w:vAlign w:val="center"/>
          </w:tcPr>
          <w:p w14:paraId="1EA9B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c>
          <w:tcPr>
            <w:tcW w:w="1870" w:type="dxa"/>
            <w:vAlign w:val="center"/>
          </w:tcPr>
          <w:p w14:paraId="1C90FAD2">
            <w:pPr>
              <w:pStyle w:val="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0" w:right="0" w:firstLine="0" w:firstLineChars="0"/>
              <w:jc w:val="center"/>
              <w:textAlignment w:val="auto"/>
              <w:rPr>
                <w:rFonts w:hint="default" w:eastAsia="仿宋_GB2312"/>
                <w:bCs/>
                <w:color w:val="auto"/>
                <w:szCs w:val="21"/>
              </w:rPr>
            </w:pPr>
            <w:r>
              <w:rPr>
                <w:rFonts w:hint="default" w:eastAsia="仿宋_GB2312"/>
                <w:bCs/>
                <w:color w:val="auto"/>
                <w:szCs w:val="21"/>
              </w:rPr>
              <w:t>生活垃圾</w:t>
            </w:r>
          </w:p>
        </w:tc>
        <w:tc>
          <w:tcPr>
            <w:tcW w:w="2559" w:type="dxa"/>
            <w:vAlign w:val="center"/>
          </w:tcPr>
          <w:p w14:paraId="2C49AA65">
            <w:pPr>
              <w:pStyle w:val="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0" w:right="0" w:firstLine="0" w:firstLineChars="0"/>
              <w:jc w:val="center"/>
              <w:textAlignment w:val="auto"/>
              <w:rPr>
                <w:rFonts w:hint="default" w:eastAsia="仿宋_GB2312"/>
                <w:bCs/>
                <w:color w:val="auto"/>
                <w:szCs w:val="21"/>
              </w:rPr>
            </w:pPr>
            <w:r>
              <w:rPr>
                <w:rFonts w:hint="default" w:eastAsia="仿宋_GB2312"/>
                <w:bCs/>
                <w:color w:val="auto"/>
                <w:szCs w:val="21"/>
              </w:rPr>
              <w:t>环卫部门收集</w:t>
            </w:r>
          </w:p>
        </w:tc>
        <w:tc>
          <w:tcPr>
            <w:tcW w:w="2252" w:type="dxa"/>
            <w:vMerge w:val="continue"/>
            <w:vAlign w:val="center"/>
          </w:tcPr>
          <w:p w14:paraId="5C87F0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p>
        </w:tc>
      </w:tr>
      <w:tr w14:paraId="3878B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12" w:hRule="atLeast"/>
          <w:jc w:val="center"/>
        </w:trPr>
        <w:tc>
          <w:tcPr>
            <w:tcW w:w="1141" w:type="dxa"/>
            <w:vAlign w:val="center"/>
          </w:tcPr>
          <w:p w14:paraId="602C47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土壤及地下水污染防治措施</w:t>
            </w:r>
          </w:p>
        </w:tc>
        <w:tc>
          <w:tcPr>
            <w:tcW w:w="8265" w:type="dxa"/>
            <w:gridSpan w:val="4"/>
            <w:vAlign w:val="center"/>
          </w:tcPr>
          <w:p w14:paraId="2A653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default" w:eastAsia="仿宋_GB2312"/>
                <w:color w:val="auto"/>
                <w:szCs w:val="21"/>
              </w:rPr>
            </w:pPr>
            <w:r>
              <w:rPr>
                <w:rFonts w:hint="default" w:eastAsia="仿宋_GB2312"/>
                <w:color w:val="auto"/>
                <w:szCs w:val="21"/>
              </w:rPr>
              <w:t>（1）采取防控措施从源头控制对土壤和地下水的污染。从设计、管理、物料运输上，防止和减少污染物的跑冒滴漏，合理布局，减少污染物的泄漏途径。</w:t>
            </w:r>
          </w:p>
          <w:p w14:paraId="1E2349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default" w:eastAsia="仿宋_GB2312"/>
                <w:color w:val="auto"/>
                <w:szCs w:val="21"/>
              </w:rPr>
            </w:pPr>
            <w:r>
              <w:rPr>
                <w:rFonts w:hint="default" w:eastAsia="仿宋_GB2312"/>
                <w:color w:val="auto"/>
                <w:szCs w:val="21"/>
              </w:rPr>
              <w:t>（2）实行分区防控，将中水回用装置区设置为地下水、土壤重点污染防渗区，直接在地面设置防渗措施，一旦污染物泄漏能及时发现和处理。</w:t>
            </w:r>
          </w:p>
          <w:p w14:paraId="10027F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default" w:eastAsia="仿宋_GB2312"/>
                <w:color w:val="auto"/>
                <w:szCs w:val="21"/>
              </w:rPr>
            </w:pPr>
            <w:r>
              <w:rPr>
                <w:rFonts w:hint="default" w:eastAsia="仿宋_GB2312"/>
                <w:color w:val="auto"/>
                <w:szCs w:val="21"/>
              </w:rPr>
              <w:t>（3）加强废气污染防治措施管理和维护，确保其正常运行，减少气态污染物沉降造成土壤污染。占地范围内应采取绿化措施，以种植具有较强吸附能力的植物为主。</w:t>
            </w:r>
          </w:p>
        </w:tc>
      </w:tr>
      <w:tr w14:paraId="2124B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41" w:type="dxa"/>
            <w:vAlign w:val="center"/>
          </w:tcPr>
          <w:p w14:paraId="7169B2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生态保护措施</w:t>
            </w:r>
          </w:p>
        </w:tc>
        <w:tc>
          <w:tcPr>
            <w:tcW w:w="8265" w:type="dxa"/>
            <w:gridSpan w:val="4"/>
            <w:vAlign w:val="center"/>
          </w:tcPr>
          <w:p w14:paraId="29ADA3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w:t>
            </w:r>
          </w:p>
        </w:tc>
      </w:tr>
      <w:tr w14:paraId="58F08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06" w:hRule="atLeast"/>
          <w:jc w:val="center"/>
        </w:trPr>
        <w:tc>
          <w:tcPr>
            <w:tcW w:w="1141" w:type="dxa"/>
            <w:vAlign w:val="center"/>
          </w:tcPr>
          <w:p w14:paraId="59BF05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环境风险</w:t>
            </w:r>
          </w:p>
          <w:p w14:paraId="658FB8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防范措施</w:t>
            </w:r>
          </w:p>
        </w:tc>
        <w:tc>
          <w:tcPr>
            <w:tcW w:w="8265" w:type="dxa"/>
            <w:gridSpan w:val="4"/>
            <w:vAlign w:val="center"/>
          </w:tcPr>
          <w:p w14:paraId="61C71A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eastAsia="仿宋_GB2312"/>
                <w:color w:val="auto"/>
                <w:szCs w:val="21"/>
              </w:rPr>
            </w:pPr>
            <w:r>
              <w:rPr>
                <w:rFonts w:hint="eastAsia" w:eastAsia="仿宋_GB2312"/>
                <w:color w:val="auto"/>
                <w:szCs w:val="21"/>
                <w:lang w:val="en-US" w:eastAsia="zh-CN"/>
              </w:rPr>
              <w:t>1</w:t>
            </w:r>
            <w:r>
              <w:rPr>
                <w:rFonts w:hint="default" w:eastAsia="仿宋_GB2312"/>
                <w:color w:val="auto"/>
                <w:szCs w:val="21"/>
              </w:rPr>
              <w:t>、</w:t>
            </w:r>
            <w:r>
              <w:rPr>
                <w:rFonts w:hint="eastAsia" w:eastAsia="仿宋_GB2312"/>
                <w:color w:val="auto"/>
                <w:szCs w:val="21"/>
                <w:lang w:eastAsia="zh-CN"/>
              </w:rPr>
              <w:t>本项目</w:t>
            </w:r>
            <w:r>
              <w:rPr>
                <w:rFonts w:hint="default" w:eastAsia="仿宋_GB2312"/>
                <w:color w:val="auto"/>
                <w:szCs w:val="21"/>
              </w:rPr>
              <w:t>依托</w:t>
            </w:r>
            <w:r>
              <w:rPr>
                <w:rFonts w:hint="eastAsia" w:eastAsia="仿宋_GB2312"/>
                <w:color w:val="auto"/>
                <w:szCs w:val="21"/>
                <w:lang w:eastAsia="zh-CN"/>
              </w:rPr>
              <w:t>出租方</w:t>
            </w:r>
            <w:r>
              <w:rPr>
                <w:rFonts w:hint="default" w:eastAsia="仿宋_GB2312"/>
                <w:color w:val="auto"/>
                <w:szCs w:val="21"/>
              </w:rPr>
              <w:t>现有的两座事故应急池，容积各为400m</w:t>
            </w:r>
            <w:r>
              <w:rPr>
                <w:rFonts w:hint="default" w:eastAsia="仿宋_GB2312"/>
                <w:color w:val="auto"/>
                <w:szCs w:val="21"/>
                <w:vertAlign w:val="superscript"/>
              </w:rPr>
              <w:t>3</w:t>
            </w:r>
            <w:r>
              <w:rPr>
                <w:rFonts w:hint="default" w:eastAsia="仿宋_GB2312"/>
                <w:color w:val="auto"/>
                <w:szCs w:val="21"/>
              </w:rPr>
              <w:t>，总容积为800m</w:t>
            </w:r>
            <w:r>
              <w:rPr>
                <w:rFonts w:hint="default" w:eastAsia="仿宋_GB2312"/>
                <w:color w:val="auto"/>
                <w:szCs w:val="21"/>
                <w:vertAlign w:val="superscript"/>
              </w:rPr>
              <w:t>3</w:t>
            </w:r>
            <w:r>
              <w:rPr>
                <w:rFonts w:hint="default" w:eastAsia="仿宋_GB2312"/>
                <w:color w:val="auto"/>
                <w:szCs w:val="21"/>
              </w:rPr>
              <w:t>。；</w:t>
            </w:r>
          </w:p>
          <w:p w14:paraId="3BF4ED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eastAsia="仿宋_GB2312"/>
                <w:color w:val="auto"/>
                <w:szCs w:val="21"/>
              </w:rPr>
            </w:pPr>
            <w:r>
              <w:rPr>
                <w:rFonts w:hint="eastAsia" w:eastAsia="仿宋_GB2312"/>
                <w:color w:val="auto"/>
                <w:szCs w:val="21"/>
                <w:lang w:val="en-US" w:eastAsia="zh-CN"/>
              </w:rPr>
              <w:t>2</w:t>
            </w:r>
            <w:r>
              <w:rPr>
                <w:rFonts w:hint="default" w:eastAsia="仿宋_GB2312"/>
                <w:color w:val="auto"/>
                <w:szCs w:val="21"/>
              </w:rPr>
              <w:t>、本项目依托</w:t>
            </w:r>
            <w:r>
              <w:rPr>
                <w:rFonts w:hint="eastAsia" w:eastAsia="仿宋_GB2312"/>
                <w:color w:val="auto"/>
                <w:szCs w:val="21"/>
                <w:lang w:eastAsia="zh-CN"/>
              </w:rPr>
              <w:t>出租方</w:t>
            </w:r>
            <w:r>
              <w:rPr>
                <w:rFonts w:hint="default" w:eastAsia="仿宋_GB2312"/>
                <w:color w:val="auto"/>
                <w:szCs w:val="21"/>
              </w:rPr>
              <w:t>现有消防水系统，设置2座地下消防水池及泵房，消防水池有效容积分别为498.69m</w:t>
            </w:r>
            <w:r>
              <w:rPr>
                <w:rFonts w:hint="default" w:eastAsia="仿宋_GB2312"/>
                <w:color w:val="auto"/>
                <w:szCs w:val="21"/>
                <w:vertAlign w:val="superscript"/>
              </w:rPr>
              <w:t>3</w:t>
            </w:r>
            <w:r>
              <w:rPr>
                <w:rFonts w:hint="default" w:eastAsia="仿宋_GB2312"/>
                <w:color w:val="auto"/>
                <w:szCs w:val="21"/>
              </w:rPr>
              <w:t>和1420.03m</w:t>
            </w:r>
            <w:r>
              <w:rPr>
                <w:rFonts w:hint="default" w:eastAsia="仿宋_GB2312"/>
                <w:color w:val="auto"/>
                <w:szCs w:val="21"/>
                <w:vertAlign w:val="superscript"/>
              </w:rPr>
              <w:t>3</w:t>
            </w:r>
            <w:r>
              <w:rPr>
                <w:rFonts w:hint="default" w:eastAsia="仿宋_GB2312"/>
                <w:color w:val="auto"/>
                <w:szCs w:val="21"/>
              </w:rPr>
              <w:t>，</w:t>
            </w:r>
          </w:p>
          <w:p w14:paraId="13281D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default" w:eastAsia="仿宋_GB2312"/>
                <w:color w:val="auto"/>
                <w:szCs w:val="21"/>
              </w:rPr>
            </w:pPr>
            <w:r>
              <w:rPr>
                <w:rFonts w:hint="eastAsia" w:eastAsia="仿宋_GB2312"/>
                <w:color w:val="auto"/>
                <w:szCs w:val="21"/>
                <w:lang w:val="en-US" w:eastAsia="zh-CN"/>
              </w:rPr>
              <w:t>3</w:t>
            </w:r>
            <w:r>
              <w:rPr>
                <w:rFonts w:hint="default" w:eastAsia="仿宋_GB2312"/>
                <w:color w:val="auto"/>
                <w:szCs w:val="21"/>
              </w:rPr>
              <w:t>、置若干灭火器、消火栓等消防器材。</w:t>
            </w:r>
          </w:p>
        </w:tc>
      </w:tr>
      <w:tr w14:paraId="014BD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41" w:type="dxa"/>
            <w:vAlign w:val="center"/>
          </w:tcPr>
          <w:p w14:paraId="49A595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pacing w:val="-8"/>
                <w:szCs w:val="21"/>
              </w:rPr>
            </w:pPr>
            <w:r>
              <w:rPr>
                <w:rFonts w:hint="default" w:eastAsia="仿宋_GB2312"/>
                <w:color w:val="auto"/>
                <w:spacing w:val="-8"/>
                <w:szCs w:val="21"/>
              </w:rPr>
              <w:t>其他环境</w:t>
            </w:r>
          </w:p>
          <w:p w14:paraId="58D853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pacing w:val="-8"/>
                <w:szCs w:val="21"/>
              </w:rPr>
            </w:pPr>
            <w:r>
              <w:rPr>
                <w:rFonts w:hint="default" w:eastAsia="仿宋_GB2312"/>
                <w:color w:val="auto"/>
                <w:spacing w:val="-8"/>
                <w:szCs w:val="21"/>
              </w:rPr>
              <w:t>管理要求</w:t>
            </w:r>
          </w:p>
        </w:tc>
        <w:tc>
          <w:tcPr>
            <w:tcW w:w="8265" w:type="dxa"/>
            <w:gridSpan w:val="4"/>
            <w:vAlign w:val="center"/>
          </w:tcPr>
          <w:p w14:paraId="5EEC70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仿宋_GB2312"/>
                <w:color w:val="auto"/>
                <w:szCs w:val="21"/>
              </w:rPr>
            </w:pPr>
            <w:r>
              <w:rPr>
                <w:rFonts w:hint="default" w:eastAsia="仿宋_GB2312"/>
                <w:color w:val="auto"/>
                <w:szCs w:val="21"/>
              </w:rPr>
              <w:t>/</w:t>
            </w:r>
          </w:p>
          <w:p w14:paraId="49280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eastAsia="仿宋_GB2312"/>
                <w:color w:val="auto"/>
                <w:szCs w:val="21"/>
              </w:rPr>
            </w:pPr>
          </w:p>
        </w:tc>
      </w:tr>
    </w:tbl>
    <w:p w14:paraId="68BA8AAE">
      <w:pPr>
        <w:pStyle w:val="81"/>
        <w:jc w:val="center"/>
        <w:outlineLvl w:val="0"/>
        <w:rPr>
          <w:rFonts w:ascii="Times New Roman" w:hAnsi="Times New Roman" w:eastAsia="仿宋_GB2312"/>
          <w:b/>
          <w:snapToGrid w:val="0"/>
          <w:color w:val="auto"/>
          <w:sz w:val="30"/>
          <w:szCs w:val="30"/>
        </w:rPr>
      </w:pPr>
      <w:r>
        <w:rPr>
          <w:rFonts w:ascii="Times New Roman" w:hAnsi="Times New Roman" w:eastAsia="仿宋_GB2312"/>
          <w:snapToGrid w:val="0"/>
          <w:color w:val="auto"/>
        </w:rPr>
        <w:br w:type="page"/>
      </w:r>
      <w:r>
        <w:rPr>
          <w:rFonts w:ascii="Times New Roman" w:hAnsi="Times New Roman" w:eastAsia="仿宋_GB2312"/>
          <w:b/>
          <w:snapToGrid w:val="0"/>
          <w:color w:val="auto"/>
          <w:sz w:val="30"/>
          <w:szCs w:val="30"/>
        </w:rPr>
        <w:t>六、结论</w:t>
      </w:r>
    </w:p>
    <w:tbl>
      <w:tblPr>
        <w:tblStyle w:val="8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87CF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trPr>
        <w:tc>
          <w:tcPr>
            <w:tcW w:w="8865" w:type="dxa"/>
          </w:tcPr>
          <w:p w14:paraId="6FE2FD7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r>
              <w:rPr>
                <w:rFonts w:hint="default" w:eastAsia="仿宋_GB2312"/>
                <w:color w:val="auto"/>
                <w:sz w:val="24"/>
              </w:rPr>
              <w:t>综上，本项目土地手续完备，项目类型及其选址、布局、规模符合相关产业政策、环境保护法律法规和相关法定规划要求；本项目采取各项污染防治措施后，不会造成区域环境质量下降；采取的污染防治措施合理、有效，项目排放的各类污染物能达到国家和地方排放标准。故本项目在落实本报告表提出的各项环保措施要求，严格执行环保“三同时”的前提下，从环保角度分析，本项目建设具有环境可行性。</w:t>
            </w:r>
          </w:p>
          <w:p w14:paraId="2A35C5F6">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29865ACA">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D7FDE14">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638A9D8">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0C7BECE6">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15C4952E">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0AEDA40F">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6CFCC16">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507473F7">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25765EA">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941193F">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FDABE7E">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108AE81">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14858EF8">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3963E11A">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37913AA">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F4A68C2">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6BF50CF5">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EF3FF00">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p w14:paraId="7B442601">
            <w:pPr>
              <w:keepNext w:val="0"/>
              <w:keepLines w:val="0"/>
              <w:suppressLineNumbers w:val="0"/>
              <w:snapToGrid w:val="0"/>
              <w:spacing w:before="0" w:beforeAutospacing="0" w:after="0" w:afterAutospacing="0" w:line="500" w:lineRule="exact"/>
              <w:ind w:left="0" w:right="0" w:firstLine="480" w:firstLineChars="200"/>
              <w:rPr>
                <w:rFonts w:hint="default" w:eastAsia="仿宋_GB2312"/>
                <w:color w:val="auto"/>
                <w:sz w:val="24"/>
              </w:rPr>
            </w:pPr>
          </w:p>
        </w:tc>
      </w:tr>
    </w:tbl>
    <w:p w14:paraId="6E8420F2">
      <w:pPr>
        <w:rPr>
          <w:rFonts w:eastAsia="仿宋_GB2312"/>
          <w:color w:val="auto"/>
        </w:rPr>
        <w:sectPr>
          <w:pgSz w:w="11906" w:h="16838"/>
          <w:pgMar w:top="1134" w:right="1531" w:bottom="1440" w:left="1531" w:header="851" w:footer="851" w:gutter="0"/>
          <w:pgBorders>
            <w:top w:val="none" w:sz="0" w:space="0"/>
            <w:left w:val="none" w:sz="0" w:space="0"/>
            <w:bottom w:val="none" w:sz="0" w:space="0"/>
            <w:right w:val="none" w:sz="0" w:space="0"/>
          </w:pgBorders>
          <w:cols w:space="720" w:num="1"/>
          <w:docGrid w:linePitch="312" w:charSpace="0"/>
        </w:sectPr>
      </w:pPr>
    </w:p>
    <w:p w14:paraId="3C900B9B">
      <w:pPr>
        <w:pStyle w:val="81"/>
        <w:adjustRightInd w:val="0"/>
        <w:snapToGrid w:val="0"/>
        <w:spacing w:before="0" w:beforeAutospacing="0" w:after="0" w:afterAutospacing="0"/>
        <w:outlineLvl w:val="0"/>
        <w:rPr>
          <w:rFonts w:ascii="Times New Roman" w:hAnsi="Times New Roman" w:eastAsia="仿宋_GB2312"/>
          <w:snapToGrid w:val="0"/>
          <w:color w:val="auto"/>
          <w:sz w:val="32"/>
          <w:szCs w:val="32"/>
        </w:rPr>
      </w:pPr>
      <w:r>
        <w:rPr>
          <w:rFonts w:ascii="Times New Roman" w:hAnsi="Times New Roman" w:eastAsia="仿宋_GB2312"/>
          <w:snapToGrid w:val="0"/>
          <w:color w:val="auto"/>
          <w:sz w:val="32"/>
          <w:szCs w:val="32"/>
        </w:rPr>
        <w:t>附表</w:t>
      </w:r>
    </w:p>
    <w:p w14:paraId="6839569E">
      <w:pPr>
        <w:pStyle w:val="81"/>
        <w:adjustRightInd w:val="0"/>
        <w:snapToGrid w:val="0"/>
        <w:spacing w:before="0" w:beforeAutospacing="0" w:after="0" w:afterAutospacing="0"/>
        <w:jc w:val="center"/>
        <w:outlineLvl w:val="0"/>
        <w:rPr>
          <w:rFonts w:ascii="Times New Roman" w:hAnsi="Times New Roman" w:eastAsia="仿宋_GB2312"/>
          <w:snapToGrid w:val="0"/>
          <w:color w:val="auto"/>
          <w:sz w:val="38"/>
          <w:szCs w:val="38"/>
        </w:rPr>
      </w:pPr>
      <w:r>
        <w:rPr>
          <w:rFonts w:ascii="Times New Roman" w:hAnsi="Times New Roman" w:eastAsia="仿宋_GB2312"/>
          <w:snapToGrid w:val="0"/>
          <w:color w:val="auto"/>
          <w:sz w:val="38"/>
          <w:szCs w:val="38"/>
        </w:rPr>
        <w:t>建设项目污染物排放量汇总表（t/a）</w:t>
      </w:r>
    </w:p>
    <w:tbl>
      <w:tblPr>
        <w:tblStyle w:val="87"/>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813"/>
        <w:gridCol w:w="1791"/>
        <w:gridCol w:w="1289"/>
        <w:gridCol w:w="1418"/>
        <w:gridCol w:w="1559"/>
        <w:gridCol w:w="1597"/>
        <w:gridCol w:w="1701"/>
        <w:gridCol w:w="1843"/>
        <w:gridCol w:w="1144"/>
      </w:tblGrid>
      <w:tr w14:paraId="2541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46" w:type="dxa"/>
            <w:gridSpan w:val="2"/>
            <w:tcBorders>
              <w:tl2br w:val="nil"/>
              <w:tr2bl w:val="nil"/>
            </w:tcBorders>
            <w:tcMar>
              <w:left w:w="28" w:type="dxa"/>
              <w:right w:w="28" w:type="dxa"/>
            </w:tcMar>
            <w:vAlign w:val="center"/>
          </w:tcPr>
          <w:p w14:paraId="5C04823D">
            <w:pPr>
              <w:pStyle w:val="155"/>
              <w:keepNext w:val="0"/>
              <w:keepLines w:val="0"/>
              <w:suppressLineNumbers w:val="0"/>
              <w:wordWrap w:val="0"/>
              <w:spacing w:before="0" w:beforeLines="0" w:beforeAutospacing="0" w:after="0" w:afterLines="0" w:afterAutospacing="0" w:line="240" w:lineRule="auto"/>
              <w:ind w:left="0" w:right="0"/>
              <w:jc w:val="right"/>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 xml:space="preserve">项目 </w:t>
            </w:r>
          </w:p>
          <w:p w14:paraId="63BB4614">
            <w:pPr>
              <w:pStyle w:val="155"/>
              <w:keepNext w:val="0"/>
              <w:keepLines w:val="0"/>
              <w:suppressLineNumbers w:val="0"/>
              <w:spacing w:before="0" w:beforeLines="0" w:beforeAutospacing="0" w:after="0" w:afterLines="0" w:afterAutospacing="0" w:line="240" w:lineRule="auto"/>
              <w:ind w:left="0" w:right="0" w:firstLine="198" w:firstLineChars="100"/>
              <w:jc w:val="left"/>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分类</w:t>
            </w:r>
          </w:p>
        </w:tc>
        <w:tc>
          <w:tcPr>
            <w:tcW w:w="1791" w:type="dxa"/>
            <w:tcBorders>
              <w:tl2br w:val="nil"/>
              <w:tr2bl w:val="nil"/>
            </w:tcBorders>
            <w:tcMar>
              <w:left w:w="28" w:type="dxa"/>
              <w:right w:w="28" w:type="dxa"/>
            </w:tcMar>
            <w:vAlign w:val="center"/>
          </w:tcPr>
          <w:p w14:paraId="71ADBE14">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污染物名称</w:t>
            </w:r>
          </w:p>
        </w:tc>
        <w:tc>
          <w:tcPr>
            <w:tcW w:w="1289" w:type="dxa"/>
            <w:tcBorders>
              <w:tl2br w:val="nil"/>
              <w:tr2bl w:val="nil"/>
            </w:tcBorders>
            <w:tcMar>
              <w:left w:w="28" w:type="dxa"/>
              <w:right w:w="28" w:type="dxa"/>
            </w:tcMar>
            <w:vAlign w:val="center"/>
          </w:tcPr>
          <w:p w14:paraId="3505F633">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现有工程</w:t>
            </w:r>
          </w:p>
          <w:p w14:paraId="652A3370">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排放量（固体废物产生量）</w:t>
            </w:r>
            <w:r>
              <w:rPr>
                <w:rFonts w:hint="default" w:ascii="Times New Roman" w:eastAsia="仿宋_GB2312"/>
                <w:snapToGrid w:val="0"/>
                <w:color w:val="auto"/>
                <w:spacing w:val="-6"/>
                <w:kern w:val="21"/>
                <w:szCs w:val="21"/>
              </w:rPr>
              <w:fldChar w:fldCharType="begin"/>
            </w:r>
            <w:r>
              <w:rPr>
                <w:rFonts w:hint="default" w:ascii="Times New Roman" w:eastAsia="仿宋_GB2312"/>
                <w:snapToGrid w:val="0"/>
                <w:color w:val="auto"/>
                <w:spacing w:val="-6"/>
                <w:kern w:val="21"/>
                <w:szCs w:val="21"/>
              </w:rPr>
              <w:instrText xml:space="preserve"> = 1 \* GB3 \* MERGEFORMAT </w:instrText>
            </w:r>
            <w:r>
              <w:rPr>
                <w:rFonts w:hint="default" w:ascii="Times New Roman" w:eastAsia="仿宋_GB2312"/>
                <w:snapToGrid w:val="0"/>
                <w:color w:val="auto"/>
                <w:spacing w:val="-6"/>
                <w:kern w:val="21"/>
                <w:szCs w:val="21"/>
              </w:rPr>
              <w:fldChar w:fldCharType="separate"/>
            </w:r>
            <w:r>
              <w:rPr>
                <w:rFonts w:hint="default" w:ascii="Times New Roman"/>
                <w:color w:val="auto"/>
                <w:kern w:val="2"/>
                <w:szCs w:val="21"/>
              </w:rPr>
              <w:t>①</w:t>
            </w:r>
            <w:r>
              <w:rPr>
                <w:rFonts w:hint="default" w:ascii="Times New Roman" w:eastAsia="仿宋_GB2312"/>
                <w:snapToGrid w:val="0"/>
                <w:color w:val="auto"/>
                <w:spacing w:val="-6"/>
                <w:kern w:val="21"/>
                <w:szCs w:val="21"/>
              </w:rPr>
              <w:fldChar w:fldCharType="end"/>
            </w:r>
          </w:p>
        </w:tc>
        <w:tc>
          <w:tcPr>
            <w:tcW w:w="1418" w:type="dxa"/>
            <w:tcBorders>
              <w:tl2br w:val="nil"/>
              <w:tr2bl w:val="nil"/>
            </w:tcBorders>
            <w:tcMar>
              <w:left w:w="28" w:type="dxa"/>
              <w:right w:w="28" w:type="dxa"/>
            </w:tcMar>
            <w:vAlign w:val="center"/>
          </w:tcPr>
          <w:p w14:paraId="7B80C721">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现有工程</w:t>
            </w:r>
          </w:p>
          <w:p w14:paraId="580A3633">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许可排放量</w:t>
            </w:r>
          </w:p>
          <w:p w14:paraId="5A026F1F">
            <w:pPr>
              <w:pStyle w:val="155"/>
              <w:keepNext w:val="0"/>
              <w:keepLines w:val="0"/>
              <w:suppressLineNumbers w:val="0"/>
              <w:spacing w:before="0" w:beforeLines="0" w:beforeAutospacing="0" w:after="0" w:afterLines="0" w:afterAutospacing="0"/>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fldChar w:fldCharType="begin"/>
            </w:r>
            <w:r>
              <w:rPr>
                <w:rFonts w:hint="default" w:ascii="Times New Roman" w:eastAsia="仿宋_GB2312"/>
                <w:snapToGrid w:val="0"/>
                <w:color w:val="auto"/>
                <w:spacing w:val="-6"/>
                <w:kern w:val="21"/>
                <w:szCs w:val="21"/>
              </w:rPr>
              <w:instrText xml:space="preserve"> = 2 \* GB3 \* MERGEFORMAT </w:instrText>
            </w:r>
            <w:r>
              <w:rPr>
                <w:rFonts w:hint="default" w:ascii="Times New Roman" w:eastAsia="仿宋_GB2312"/>
                <w:snapToGrid w:val="0"/>
                <w:color w:val="auto"/>
                <w:spacing w:val="-6"/>
                <w:kern w:val="21"/>
                <w:szCs w:val="21"/>
              </w:rPr>
              <w:fldChar w:fldCharType="separate"/>
            </w:r>
            <w:r>
              <w:rPr>
                <w:rFonts w:hint="default" w:ascii="Times New Roman"/>
                <w:snapToGrid w:val="0"/>
                <w:color w:val="auto"/>
                <w:spacing w:val="-6"/>
                <w:kern w:val="21"/>
                <w:szCs w:val="21"/>
              </w:rPr>
              <w:t>②</w:t>
            </w:r>
            <w:r>
              <w:rPr>
                <w:rFonts w:hint="default" w:ascii="Times New Roman" w:eastAsia="仿宋_GB2312"/>
                <w:snapToGrid w:val="0"/>
                <w:color w:val="auto"/>
                <w:spacing w:val="-6"/>
                <w:kern w:val="21"/>
                <w:szCs w:val="21"/>
              </w:rPr>
              <w:fldChar w:fldCharType="end"/>
            </w:r>
          </w:p>
        </w:tc>
        <w:tc>
          <w:tcPr>
            <w:tcW w:w="1559" w:type="dxa"/>
            <w:tcBorders>
              <w:tl2br w:val="nil"/>
              <w:tr2bl w:val="nil"/>
            </w:tcBorders>
            <w:tcMar>
              <w:left w:w="28" w:type="dxa"/>
              <w:right w:w="28" w:type="dxa"/>
            </w:tcMar>
            <w:vAlign w:val="center"/>
          </w:tcPr>
          <w:p w14:paraId="61153C3E">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在建工程</w:t>
            </w:r>
          </w:p>
          <w:p w14:paraId="20AD4C4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排放量（固体废物产生量）</w:t>
            </w:r>
            <w:r>
              <w:rPr>
                <w:rFonts w:hint="default" w:ascii="Times New Roman" w:eastAsia="仿宋_GB2312"/>
                <w:snapToGrid w:val="0"/>
                <w:color w:val="auto"/>
                <w:spacing w:val="-6"/>
                <w:kern w:val="21"/>
                <w:szCs w:val="21"/>
              </w:rPr>
              <w:fldChar w:fldCharType="begin"/>
            </w:r>
            <w:r>
              <w:rPr>
                <w:rFonts w:hint="default" w:ascii="Times New Roman" w:eastAsia="仿宋_GB2312"/>
                <w:snapToGrid w:val="0"/>
                <w:color w:val="auto"/>
                <w:spacing w:val="-6"/>
                <w:kern w:val="21"/>
                <w:szCs w:val="21"/>
              </w:rPr>
              <w:instrText xml:space="preserve"> = 3 \* GB3 \* MERGEFORMAT </w:instrText>
            </w:r>
            <w:r>
              <w:rPr>
                <w:rFonts w:hint="default" w:ascii="Times New Roman" w:eastAsia="仿宋_GB2312"/>
                <w:snapToGrid w:val="0"/>
                <w:color w:val="auto"/>
                <w:spacing w:val="-6"/>
                <w:kern w:val="21"/>
                <w:szCs w:val="21"/>
              </w:rPr>
              <w:fldChar w:fldCharType="separate"/>
            </w:r>
            <w:r>
              <w:rPr>
                <w:rFonts w:hint="default" w:ascii="Times New Roman"/>
                <w:color w:val="auto"/>
                <w:kern w:val="2"/>
                <w:szCs w:val="21"/>
              </w:rPr>
              <w:t>③</w:t>
            </w:r>
            <w:r>
              <w:rPr>
                <w:rFonts w:hint="default" w:ascii="Times New Roman" w:eastAsia="仿宋_GB2312"/>
                <w:snapToGrid w:val="0"/>
                <w:color w:val="auto"/>
                <w:spacing w:val="-6"/>
                <w:kern w:val="21"/>
                <w:szCs w:val="21"/>
              </w:rPr>
              <w:fldChar w:fldCharType="end"/>
            </w:r>
          </w:p>
        </w:tc>
        <w:tc>
          <w:tcPr>
            <w:tcW w:w="1597" w:type="dxa"/>
            <w:tcBorders>
              <w:tl2br w:val="nil"/>
              <w:tr2bl w:val="nil"/>
            </w:tcBorders>
            <w:tcMar>
              <w:left w:w="28" w:type="dxa"/>
              <w:right w:w="28" w:type="dxa"/>
            </w:tcMar>
            <w:vAlign w:val="center"/>
          </w:tcPr>
          <w:p w14:paraId="0C543BDF">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本项目</w:t>
            </w:r>
          </w:p>
          <w:p w14:paraId="40F0ED1E">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排放量（固体废物产生量）</w:t>
            </w:r>
            <w:r>
              <w:rPr>
                <w:rFonts w:hint="default" w:ascii="Times New Roman" w:eastAsia="仿宋_GB2312"/>
                <w:snapToGrid w:val="0"/>
                <w:color w:val="auto"/>
                <w:spacing w:val="-6"/>
                <w:kern w:val="21"/>
                <w:szCs w:val="21"/>
              </w:rPr>
              <w:fldChar w:fldCharType="begin"/>
            </w:r>
            <w:r>
              <w:rPr>
                <w:rFonts w:hint="default" w:ascii="Times New Roman" w:eastAsia="仿宋_GB2312"/>
                <w:snapToGrid w:val="0"/>
                <w:color w:val="auto"/>
                <w:spacing w:val="-6"/>
                <w:kern w:val="21"/>
                <w:szCs w:val="21"/>
              </w:rPr>
              <w:instrText xml:space="preserve"> = 4 \* GB3 \* MERGEFORMAT </w:instrText>
            </w:r>
            <w:r>
              <w:rPr>
                <w:rFonts w:hint="default" w:ascii="Times New Roman" w:eastAsia="仿宋_GB2312"/>
                <w:snapToGrid w:val="0"/>
                <w:color w:val="auto"/>
                <w:spacing w:val="-6"/>
                <w:kern w:val="21"/>
                <w:szCs w:val="21"/>
              </w:rPr>
              <w:fldChar w:fldCharType="separate"/>
            </w:r>
            <w:r>
              <w:rPr>
                <w:rFonts w:hint="default" w:ascii="Times New Roman"/>
                <w:color w:val="auto"/>
                <w:kern w:val="2"/>
                <w:szCs w:val="21"/>
              </w:rPr>
              <w:t>④</w:t>
            </w:r>
            <w:r>
              <w:rPr>
                <w:rFonts w:hint="default" w:ascii="Times New Roman" w:eastAsia="仿宋_GB2312"/>
                <w:snapToGrid w:val="0"/>
                <w:color w:val="auto"/>
                <w:spacing w:val="-6"/>
                <w:kern w:val="21"/>
                <w:szCs w:val="21"/>
              </w:rPr>
              <w:fldChar w:fldCharType="end"/>
            </w:r>
          </w:p>
        </w:tc>
        <w:tc>
          <w:tcPr>
            <w:tcW w:w="1701" w:type="dxa"/>
            <w:tcBorders>
              <w:tl2br w:val="nil"/>
              <w:tr2bl w:val="nil"/>
            </w:tcBorders>
            <w:tcMar>
              <w:left w:w="28" w:type="dxa"/>
              <w:right w:w="28" w:type="dxa"/>
            </w:tcMar>
            <w:vAlign w:val="center"/>
          </w:tcPr>
          <w:p w14:paraId="2E1B2526">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16"/>
                <w:kern w:val="21"/>
                <w:szCs w:val="21"/>
              </w:rPr>
            </w:pPr>
            <w:r>
              <w:rPr>
                <w:rFonts w:hint="default" w:ascii="Times New Roman" w:eastAsia="仿宋_GB2312"/>
                <w:snapToGrid w:val="0"/>
                <w:color w:val="auto"/>
                <w:spacing w:val="-16"/>
                <w:kern w:val="21"/>
                <w:szCs w:val="21"/>
              </w:rPr>
              <w:t>以新带老削减量</w:t>
            </w:r>
          </w:p>
          <w:p w14:paraId="52B8E8A6">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16"/>
                <w:kern w:val="21"/>
                <w:szCs w:val="21"/>
              </w:rPr>
            </w:pPr>
            <w:r>
              <w:rPr>
                <w:rFonts w:hint="default" w:ascii="Times New Roman" w:eastAsia="仿宋_GB2312"/>
                <w:snapToGrid w:val="0"/>
                <w:color w:val="auto"/>
                <w:spacing w:val="-16"/>
                <w:kern w:val="21"/>
                <w:szCs w:val="21"/>
              </w:rPr>
              <w:t>（新建项目不填）</w:t>
            </w:r>
            <w:r>
              <w:rPr>
                <w:rFonts w:hint="default" w:ascii="Times New Roman" w:eastAsia="仿宋_GB2312"/>
                <w:snapToGrid w:val="0"/>
                <w:color w:val="auto"/>
                <w:spacing w:val="-16"/>
                <w:kern w:val="21"/>
                <w:szCs w:val="21"/>
              </w:rPr>
              <w:fldChar w:fldCharType="begin"/>
            </w:r>
            <w:r>
              <w:rPr>
                <w:rFonts w:hint="default" w:ascii="Times New Roman" w:eastAsia="仿宋_GB2312"/>
                <w:snapToGrid w:val="0"/>
                <w:color w:val="auto"/>
                <w:spacing w:val="-16"/>
                <w:kern w:val="21"/>
                <w:szCs w:val="21"/>
              </w:rPr>
              <w:instrText xml:space="preserve"> = 5 \* GB3 \* MERGEFORMAT </w:instrText>
            </w:r>
            <w:r>
              <w:rPr>
                <w:rFonts w:hint="default" w:ascii="Times New Roman" w:eastAsia="仿宋_GB2312"/>
                <w:snapToGrid w:val="0"/>
                <w:color w:val="auto"/>
                <w:spacing w:val="-16"/>
                <w:kern w:val="21"/>
                <w:szCs w:val="21"/>
              </w:rPr>
              <w:fldChar w:fldCharType="separate"/>
            </w:r>
            <w:r>
              <w:rPr>
                <w:rFonts w:hint="default" w:ascii="Times New Roman"/>
                <w:color w:val="auto"/>
                <w:kern w:val="2"/>
                <w:szCs w:val="21"/>
              </w:rPr>
              <w:t>⑤</w:t>
            </w:r>
            <w:r>
              <w:rPr>
                <w:rFonts w:hint="default" w:ascii="Times New Roman" w:eastAsia="仿宋_GB2312"/>
                <w:snapToGrid w:val="0"/>
                <w:color w:val="auto"/>
                <w:spacing w:val="-16"/>
                <w:kern w:val="21"/>
                <w:szCs w:val="21"/>
              </w:rPr>
              <w:fldChar w:fldCharType="end"/>
            </w:r>
          </w:p>
        </w:tc>
        <w:tc>
          <w:tcPr>
            <w:tcW w:w="1843" w:type="dxa"/>
            <w:tcBorders>
              <w:tl2br w:val="nil"/>
              <w:tr2bl w:val="nil"/>
            </w:tcBorders>
            <w:tcMar>
              <w:left w:w="28" w:type="dxa"/>
              <w:right w:w="28" w:type="dxa"/>
            </w:tcMar>
            <w:vAlign w:val="center"/>
          </w:tcPr>
          <w:p w14:paraId="32112710">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16"/>
                <w:kern w:val="21"/>
                <w:szCs w:val="21"/>
              </w:rPr>
            </w:pPr>
            <w:r>
              <w:rPr>
                <w:rFonts w:hint="default" w:ascii="Times New Roman" w:eastAsia="仿宋_GB2312"/>
                <w:snapToGrid w:val="0"/>
                <w:color w:val="auto"/>
                <w:spacing w:val="-16"/>
                <w:kern w:val="21"/>
                <w:szCs w:val="21"/>
              </w:rPr>
              <w:t>本项目建成后</w:t>
            </w:r>
          </w:p>
          <w:p w14:paraId="55DDBCB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16"/>
                <w:kern w:val="21"/>
                <w:szCs w:val="21"/>
              </w:rPr>
            </w:pPr>
            <w:r>
              <w:rPr>
                <w:rFonts w:hint="default" w:ascii="Times New Roman" w:eastAsia="仿宋_GB2312"/>
                <w:snapToGrid w:val="0"/>
                <w:color w:val="auto"/>
                <w:spacing w:val="-16"/>
                <w:kern w:val="21"/>
                <w:szCs w:val="21"/>
              </w:rPr>
              <w:t>全厂排放量（固体废物产生量）</w:t>
            </w:r>
            <w:r>
              <w:rPr>
                <w:rFonts w:hint="default" w:ascii="Times New Roman" w:eastAsia="仿宋_GB2312"/>
                <w:snapToGrid w:val="0"/>
                <w:color w:val="auto"/>
                <w:spacing w:val="-16"/>
                <w:kern w:val="21"/>
                <w:szCs w:val="21"/>
              </w:rPr>
              <w:fldChar w:fldCharType="begin"/>
            </w:r>
            <w:r>
              <w:rPr>
                <w:rFonts w:hint="default" w:ascii="Times New Roman" w:eastAsia="仿宋_GB2312"/>
                <w:snapToGrid w:val="0"/>
                <w:color w:val="auto"/>
                <w:spacing w:val="-16"/>
                <w:kern w:val="21"/>
                <w:szCs w:val="21"/>
              </w:rPr>
              <w:instrText xml:space="preserve"> = 6 \* GB3 \* MERGEFORMAT </w:instrText>
            </w:r>
            <w:r>
              <w:rPr>
                <w:rFonts w:hint="default" w:ascii="Times New Roman" w:eastAsia="仿宋_GB2312"/>
                <w:snapToGrid w:val="0"/>
                <w:color w:val="auto"/>
                <w:spacing w:val="-16"/>
                <w:kern w:val="21"/>
                <w:szCs w:val="21"/>
              </w:rPr>
              <w:fldChar w:fldCharType="separate"/>
            </w:r>
            <w:r>
              <w:rPr>
                <w:rFonts w:hint="default" w:ascii="Times New Roman"/>
                <w:color w:val="auto"/>
                <w:kern w:val="2"/>
                <w:szCs w:val="21"/>
              </w:rPr>
              <w:t>⑥</w:t>
            </w:r>
            <w:r>
              <w:rPr>
                <w:rFonts w:hint="default" w:ascii="Times New Roman" w:eastAsia="仿宋_GB2312"/>
                <w:snapToGrid w:val="0"/>
                <w:color w:val="auto"/>
                <w:spacing w:val="-16"/>
                <w:kern w:val="21"/>
                <w:szCs w:val="21"/>
              </w:rPr>
              <w:fldChar w:fldCharType="end"/>
            </w:r>
          </w:p>
        </w:tc>
        <w:tc>
          <w:tcPr>
            <w:tcW w:w="1144" w:type="dxa"/>
            <w:tcBorders>
              <w:tl2br w:val="nil"/>
              <w:tr2bl w:val="nil"/>
            </w:tcBorders>
            <w:tcMar>
              <w:left w:w="28" w:type="dxa"/>
              <w:right w:w="28" w:type="dxa"/>
            </w:tcMar>
            <w:vAlign w:val="center"/>
          </w:tcPr>
          <w:p w14:paraId="47CE5EEE">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t>变化量</w:t>
            </w:r>
          </w:p>
          <w:p w14:paraId="33FDB973">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spacing w:val="-6"/>
                <w:kern w:val="21"/>
                <w:szCs w:val="21"/>
              </w:rPr>
            </w:pPr>
            <w:r>
              <w:rPr>
                <w:rFonts w:hint="default" w:ascii="Times New Roman" w:eastAsia="仿宋_GB2312"/>
                <w:snapToGrid w:val="0"/>
                <w:color w:val="auto"/>
                <w:spacing w:val="-6"/>
                <w:kern w:val="21"/>
                <w:szCs w:val="21"/>
              </w:rPr>
              <w:fldChar w:fldCharType="begin"/>
            </w:r>
            <w:r>
              <w:rPr>
                <w:rFonts w:hint="default" w:ascii="Times New Roman" w:eastAsia="仿宋_GB2312"/>
                <w:snapToGrid w:val="0"/>
                <w:color w:val="auto"/>
                <w:spacing w:val="-6"/>
                <w:kern w:val="21"/>
                <w:szCs w:val="21"/>
              </w:rPr>
              <w:instrText xml:space="preserve"> = 7 \* GB3 \* MERGEFORMAT </w:instrText>
            </w:r>
            <w:r>
              <w:rPr>
                <w:rFonts w:hint="default" w:ascii="Times New Roman" w:eastAsia="仿宋_GB2312"/>
                <w:snapToGrid w:val="0"/>
                <w:color w:val="auto"/>
                <w:spacing w:val="-6"/>
                <w:kern w:val="21"/>
                <w:szCs w:val="21"/>
              </w:rPr>
              <w:fldChar w:fldCharType="separate"/>
            </w:r>
            <w:r>
              <w:rPr>
                <w:rFonts w:hint="default" w:ascii="Times New Roman"/>
                <w:color w:val="auto"/>
                <w:kern w:val="2"/>
                <w:szCs w:val="21"/>
              </w:rPr>
              <w:t>⑦</w:t>
            </w:r>
            <w:r>
              <w:rPr>
                <w:rFonts w:hint="default" w:ascii="Times New Roman" w:eastAsia="仿宋_GB2312"/>
                <w:snapToGrid w:val="0"/>
                <w:color w:val="auto"/>
                <w:spacing w:val="-6"/>
                <w:kern w:val="21"/>
                <w:szCs w:val="21"/>
              </w:rPr>
              <w:fldChar w:fldCharType="end"/>
            </w:r>
          </w:p>
        </w:tc>
      </w:tr>
      <w:tr w14:paraId="16F8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restart"/>
            <w:tcBorders>
              <w:tl2br w:val="nil"/>
              <w:tr2bl w:val="nil"/>
            </w:tcBorders>
            <w:vAlign w:val="center"/>
          </w:tcPr>
          <w:p w14:paraId="45ABB0EA">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废气</w:t>
            </w:r>
          </w:p>
        </w:tc>
        <w:tc>
          <w:tcPr>
            <w:tcW w:w="813" w:type="dxa"/>
            <w:vMerge w:val="restart"/>
            <w:tcBorders>
              <w:tl2br w:val="nil"/>
              <w:tr2bl w:val="nil"/>
            </w:tcBorders>
            <w:vAlign w:val="center"/>
          </w:tcPr>
          <w:p w14:paraId="2BAE9210">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有组织</w:t>
            </w:r>
          </w:p>
        </w:tc>
        <w:tc>
          <w:tcPr>
            <w:tcW w:w="1791" w:type="dxa"/>
            <w:tcBorders>
              <w:tl2br w:val="nil"/>
              <w:tr2bl w:val="nil"/>
            </w:tcBorders>
            <w:shd w:val="clear" w:color="auto" w:fill="auto"/>
            <w:vAlign w:val="center"/>
          </w:tcPr>
          <w:p w14:paraId="7F6F3CB1">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highlight w:val="none"/>
              </w:rPr>
              <w:t>颗粒物</w:t>
            </w:r>
          </w:p>
        </w:tc>
        <w:tc>
          <w:tcPr>
            <w:tcW w:w="1289" w:type="dxa"/>
            <w:tcBorders>
              <w:tl2br w:val="nil"/>
              <w:tr2bl w:val="nil"/>
            </w:tcBorders>
            <w:shd w:val="clear" w:color="auto" w:fill="auto"/>
            <w:vAlign w:val="center"/>
          </w:tcPr>
          <w:p w14:paraId="021627FF">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仿宋_GB2312" w:cs="Times New Roman"/>
                <w:snapToGrid w:val="0"/>
                <w:color w:val="auto"/>
                <w:kern w:val="21"/>
                <w:sz w:val="21"/>
                <w:szCs w:val="21"/>
                <w:lang w:val="en-US" w:eastAsia="zh-CN" w:bidi="ar-SA"/>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513B018A">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仿宋_GB2312" w:cs="Times New Roman"/>
                <w:snapToGrid w:val="0"/>
                <w:color w:val="auto"/>
                <w:kern w:val="21"/>
                <w:sz w:val="21"/>
                <w:szCs w:val="21"/>
                <w:lang w:val="en-US" w:eastAsia="zh-CN" w:bidi="ar-SA"/>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0BE29615">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仿宋_GB2312" w:cs="Times New Roman"/>
                <w:snapToGrid w:val="0"/>
                <w:color w:val="auto"/>
                <w:kern w:val="21"/>
                <w:sz w:val="21"/>
                <w:szCs w:val="21"/>
                <w:lang w:val="en-US" w:eastAsia="zh-CN" w:bidi="ar-SA"/>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5917BF8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snapToGrid w:val="0"/>
                <w:color w:val="auto"/>
                <w:kern w:val="21"/>
                <w:sz w:val="21"/>
                <w:szCs w:val="21"/>
                <w:lang w:val="en-US" w:eastAsia="zh-CN" w:bidi="ar-SA"/>
              </w:rPr>
            </w:pPr>
            <w:r>
              <w:rPr>
                <w:rFonts w:hint="eastAsia" w:eastAsia="仿宋_GB2312" w:cs="Times New Roman"/>
                <w:b w:val="0"/>
                <w:bCs w:val="0"/>
                <w:color w:val="auto"/>
                <w:kern w:val="0"/>
                <w:sz w:val="21"/>
                <w:lang w:val="en-US" w:eastAsia="zh-CN"/>
              </w:rPr>
              <w:t>0.005</w:t>
            </w:r>
          </w:p>
        </w:tc>
        <w:tc>
          <w:tcPr>
            <w:tcW w:w="1701" w:type="dxa"/>
            <w:tcBorders>
              <w:tl2br w:val="nil"/>
              <w:tr2bl w:val="nil"/>
            </w:tcBorders>
            <w:shd w:val="clear" w:color="auto" w:fill="auto"/>
            <w:vAlign w:val="center"/>
          </w:tcPr>
          <w:p w14:paraId="0519E52B">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仿宋_GB2312" w:cs="Times New Roman"/>
                <w:snapToGrid w:val="0"/>
                <w:color w:val="auto"/>
                <w:kern w:val="21"/>
                <w:sz w:val="21"/>
                <w:szCs w:val="21"/>
                <w:lang w:val="en-US" w:eastAsia="zh-CN" w:bidi="ar-SA"/>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12B6876D">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snapToGrid w:val="0"/>
                <w:color w:val="auto"/>
                <w:kern w:val="21"/>
                <w:sz w:val="21"/>
                <w:szCs w:val="21"/>
                <w:lang w:val="en-US" w:eastAsia="zh-CN" w:bidi="ar-SA"/>
              </w:rPr>
            </w:pPr>
            <w:r>
              <w:rPr>
                <w:rFonts w:hint="eastAsia" w:eastAsia="仿宋_GB2312" w:cs="Times New Roman"/>
                <w:b w:val="0"/>
                <w:bCs w:val="0"/>
                <w:color w:val="auto"/>
                <w:kern w:val="0"/>
                <w:sz w:val="21"/>
                <w:lang w:val="en-US" w:eastAsia="zh-CN"/>
              </w:rPr>
              <w:t>0.005</w:t>
            </w:r>
          </w:p>
        </w:tc>
        <w:tc>
          <w:tcPr>
            <w:tcW w:w="1144" w:type="dxa"/>
            <w:tcBorders>
              <w:tl2br w:val="nil"/>
              <w:tr2bl w:val="nil"/>
            </w:tcBorders>
            <w:shd w:val="clear" w:color="auto" w:fill="auto"/>
            <w:vAlign w:val="center"/>
          </w:tcPr>
          <w:p w14:paraId="5CD9227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snapToGrid w:val="0"/>
                <w:color w:val="auto"/>
                <w:kern w:val="21"/>
                <w:sz w:val="21"/>
                <w:szCs w:val="21"/>
                <w:lang w:val="en-US" w:eastAsia="zh-CN" w:bidi="ar-SA"/>
              </w:rPr>
            </w:pPr>
            <w:r>
              <w:rPr>
                <w:rFonts w:hint="eastAsia" w:eastAsia="仿宋_GB2312" w:cs="Times New Roman"/>
                <w:b w:val="0"/>
                <w:bCs w:val="0"/>
                <w:color w:val="auto"/>
                <w:kern w:val="0"/>
                <w:sz w:val="21"/>
                <w:lang w:val="en-US" w:eastAsia="zh-CN"/>
              </w:rPr>
              <w:t>+0.005</w:t>
            </w:r>
          </w:p>
        </w:tc>
      </w:tr>
      <w:tr w14:paraId="11E5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7BAE831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48F40E2F">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20EF157C">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非甲烷总烃</w:t>
            </w:r>
          </w:p>
        </w:tc>
        <w:tc>
          <w:tcPr>
            <w:tcW w:w="1289" w:type="dxa"/>
            <w:tcBorders>
              <w:tl2br w:val="nil"/>
              <w:tr2bl w:val="nil"/>
            </w:tcBorders>
            <w:shd w:val="clear" w:color="auto" w:fill="auto"/>
            <w:vAlign w:val="center"/>
          </w:tcPr>
          <w:p w14:paraId="09B0442C">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841380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7CF91E66">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6FD4F1D4">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0.025</w:t>
            </w:r>
          </w:p>
        </w:tc>
        <w:tc>
          <w:tcPr>
            <w:tcW w:w="1701" w:type="dxa"/>
            <w:tcBorders>
              <w:tl2br w:val="nil"/>
              <w:tr2bl w:val="nil"/>
            </w:tcBorders>
            <w:shd w:val="clear" w:color="auto" w:fill="auto"/>
            <w:vAlign w:val="center"/>
          </w:tcPr>
          <w:p w14:paraId="2EAD98F5">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430B287F">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0.025</w:t>
            </w:r>
          </w:p>
        </w:tc>
        <w:tc>
          <w:tcPr>
            <w:tcW w:w="1144" w:type="dxa"/>
            <w:tcBorders>
              <w:tl2br w:val="nil"/>
              <w:tr2bl w:val="nil"/>
            </w:tcBorders>
            <w:shd w:val="clear" w:color="auto" w:fill="auto"/>
            <w:vAlign w:val="center"/>
          </w:tcPr>
          <w:p w14:paraId="11E5FD5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+0.025</w:t>
            </w:r>
          </w:p>
        </w:tc>
      </w:tr>
      <w:tr w14:paraId="2A33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430DBAD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7858B15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51796CF7">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p>
        </w:tc>
        <w:tc>
          <w:tcPr>
            <w:tcW w:w="1289" w:type="dxa"/>
            <w:tcBorders>
              <w:tl2br w:val="nil"/>
              <w:tr2bl w:val="nil"/>
            </w:tcBorders>
            <w:shd w:val="clear" w:color="auto" w:fill="auto"/>
            <w:vAlign w:val="center"/>
          </w:tcPr>
          <w:p w14:paraId="2A1E68F2">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2B55B4B5">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5DB3B4B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040CC9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eastAsia="仿宋_GB2312"/>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0.0576</w:t>
            </w:r>
          </w:p>
        </w:tc>
        <w:tc>
          <w:tcPr>
            <w:tcW w:w="1701" w:type="dxa"/>
            <w:tcBorders>
              <w:tl2br w:val="nil"/>
              <w:tr2bl w:val="nil"/>
            </w:tcBorders>
            <w:shd w:val="clear" w:color="auto" w:fill="auto"/>
            <w:vAlign w:val="center"/>
          </w:tcPr>
          <w:p w14:paraId="617CD41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4FDC9D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eastAsia="仿宋_GB2312"/>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0.0576</w:t>
            </w:r>
          </w:p>
        </w:tc>
        <w:tc>
          <w:tcPr>
            <w:tcW w:w="1144" w:type="dxa"/>
            <w:tcBorders>
              <w:tl2br w:val="nil"/>
              <w:tr2bl w:val="nil"/>
            </w:tcBorders>
            <w:shd w:val="clear" w:color="auto" w:fill="auto"/>
            <w:vAlign w:val="center"/>
          </w:tcPr>
          <w:p w14:paraId="7D7099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eastAsia="仿宋_GB2312"/>
                <w:snapToGrid w:val="0"/>
                <w:color w:val="auto"/>
                <w:kern w:val="21"/>
                <w:szCs w:val="21"/>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0.0576</w:t>
            </w:r>
          </w:p>
        </w:tc>
      </w:tr>
      <w:tr w14:paraId="3A69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10E0EE52">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23897EC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45DD360F">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H</w:t>
            </w:r>
            <w:r>
              <w:rPr>
                <w:rFonts w:hint="default" w:ascii="Times New Roman" w:hAnsi="Times New Roman" w:eastAsia="仿宋_GB2312" w:cs="Times New Roman"/>
                <w:color w:val="auto"/>
                <w:sz w:val="21"/>
                <w:vertAlign w:val="subscript"/>
              </w:rPr>
              <w:t>2</w:t>
            </w:r>
            <w:r>
              <w:rPr>
                <w:rFonts w:hint="default" w:ascii="Times New Roman" w:hAnsi="Times New Roman" w:eastAsia="仿宋_GB2312" w:cs="Times New Roman"/>
                <w:color w:val="auto"/>
                <w:sz w:val="21"/>
              </w:rPr>
              <w:t>S</w:t>
            </w:r>
          </w:p>
        </w:tc>
        <w:tc>
          <w:tcPr>
            <w:tcW w:w="1289" w:type="dxa"/>
            <w:tcBorders>
              <w:tl2br w:val="nil"/>
              <w:tr2bl w:val="nil"/>
            </w:tcBorders>
            <w:shd w:val="clear" w:color="auto" w:fill="auto"/>
            <w:vAlign w:val="center"/>
          </w:tcPr>
          <w:p w14:paraId="3B5888F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5A009199">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50146CF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640C2B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eastAsia="仿宋_GB2312"/>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701" w:type="dxa"/>
            <w:tcBorders>
              <w:tl2br w:val="nil"/>
              <w:tr2bl w:val="nil"/>
            </w:tcBorders>
            <w:shd w:val="clear" w:color="auto" w:fill="auto"/>
            <w:vAlign w:val="center"/>
          </w:tcPr>
          <w:p w14:paraId="4355BC1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18D870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eastAsia="仿宋_GB2312"/>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144" w:type="dxa"/>
            <w:tcBorders>
              <w:tl2br w:val="nil"/>
              <w:tr2bl w:val="nil"/>
            </w:tcBorders>
            <w:shd w:val="clear" w:color="auto" w:fill="auto"/>
            <w:vAlign w:val="center"/>
          </w:tcPr>
          <w:p w14:paraId="68EBB8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eastAsia="仿宋_GB2312"/>
                <w:snapToGrid w:val="0"/>
                <w:color w:val="auto"/>
                <w:kern w:val="21"/>
                <w:szCs w:val="21"/>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0.006</w:t>
            </w:r>
          </w:p>
        </w:tc>
      </w:tr>
      <w:tr w14:paraId="4646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34EA740F">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07780B91">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316569FD">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氯化氢</w:t>
            </w:r>
          </w:p>
        </w:tc>
        <w:tc>
          <w:tcPr>
            <w:tcW w:w="1289" w:type="dxa"/>
            <w:tcBorders>
              <w:tl2br w:val="nil"/>
              <w:tr2bl w:val="nil"/>
            </w:tcBorders>
            <w:shd w:val="clear" w:color="auto" w:fill="auto"/>
            <w:vAlign w:val="center"/>
          </w:tcPr>
          <w:p w14:paraId="4DEFDF21">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0C3E9D1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79ED6E4">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6B79435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lang w:val="en-US"/>
              </w:rPr>
            </w:pPr>
            <w:r>
              <w:rPr>
                <w:rFonts w:hint="eastAsia" w:eastAsia="仿宋_GB2312" w:cs="Times New Roman"/>
                <w:color w:val="auto"/>
                <w:kern w:val="0"/>
                <w:sz w:val="21"/>
                <w:lang w:val="en-US" w:eastAsia="zh-CN"/>
              </w:rPr>
              <w:t>0.0007</w:t>
            </w:r>
          </w:p>
        </w:tc>
        <w:tc>
          <w:tcPr>
            <w:tcW w:w="1701" w:type="dxa"/>
            <w:tcBorders>
              <w:tl2br w:val="nil"/>
              <w:tr2bl w:val="nil"/>
            </w:tcBorders>
            <w:shd w:val="clear" w:color="auto" w:fill="auto"/>
            <w:vAlign w:val="center"/>
          </w:tcPr>
          <w:p w14:paraId="43902ACB">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4D072CD9">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lang w:val="en-US"/>
              </w:rPr>
            </w:pPr>
            <w:r>
              <w:rPr>
                <w:rFonts w:hint="eastAsia" w:eastAsia="仿宋_GB2312" w:cs="Times New Roman"/>
                <w:color w:val="auto"/>
                <w:kern w:val="0"/>
                <w:sz w:val="21"/>
                <w:lang w:val="en-US" w:eastAsia="zh-CN"/>
              </w:rPr>
              <w:t>0.0007</w:t>
            </w:r>
          </w:p>
        </w:tc>
        <w:tc>
          <w:tcPr>
            <w:tcW w:w="1144" w:type="dxa"/>
            <w:tcBorders>
              <w:tl2br w:val="nil"/>
              <w:tr2bl w:val="nil"/>
            </w:tcBorders>
            <w:shd w:val="clear" w:color="auto" w:fill="auto"/>
            <w:vAlign w:val="center"/>
          </w:tcPr>
          <w:p w14:paraId="71FFA933">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lang w:val="en-US"/>
              </w:rPr>
            </w:pPr>
            <w:r>
              <w:rPr>
                <w:rFonts w:hint="eastAsia" w:eastAsia="仿宋_GB2312" w:cs="Times New Roman"/>
                <w:color w:val="auto"/>
                <w:kern w:val="0"/>
                <w:sz w:val="21"/>
                <w:lang w:val="en-US" w:eastAsia="zh-CN"/>
              </w:rPr>
              <w:t>+0.0007</w:t>
            </w:r>
          </w:p>
        </w:tc>
      </w:tr>
      <w:tr w14:paraId="4045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53584670">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635A6BB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0E8BE8BA">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SO</w:t>
            </w:r>
            <w:r>
              <w:rPr>
                <w:rFonts w:hint="default" w:ascii="Times New Roman" w:hAnsi="Times New Roman" w:eastAsia="仿宋_GB2312" w:cs="Times New Roman"/>
                <w:color w:val="auto"/>
                <w:sz w:val="21"/>
                <w:vertAlign w:val="subscript"/>
              </w:rPr>
              <w:t>2</w:t>
            </w:r>
          </w:p>
        </w:tc>
        <w:tc>
          <w:tcPr>
            <w:tcW w:w="1289" w:type="dxa"/>
            <w:tcBorders>
              <w:tl2br w:val="nil"/>
              <w:tr2bl w:val="nil"/>
            </w:tcBorders>
            <w:shd w:val="clear" w:color="auto" w:fill="auto"/>
            <w:vAlign w:val="center"/>
          </w:tcPr>
          <w:p w14:paraId="5D4FB85A">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5D34DA02">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42AD9889">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497E9020">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0.002</w:t>
            </w:r>
          </w:p>
        </w:tc>
        <w:tc>
          <w:tcPr>
            <w:tcW w:w="1701" w:type="dxa"/>
            <w:tcBorders>
              <w:tl2br w:val="nil"/>
              <w:tr2bl w:val="nil"/>
            </w:tcBorders>
            <w:shd w:val="clear" w:color="auto" w:fill="auto"/>
            <w:vAlign w:val="center"/>
          </w:tcPr>
          <w:p w14:paraId="55FBCE30">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4B5AEA11">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0.002</w:t>
            </w:r>
          </w:p>
        </w:tc>
        <w:tc>
          <w:tcPr>
            <w:tcW w:w="1144" w:type="dxa"/>
            <w:tcBorders>
              <w:tl2br w:val="nil"/>
              <w:tr2bl w:val="nil"/>
            </w:tcBorders>
            <w:shd w:val="clear" w:color="auto" w:fill="auto"/>
            <w:vAlign w:val="center"/>
          </w:tcPr>
          <w:p w14:paraId="1CC33AC6">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0.002</w:t>
            </w:r>
          </w:p>
        </w:tc>
      </w:tr>
      <w:tr w14:paraId="2F53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490AAFC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2FB3A9B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1B94028F">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NOx</w:t>
            </w:r>
          </w:p>
        </w:tc>
        <w:tc>
          <w:tcPr>
            <w:tcW w:w="1289" w:type="dxa"/>
            <w:tcBorders>
              <w:tl2br w:val="nil"/>
              <w:tr2bl w:val="nil"/>
            </w:tcBorders>
            <w:shd w:val="clear" w:color="auto" w:fill="auto"/>
            <w:vAlign w:val="center"/>
          </w:tcPr>
          <w:p w14:paraId="4B02AF83">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17E90079">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7B7347A8">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1C5FA3EB">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0.02</w:t>
            </w:r>
          </w:p>
        </w:tc>
        <w:tc>
          <w:tcPr>
            <w:tcW w:w="1701" w:type="dxa"/>
            <w:tcBorders>
              <w:tl2br w:val="nil"/>
              <w:tr2bl w:val="nil"/>
            </w:tcBorders>
            <w:shd w:val="clear" w:color="auto" w:fill="auto"/>
            <w:vAlign w:val="center"/>
          </w:tcPr>
          <w:p w14:paraId="20B7D07B">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41FEF222">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0.02</w:t>
            </w:r>
          </w:p>
        </w:tc>
        <w:tc>
          <w:tcPr>
            <w:tcW w:w="1144" w:type="dxa"/>
            <w:tcBorders>
              <w:tl2br w:val="nil"/>
              <w:tr2bl w:val="nil"/>
            </w:tcBorders>
            <w:shd w:val="clear" w:color="auto" w:fill="auto"/>
            <w:vAlign w:val="center"/>
          </w:tcPr>
          <w:p w14:paraId="51C7B660">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0.02</w:t>
            </w:r>
          </w:p>
        </w:tc>
      </w:tr>
      <w:tr w14:paraId="52D7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7176544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49C9F6C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07C08E6E">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VOCs</w:t>
            </w:r>
          </w:p>
        </w:tc>
        <w:tc>
          <w:tcPr>
            <w:tcW w:w="1289" w:type="dxa"/>
            <w:tcBorders>
              <w:tl2br w:val="nil"/>
              <w:tr2bl w:val="nil"/>
            </w:tcBorders>
            <w:shd w:val="clear" w:color="auto" w:fill="auto"/>
            <w:vAlign w:val="center"/>
          </w:tcPr>
          <w:p w14:paraId="20279BF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E2FD65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3FDC10C5">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2D283EF1">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0.025</w:t>
            </w:r>
          </w:p>
        </w:tc>
        <w:tc>
          <w:tcPr>
            <w:tcW w:w="1701" w:type="dxa"/>
            <w:tcBorders>
              <w:tl2br w:val="nil"/>
              <w:tr2bl w:val="nil"/>
            </w:tcBorders>
            <w:shd w:val="clear" w:color="auto" w:fill="auto"/>
            <w:vAlign w:val="center"/>
          </w:tcPr>
          <w:p w14:paraId="195C2837">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67AA899D">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0.025</w:t>
            </w:r>
          </w:p>
        </w:tc>
        <w:tc>
          <w:tcPr>
            <w:tcW w:w="1144" w:type="dxa"/>
            <w:tcBorders>
              <w:tl2br w:val="nil"/>
              <w:tr2bl w:val="nil"/>
            </w:tcBorders>
            <w:shd w:val="clear" w:color="auto" w:fill="auto"/>
            <w:vAlign w:val="center"/>
          </w:tcPr>
          <w:p w14:paraId="7BB1C94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+0.025</w:t>
            </w:r>
          </w:p>
        </w:tc>
      </w:tr>
      <w:tr w14:paraId="3FF8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2FAB08C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restart"/>
            <w:tcBorders>
              <w:tl2br w:val="nil"/>
              <w:tr2bl w:val="nil"/>
            </w:tcBorders>
            <w:vAlign w:val="center"/>
          </w:tcPr>
          <w:p w14:paraId="163C04A6">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无组织</w:t>
            </w:r>
          </w:p>
        </w:tc>
        <w:tc>
          <w:tcPr>
            <w:tcW w:w="1791" w:type="dxa"/>
            <w:tcBorders>
              <w:tl2br w:val="nil"/>
              <w:tr2bl w:val="nil"/>
            </w:tcBorders>
            <w:shd w:val="clear" w:color="auto" w:fill="auto"/>
            <w:vAlign w:val="center"/>
          </w:tcPr>
          <w:p w14:paraId="67F78069">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sz w:val="21"/>
                <w:highlight w:val="none"/>
              </w:rPr>
              <w:t>颗粒物</w:t>
            </w:r>
          </w:p>
        </w:tc>
        <w:tc>
          <w:tcPr>
            <w:tcW w:w="1289" w:type="dxa"/>
            <w:tcBorders>
              <w:tl2br w:val="nil"/>
              <w:tr2bl w:val="nil"/>
            </w:tcBorders>
            <w:shd w:val="clear" w:color="auto" w:fill="auto"/>
            <w:vAlign w:val="center"/>
          </w:tcPr>
          <w:p w14:paraId="13FA0B82">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仿宋_GB2312" w:cs="Times New Roman"/>
                <w:snapToGrid w:val="0"/>
                <w:color w:val="auto"/>
                <w:kern w:val="21"/>
                <w:sz w:val="21"/>
                <w:szCs w:val="21"/>
                <w:lang w:val="en-US" w:eastAsia="zh-CN" w:bidi="ar-SA"/>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9C71569">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仿宋_GB2312" w:cs="Times New Roman"/>
                <w:snapToGrid w:val="0"/>
                <w:color w:val="auto"/>
                <w:kern w:val="21"/>
                <w:sz w:val="21"/>
                <w:szCs w:val="21"/>
                <w:lang w:val="en-US" w:eastAsia="zh-CN" w:bidi="ar-SA"/>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1D67D5D6">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仿宋_GB2312" w:cs="Times New Roman"/>
                <w:snapToGrid w:val="0"/>
                <w:color w:val="auto"/>
                <w:kern w:val="21"/>
                <w:sz w:val="21"/>
                <w:szCs w:val="21"/>
                <w:lang w:val="en-US" w:eastAsia="zh-CN" w:bidi="ar-SA"/>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19F8CBED">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snapToGrid w:val="0"/>
                <w:color w:val="auto"/>
                <w:kern w:val="21"/>
                <w:sz w:val="21"/>
                <w:szCs w:val="21"/>
                <w:lang w:val="en-US" w:eastAsia="zh-CN" w:bidi="ar-SA"/>
              </w:rPr>
            </w:pPr>
            <w:r>
              <w:rPr>
                <w:rFonts w:hint="eastAsia" w:eastAsia="仿宋_GB2312" w:cs="Times New Roman"/>
                <w:color w:val="auto"/>
                <w:kern w:val="0"/>
                <w:sz w:val="21"/>
                <w:lang w:val="en-US" w:eastAsia="zh-CN"/>
              </w:rPr>
              <w:t>0.0055</w:t>
            </w:r>
          </w:p>
        </w:tc>
        <w:tc>
          <w:tcPr>
            <w:tcW w:w="1701" w:type="dxa"/>
            <w:tcBorders>
              <w:tl2br w:val="nil"/>
              <w:tr2bl w:val="nil"/>
            </w:tcBorders>
            <w:shd w:val="clear" w:color="auto" w:fill="auto"/>
            <w:vAlign w:val="center"/>
          </w:tcPr>
          <w:p w14:paraId="55205C42">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仿宋_GB2312" w:cs="Times New Roman"/>
                <w:snapToGrid w:val="0"/>
                <w:color w:val="auto"/>
                <w:kern w:val="21"/>
                <w:sz w:val="21"/>
                <w:szCs w:val="21"/>
                <w:lang w:val="en-US" w:eastAsia="zh-CN" w:bidi="ar-SA"/>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4D1415F0">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snapToGrid w:val="0"/>
                <w:color w:val="auto"/>
                <w:kern w:val="21"/>
                <w:sz w:val="21"/>
                <w:szCs w:val="21"/>
                <w:lang w:val="en-US" w:eastAsia="zh-CN" w:bidi="ar-SA"/>
              </w:rPr>
            </w:pPr>
            <w:r>
              <w:rPr>
                <w:rFonts w:hint="eastAsia" w:eastAsia="仿宋_GB2312" w:cs="Times New Roman"/>
                <w:color w:val="auto"/>
                <w:kern w:val="0"/>
                <w:sz w:val="21"/>
                <w:lang w:val="en-US" w:eastAsia="zh-CN"/>
              </w:rPr>
              <w:t>0.0055</w:t>
            </w:r>
          </w:p>
        </w:tc>
        <w:tc>
          <w:tcPr>
            <w:tcW w:w="1144" w:type="dxa"/>
            <w:tcBorders>
              <w:tl2br w:val="nil"/>
              <w:tr2bl w:val="nil"/>
            </w:tcBorders>
            <w:shd w:val="clear" w:color="auto" w:fill="auto"/>
            <w:vAlign w:val="center"/>
          </w:tcPr>
          <w:p w14:paraId="7597888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snapToGrid w:val="0"/>
                <w:color w:val="auto"/>
                <w:kern w:val="21"/>
                <w:sz w:val="21"/>
                <w:szCs w:val="21"/>
                <w:lang w:val="en-US" w:eastAsia="zh-CN" w:bidi="ar-SA"/>
              </w:rPr>
            </w:pPr>
            <w:r>
              <w:rPr>
                <w:rFonts w:hint="eastAsia" w:eastAsia="仿宋_GB2312" w:cs="Times New Roman"/>
                <w:color w:val="auto"/>
                <w:kern w:val="0"/>
                <w:sz w:val="21"/>
                <w:lang w:val="en-US" w:eastAsia="zh-CN"/>
              </w:rPr>
              <w:t>+0.0055</w:t>
            </w:r>
          </w:p>
        </w:tc>
      </w:tr>
      <w:tr w14:paraId="508C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01F73AB5">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152A6309">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16487ED1">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sz w:val="21"/>
              </w:rPr>
              <w:t>非甲烷总烃</w:t>
            </w:r>
          </w:p>
        </w:tc>
        <w:tc>
          <w:tcPr>
            <w:tcW w:w="1289" w:type="dxa"/>
            <w:tcBorders>
              <w:tl2br w:val="nil"/>
              <w:tr2bl w:val="nil"/>
            </w:tcBorders>
            <w:shd w:val="clear" w:color="auto" w:fill="auto"/>
            <w:vAlign w:val="center"/>
          </w:tcPr>
          <w:p w14:paraId="4DFE184B">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55FD5C2">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4ACF564">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7A9DF570">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0.02</w:t>
            </w:r>
          </w:p>
        </w:tc>
        <w:tc>
          <w:tcPr>
            <w:tcW w:w="1701" w:type="dxa"/>
            <w:tcBorders>
              <w:tl2br w:val="nil"/>
              <w:tr2bl w:val="nil"/>
            </w:tcBorders>
            <w:shd w:val="clear" w:color="auto" w:fill="auto"/>
            <w:vAlign w:val="center"/>
          </w:tcPr>
          <w:p w14:paraId="3E9EB44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371D5447">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0.02</w:t>
            </w:r>
          </w:p>
        </w:tc>
        <w:tc>
          <w:tcPr>
            <w:tcW w:w="1144" w:type="dxa"/>
            <w:tcBorders>
              <w:tl2br w:val="nil"/>
              <w:tr2bl w:val="nil"/>
            </w:tcBorders>
            <w:shd w:val="clear" w:color="auto" w:fill="auto"/>
            <w:vAlign w:val="center"/>
          </w:tcPr>
          <w:p w14:paraId="6659AB7C">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0.02</w:t>
            </w:r>
          </w:p>
        </w:tc>
      </w:tr>
      <w:tr w14:paraId="176F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07BA8196">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6625E5D5">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77E800CD">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0"/>
                <w:lang w:val="en-US" w:eastAsia="zh-CN" w:bidi="ar-SA"/>
              </w:rPr>
            </w:pPr>
            <w:r>
              <w:rPr>
                <w:rFonts w:hint="default" w:ascii="Times New Roman" w:hAnsi="Times New Roman" w:eastAsia="仿宋_GB2312" w:cs="Times New Roman"/>
                <w:color w:val="auto"/>
                <w:sz w:val="21"/>
              </w:rPr>
              <w:t>NH</w:t>
            </w:r>
            <w:r>
              <w:rPr>
                <w:rFonts w:hint="default" w:ascii="Times New Roman" w:hAnsi="Times New Roman" w:eastAsia="仿宋_GB2312" w:cs="Times New Roman"/>
                <w:color w:val="auto"/>
                <w:sz w:val="21"/>
                <w:vertAlign w:val="subscript"/>
              </w:rPr>
              <w:t>3</w:t>
            </w:r>
          </w:p>
        </w:tc>
        <w:tc>
          <w:tcPr>
            <w:tcW w:w="1289" w:type="dxa"/>
            <w:tcBorders>
              <w:tl2br w:val="nil"/>
              <w:tr2bl w:val="nil"/>
            </w:tcBorders>
            <w:shd w:val="clear" w:color="auto" w:fill="auto"/>
            <w:vAlign w:val="center"/>
          </w:tcPr>
          <w:p w14:paraId="13FF1388">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F740599">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4E519CF4">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bottom"/>
          </w:tcPr>
          <w:p w14:paraId="570C118F">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0.01</w:t>
            </w:r>
          </w:p>
        </w:tc>
        <w:tc>
          <w:tcPr>
            <w:tcW w:w="1701" w:type="dxa"/>
            <w:tcBorders>
              <w:tl2br w:val="nil"/>
              <w:tr2bl w:val="nil"/>
            </w:tcBorders>
            <w:shd w:val="clear" w:color="auto" w:fill="auto"/>
            <w:vAlign w:val="center"/>
          </w:tcPr>
          <w:p w14:paraId="353D1E74">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bottom"/>
          </w:tcPr>
          <w:p w14:paraId="41566D5C">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0.01</w:t>
            </w:r>
          </w:p>
        </w:tc>
        <w:tc>
          <w:tcPr>
            <w:tcW w:w="1144" w:type="dxa"/>
            <w:tcBorders>
              <w:tl2br w:val="nil"/>
              <w:tr2bl w:val="nil"/>
            </w:tcBorders>
            <w:shd w:val="clear" w:color="auto" w:fill="auto"/>
            <w:vAlign w:val="bottom"/>
          </w:tcPr>
          <w:p w14:paraId="725E804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0.01</w:t>
            </w:r>
          </w:p>
        </w:tc>
      </w:tr>
      <w:tr w14:paraId="7053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7EFC057B">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75A60AAD">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4A013954">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0"/>
                <w:lang w:val="en-US" w:eastAsia="zh-CN" w:bidi="ar-SA"/>
              </w:rPr>
            </w:pPr>
            <w:r>
              <w:rPr>
                <w:rFonts w:hint="default" w:ascii="Times New Roman" w:hAnsi="Times New Roman" w:eastAsia="仿宋_GB2312" w:cs="Times New Roman"/>
                <w:color w:val="auto"/>
                <w:sz w:val="21"/>
              </w:rPr>
              <w:t>H</w:t>
            </w:r>
            <w:r>
              <w:rPr>
                <w:rFonts w:hint="default" w:ascii="Times New Roman" w:hAnsi="Times New Roman" w:eastAsia="仿宋_GB2312" w:cs="Times New Roman"/>
                <w:color w:val="auto"/>
                <w:sz w:val="21"/>
                <w:vertAlign w:val="subscript"/>
              </w:rPr>
              <w:t>2</w:t>
            </w:r>
            <w:r>
              <w:rPr>
                <w:rFonts w:hint="default" w:ascii="Times New Roman" w:hAnsi="Times New Roman" w:eastAsia="仿宋_GB2312" w:cs="Times New Roman"/>
                <w:color w:val="auto"/>
                <w:sz w:val="21"/>
              </w:rPr>
              <w:t>S</w:t>
            </w:r>
          </w:p>
        </w:tc>
        <w:tc>
          <w:tcPr>
            <w:tcW w:w="1289" w:type="dxa"/>
            <w:tcBorders>
              <w:tl2br w:val="nil"/>
              <w:tr2bl w:val="nil"/>
            </w:tcBorders>
            <w:shd w:val="clear" w:color="auto" w:fill="auto"/>
            <w:vAlign w:val="center"/>
          </w:tcPr>
          <w:p w14:paraId="443B11B0">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1E9839D1">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000CD2F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bottom"/>
          </w:tcPr>
          <w:p w14:paraId="3FBB1AE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0.001</w:t>
            </w:r>
          </w:p>
        </w:tc>
        <w:tc>
          <w:tcPr>
            <w:tcW w:w="1701" w:type="dxa"/>
            <w:tcBorders>
              <w:tl2br w:val="nil"/>
              <w:tr2bl w:val="nil"/>
            </w:tcBorders>
            <w:shd w:val="clear" w:color="auto" w:fill="auto"/>
            <w:vAlign w:val="center"/>
          </w:tcPr>
          <w:p w14:paraId="486D60F5">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bottom"/>
          </w:tcPr>
          <w:p w14:paraId="3A6BF4AA">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0.001</w:t>
            </w:r>
          </w:p>
        </w:tc>
        <w:tc>
          <w:tcPr>
            <w:tcW w:w="1144" w:type="dxa"/>
            <w:tcBorders>
              <w:tl2br w:val="nil"/>
              <w:tr2bl w:val="nil"/>
            </w:tcBorders>
            <w:shd w:val="clear" w:color="auto" w:fill="auto"/>
            <w:vAlign w:val="bottom"/>
          </w:tcPr>
          <w:p w14:paraId="69AF4A4D">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0.001</w:t>
            </w:r>
          </w:p>
        </w:tc>
      </w:tr>
      <w:tr w14:paraId="3BC7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107B906A">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4FD33839">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1C03C171">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2"/>
                <w:sz w:val="21"/>
                <w:szCs w:val="24"/>
                <w:lang w:val="en-US" w:eastAsia="zh-CN" w:bidi="ar-SA"/>
              </w:rPr>
            </w:pPr>
            <w:r>
              <w:rPr>
                <w:rFonts w:hint="default" w:ascii="Times New Roman" w:hAnsi="Times New Roman" w:eastAsia="仿宋_GB2312" w:cs="Times New Roman"/>
                <w:color w:val="auto"/>
                <w:sz w:val="21"/>
              </w:rPr>
              <w:t>氯化氢</w:t>
            </w:r>
          </w:p>
        </w:tc>
        <w:tc>
          <w:tcPr>
            <w:tcW w:w="1289" w:type="dxa"/>
            <w:tcBorders>
              <w:tl2br w:val="nil"/>
              <w:tr2bl w:val="nil"/>
            </w:tcBorders>
            <w:shd w:val="clear" w:color="auto" w:fill="auto"/>
            <w:vAlign w:val="center"/>
          </w:tcPr>
          <w:p w14:paraId="642757F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79F5BF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CCE03B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bottom"/>
          </w:tcPr>
          <w:p w14:paraId="229EFD4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0.001</w:t>
            </w:r>
          </w:p>
        </w:tc>
        <w:tc>
          <w:tcPr>
            <w:tcW w:w="1701" w:type="dxa"/>
            <w:tcBorders>
              <w:tl2br w:val="nil"/>
              <w:tr2bl w:val="nil"/>
            </w:tcBorders>
            <w:shd w:val="clear" w:color="auto" w:fill="auto"/>
            <w:vAlign w:val="center"/>
          </w:tcPr>
          <w:p w14:paraId="0DA3CB86">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bottom"/>
          </w:tcPr>
          <w:p w14:paraId="57532518">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0.001</w:t>
            </w:r>
          </w:p>
        </w:tc>
        <w:tc>
          <w:tcPr>
            <w:tcW w:w="1144" w:type="dxa"/>
            <w:tcBorders>
              <w:tl2br w:val="nil"/>
              <w:tr2bl w:val="nil"/>
            </w:tcBorders>
            <w:shd w:val="clear" w:color="auto" w:fill="auto"/>
            <w:vAlign w:val="bottom"/>
          </w:tcPr>
          <w:p w14:paraId="1A21A565">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0.001</w:t>
            </w:r>
          </w:p>
        </w:tc>
      </w:tr>
      <w:tr w14:paraId="62CB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3" w:type="dxa"/>
            <w:vMerge w:val="continue"/>
            <w:tcBorders>
              <w:tl2br w:val="nil"/>
              <w:tr2bl w:val="nil"/>
            </w:tcBorders>
            <w:vAlign w:val="center"/>
          </w:tcPr>
          <w:p w14:paraId="6E8DD18F">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813" w:type="dxa"/>
            <w:vMerge w:val="continue"/>
            <w:tcBorders>
              <w:tl2br w:val="nil"/>
              <w:tr2bl w:val="nil"/>
            </w:tcBorders>
            <w:vAlign w:val="center"/>
          </w:tcPr>
          <w:p w14:paraId="78D097B0">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12069ADE">
            <w:pPr>
              <w:keepNext w:val="0"/>
              <w:keepLines w:val="0"/>
              <w:widowControl w:val="0"/>
              <w:suppressLineNumbers w:val="0"/>
              <w:snapToGrid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sz w:val="21"/>
              </w:rPr>
              <w:t>VOCs</w:t>
            </w:r>
          </w:p>
        </w:tc>
        <w:tc>
          <w:tcPr>
            <w:tcW w:w="1289" w:type="dxa"/>
            <w:tcBorders>
              <w:tl2br w:val="nil"/>
              <w:tr2bl w:val="nil"/>
            </w:tcBorders>
            <w:shd w:val="clear" w:color="auto" w:fill="auto"/>
            <w:vAlign w:val="center"/>
          </w:tcPr>
          <w:p w14:paraId="66619DB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7405FA90">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144DD689">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78F2D6A1">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0.02</w:t>
            </w:r>
          </w:p>
        </w:tc>
        <w:tc>
          <w:tcPr>
            <w:tcW w:w="1701" w:type="dxa"/>
            <w:tcBorders>
              <w:tl2br w:val="nil"/>
              <w:tr2bl w:val="nil"/>
            </w:tcBorders>
            <w:shd w:val="clear" w:color="auto" w:fill="auto"/>
            <w:vAlign w:val="center"/>
          </w:tcPr>
          <w:p w14:paraId="06772DE2">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66CAA05E">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default" w:ascii="Times New Roman" w:hAnsi="Times New Roman" w:eastAsia="仿宋_GB2312" w:cs="Times New Roman"/>
                <w:color w:val="auto"/>
                <w:kern w:val="0"/>
                <w:sz w:val="21"/>
              </w:rPr>
              <w:t>0.02</w:t>
            </w:r>
          </w:p>
        </w:tc>
        <w:tc>
          <w:tcPr>
            <w:tcW w:w="1144" w:type="dxa"/>
            <w:tcBorders>
              <w:tl2br w:val="nil"/>
              <w:tr2bl w:val="nil"/>
            </w:tcBorders>
            <w:shd w:val="clear" w:color="auto" w:fill="auto"/>
            <w:vAlign w:val="center"/>
          </w:tcPr>
          <w:p w14:paraId="712D4181">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eastAsia="仿宋_GB2312"/>
                <w:snapToGrid w:val="0"/>
                <w:color w:val="auto"/>
                <w:kern w:val="21"/>
                <w:szCs w:val="21"/>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0.02</w:t>
            </w:r>
          </w:p>
        </w:tc>
      </w:tr>
      <w:tr w14:paraId="5FB6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restart"/>
            <w:tcBorders>
              <w:tl2br w:val="nil"/>
              <w:tr2bl w:val="nil"/>
            </w:tcBorders>
            <w:vAlign w:val="center"/>
          </w:tcPr>
          <w:p w14:paraId="66CE2DB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废水</w:t>
            </w:r>
          </w:p>
        </w:tc>
        <w:tc>
          <w:tcPr>
            <w:tcW w:w="1791" w:type="dxa"/>
            <w:tcBorders>
              <w:tl2br w:val="nil"/>
              <w:tr2bl w:val="nil"/>
            </w:tcBorders>
            <w:shd w:val="clear" w:color="auto" w:fill="auto"/>
            <w:vAlign w:val="center"/>
          </w:tcPr>
          <w:p w14:paraId="2B3D0D53">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eastAsia" w:ascii="Times New Roman" w:eastAsia="仿宋_GB2312"/>
                <w:snapToGrid w:val="0"/>
                <w:color w:val="auto"/>
                <w:kern w:val="21"/>
                <w:szCs w:val="21"/>
                <w:lang w:eastAsia="zh-CN"/>
              </w:rPr>
              <w:t>接管</w:t>
            </w:r>
            <w:r>
              <w:rPr>
                <w:rFonts w:hint="default" w:ascii="Times New Roman" w:eastAsia="仿宋_GB2312"/>
                <w:snapToGrid w:val="0"/>
                <w:color w:val="auto"/>
                <w:kern w:val="21"/>
                <w:szCs w:val="21"/>
              </w:rPr>
              <w:t>废水量(m</w:t>
            </w:r>
            <w:r>
              <w:rPr>
                <w:rFonts w:hint="default" w:ascii="Times New Roman" w:eastAsia="仿宋_GB2312"/>
                <w:snapToGrid w:val="0"/>
                <w:color w:val="auto"/>
                <w:kern w:val="21"/>
                <w:szCs w:val="21"/>
                <w:vertAlign w:val="superscript"/>
              </w:rPr>
              <w:t>3</w:t>
            </w:r>
            <w:r>
              <w:rPr>
                <w:rFonts w:hint="default" w:ascii="Times New Roman" w:eastAsia="仿宋_GB2312"/>
                <w:snapToGrid w:val="0"/>
                <w:color w:val="auto"/>
                <w:kern w:val="21"/>
                <w:szCs w:val="21"/>
              </w:rPr>
              <w:t>/a)</w:t>
            </w:r>
          </w:p>
        </w:tc>
        <w:tc>
          <w:tcPr>
            <w:tcW w:w="1289" w:type="dxa"/>
            <w:tcBorders>
              <w:tl2br w:val="nil"/>
              <w:tr2bl w:val="nil"/>
            </w:tcBorders>
            <w:shd w:val="clear" w:color="auto" w:fill="auto"/>
            <w:vAlign w:val="center"/>
          </w:tcPr>
          <w:p w14:paraId="6F5720A2">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533BBC02">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6050D0FD">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4AA9BD3D">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sz w:val="21"/>
                <w:szCs w:val="20"/>
                <w:lang w:val="en-US" w:eastAsia="zh-CN"/>
              </w:rPr>
              <w:t>1437</w:t>
            </w:r>
          </w:p>
        </w:tc>
        <w:tc>
          <w:tcPr>
            <w:tcW w:w="1701" w:type="dxa"/>
            <w:tcBorders>
              <w:tl2br w:val="nil"/>
              <w:tr2bl w:val="nil"/>
            </w:tcBorders>
            <w:shd w:val="clear" w:color="auto" w:fill="auto"/>
            <w:vAlign w:val="center"/>
          </w:tcPr>
          <w:p w14:paraId="0A88E8ED">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72D33D4B">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sz w:val="21"/>
                <w:szCs w:val="20"/>
                <w:lang w:val="en-US" w:eastAsia="zh-CN"/>
              </w:rPr>
              <w:t>1437</w:t>
            </w:r>
          </w:p>
        </w:tc>
        <w:tc>
          <w:tcPr>
            <w:tcW w:w="1144" w:type="dxa"/>
            <w:tcBorders>
              <w:tl2br w:val="nil"/>
              <w:tr2bl w:val="nil"/>
            </w:tcBorders>
            <w:shd w:val="clear" w:color="auto" w:fill="auto"/>
            <w:vAlign w:val="center"/>
          </w:tcPr>
          <w:p w14:paraId="4EA0B055">
            <w:pPr>
              <w:keepNext w:val="0"/>
              <w:keepLines w:val="0"/>
              <w:widowControl w:val="0"/>
              <w:suppressLineNumbers w:val="0"/>
              <w:snapToGrid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1"/>
                <w:lang w:val="en-US" w:eastAsia="zh-CN" w:bidi="ar-SA"/>
              </w:rPr>
            </w:pPr>
            <w:r>
              <w:rPr>
                <w:rFonts w:hint="eastAsia" w:eastAsia="仿宋_GB2312" w:cs="Times New Roman"/>
                <w:color w:val="auto"/>
                <w:sz w:val="21"/>
                <w:szCs w:val="20"/>
                <w:lang w:val="en-US" w:eastAsia="zh-CN"/>
              </w:rPr>
              <w:t>+1437</w:t>
            </w:r>
          </w:p>
        </w:tc>
      </w:tr>
      <w:tr w14:paraId="301E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0BAC4CA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68742155">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COD</w:t>
            </w:r>
          </w:p>
        </w:tc>
        <w:tc>
          <w:tcPr>
            <w:tcW w:w="1289" w:type="dxa"/>
            <w:tcBorders>
              <w:tl2br w:val="nil"/>
              <w:tr2bl w:val="nil"/>
            </w:tcBorders>
            <w:shd w:val="clear" w:color="auto" w:fill="auto"/>
            <w:vAlign w:val="center"/>
          </w:tcPr>
          <w:p w14:paraId="36CA7C9F">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5E7F86FB">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35DD9179">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2D93EB35">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0.421</w:t>
            </w:r>
          </w:p>
        </w:tc>
        <w:tc>
          <w:tcPr>
            <w:tcW w:w="1701" w:type="dxa"/>
            <w:tcBorders>
              <w:tl2br w:val="nil"/>
              <w:tr2bl w:val="nil"/>
            </w:tcBorders>
            <w:shd w:val="clear" w:color="auto" w:fill="auto"/>
            <w:vAlign w:val="center"/>
          </w:tcPr>
          <w:p w14:paraId="3DA2CC32">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63C79C79">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0.421</w:t>
            </w:r>
          </w:p>
        </w:tc>
        <w:tc>
          <w:tcPr>
            <w:tcW w:w="1144" w:type="dxa"/>
            <w:tcBorders>
              <w:tl2br w:val="nil"/>
              <w:tr2bl w:val="nil"/>
            </w:tcBorders>
            <w:shd w:val="clear" w:color="auto" w:fill="auto"/>
            <w:vAlign w:val="center"/>
          </w:tcPr>
          <w:p w14:paraId="5E110DAF">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+0.421</w:t>
            </w:r>
          </w:p>
        </w:tc>
      </w:tr>
      <w:tr w14:paraId="7647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3C2AB3AF">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5126D8E2">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SS</w:t>
            </w:r>
          </w:p>
        </w:tc>
        <w:tc>
          <w:tcPr>
            <w:tcW w:w="1289" w:type="dxa"/>
            <w:tcBorders>
              <w:tl2br w:val="nil"/>
              <w:tr2bl w:val="nil"/>
            </w:tcBorders>
            <w:shd w:val="clear" w:color="auto" w:fill="auto"/>
            <w:vAlign w:val="center"/>
          </w:tcPr>
          <w:p w14:paraId="480204A7">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BCA848D">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15C03068">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47EDE7F3">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0.221</w:t>
            </w:r>
          </w:p>
        </w:tc>
        <w:tc>
          <w:tcPr>
            <w:tcW w:w="1701" w:type="dxa"/>
            <w:tcBorders>
              <w:tl2br w:val="nil"/>
              <w:tr2bl w:val="nil"/>
            </w:tcBorders>
            <w:shd w:val="clear" w:color="auto" w:fill="auto"/>
            <w:vAlign w:val="center"/>
          </w:tcPr>
          <w:p w14:paraId="34B69FB4">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59C6F239">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0.221</w:t>
            </w:r>
          </w:p>
        </w:tc>
        <w:tc>
          <w:tcPr>
            <w:tcW w:w="1144" w:type="dxa"/>
            <w:tcBorders>
              <w:tl2br w:val="nil"/>
              <w:tr2bl w:val="nil"/>
            </w:tcBorders>
            <w:shd w:val="clear" w:color="auto" w:fill="auto"/>
            <w:vAlign w:val="center"/>
          </w:tcPr>
          <w:p w14:paraId="748FBFD6">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+0.221</w:t>
            </w:r>
          </w:p>
        </w:tc>
      </w:tr>
      <w:tr w14:paraId="14C9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29AF3B83">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7FE46FB1">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NH</w:t>
            </w:r>
            <w:r>
              <w:rPr>
                <w:rFonts w:hint="default" w:ascii="Times New Roman" w:eastAsia="仿宋_GB2312"/>
                <w:snapToGrid w:val="0"/>
                <w:color w:val="auto"/>
                <w:kern w:val="21"/>
                <w:szCs w:val="21"/>
                <w:vertAlign w:val="subscript"/>
              </w:rPr>
              <w:t>3</w:t>
            </w:r>
            <w:r>
              <w:rPr>
                <w:rFonts w:hint="default" w:ascii="Times New Roman" w:eastAsia="仿宋_GB2312"/>
                <w:snapToGrid w:val="0"/>
                <w:color w:val="auto"/>
                <w:kern w:val="21"/>
                <w:szCs w:val="21"/>
              </w:rPr>
              <w:t>-N</w:t>
            </w:r>
          </w:p>
        </w:tc>
        <w:tc>
          <w:tcPr>
            <w:tcW w:w="1289" w:type="dxa"/>
            <w:tcBorders>
              <w:tl2br w:val="nil"/>
              <w:tr2bl w:val="nil"/>
            </w:tcBorders>
            <w:shd w:val="clear" w:color="auto" w:fill="auto"/>
            <w:vAlign w:val="center"/>
          </w:tcPr>
          <w:p w14:paraId="702FC43D">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772E8A2">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A39D7E4">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29E9EC73">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0.03</w:t>
            </w:r>
          </w:p>
        </w:tc>
        <w:tc>
          <w:tcPr>
            <w:tcW w:w="1701" w:type="dxa"/>
            <w:tcBorders>
              <w:tl2br w:val="nil"/>
              <w:tr2bl w:val="nil"/>
            </w:tcBorders>
            <w:shd w:val="clear" w:color="auto" w:fill="auto"/>
            <w:vAlign w:val="center"/>
          </w:tcPr>
          <w:p w14:paraId="6283051C">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11BED7CC">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0.03</w:t>
            </w:r>
          </w:p>
        </w:tc>
        <w:tc>
          <w:tcPr>
            <w:tcW w:w="1144" w:type="dxa"/>
            <w:tcBorders>
              <w:tl2br w:val="nil"/>
              <w:tr2bl w:val="nil"/>
            </w:tcBorders>
            <w:shd w:val="clear" w:color="auto" w:fill="auto"/>
            <w:vAlign w:val="center"/>
          </w:tcPr>
          <w:p w14:paraId="327246D9">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+0.03</w:t>
            </w:r>
          </w:p>
        </w:tc>
      </w:tr>
      <w:tr w14:paraId="06E8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710588A1">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63832F7A">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TN</w:t>
            </w:r>
          </w:p>
        </w:tc>
        <w:tc>
          <w:tcPr>
            <w:tcW w:w="1289" w:type="dxa"/>
            <w:tcBorders>
              <w:tl2br w:val="nil"/>
              <w:tr2bl w:val="nil"/>
            </w:tcBorders>
            <w:shd w:val="clear" w:color="auto" w:fill="auto"/>
            <w:vAlign w:val="center"/>
          </w:tcPr>
          <w:p w14:paraId="7BFD9643">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2AB56D5D">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3461F4B">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074429B6">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0.05</w:t>
            </w:r>
          </w:p>
        </w:tc>
        <w:tc>
          <w:tcPr>
            <w:tcW w:w="1701" w:type="dxa"/>
            <w:tcBorders>
              <w:tl2br w:val="nil"/>
              <w:tr2bl w:val="nil"/>
            </w:tcBorders>
            <w:shd w:val="clear" w:color="auto" w:fill="auto"/>
            <w:vAlign w:val="center"/>
          </w:tcPr>
          <w:p w14:paraId="0E158C33">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3D8D2F39">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0.05</w:t>
            </w:r>
          </w:p>
        </w:tc>
        <w:tc>
          <w:tcPr>
            <w:tcW w:w="1144" w:type="dxa"/>
            <w:tcBorders>
              <w:tl2br w:val="nil"/>
              <w:tr2bl w:val="nil"/>
            </w:tcBorders>
            <w:shd w:val="clear" w:color="auto" w:fill="auto"/>
            <w:vAlign w:val="center"/>
          </w:tcPr>
          <w:p w14:paraId="5E4A9F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0.05</w:t>
            </w:r>
          </w:p>
        </w:tc>
      </w:tr>
      <w:tr w14:paraId="3731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039DEFC2">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2A53B58F">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TP</w:t>
            </w:r>
          </w:p>
        </w:tc>
        <w:tc>
          <w:tcPr>
            <w:tcW w:w="1289" w:type="dxa"/>
            <w:tcBorders>
              <w:tl2br w:val="nil"/>
              <w:tr2bl w:val="nil"/>
            </w:tcBorders>
            <w:shd w:val="clear" w:color="auto" w:fill="auto"/>
            <w:vAlign w:val="center"/>
          </w:tcPr>
          <w:p w14:paraId="3ACED1E9">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4553FD3B">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6D22253D">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4D2961EC">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0.002</w:t>
            </w:r>
          </w:p>
        </w:tc>
        <w:tc>
          <w:tcPr>
            <w:tcW w:w="1701" w:type="dxa"/>
            <w:tcBorders>
              <w:tl2br w:val="nil"/>
              <w:tr2bl w:val="nil"/>
            </w:tcBorders>
            <w:shd w:val="clear" w:color="auto" w:fill="auto"/>
            <w:vAlign w:val="center"/>
          </w:tcPr>
          <w:p w14:paraId="2B9955ED">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24BE9D5B">
            <w:pPr>
              <w:keepNext w:val="0"/>
              <w:keepLines w:val="0"/>
              <w:widowControl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0"/>
                <w:sz w:val="21"/>
                <w:lang w:val="en-US" w:eastAsia="zh-CN"/>
              </w:rPr>
              <w:t>0.002</w:t>
            </w:r>
          </w:p>
        </w:tc>
        <w:tc>
          <w:tcPr>
            <w:tcW w:w="1144" w:type="dxa"/>
            <w:tcBorders>
              <w:tl2br w:val="nil"/>
              <w:tr2bl w:val="nil"/>
            </w:tcBorders>
            <w:shd w:val="clear" w:color="auto" w:fill="auto"/>
            <w:vAlign w:val="center"/>
          </w:tcPr>
          <w:p w14:paraId="7E22FD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_GB2312"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0.002</w:t>
            </w:r>
          </w:p>
        </w:tc>
      </w:tr>
      <w:tr w14:paraId="5F8D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74AF777B">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73D50963">
            <w:pPr>
              <w:pStyle w:val="155"/>
              <w:keepNext w:val="0"/>
              <w:keepLines w:val="0"/>
              <w:suppressLineNumbers w:val="0"/>
              <w:spacing w:before="0" w:beforeLines="0" w:beforeAutospacing="0" w:after="0" w:afterLines="0" w:afterAutospacing="0" w:line="240" w:lineRule="auto"/>
              <w:ind w:left="0" w:right="0"/>
              <w:rPr>
                <w:rFonts w:hint="eastAsia" w:ascii="Times New Roman" w:eastAsia="仿宋_GB2312"/>
                <w:snapToGrid w:val="0"/>
                <w:color w:val="auto"/>
                <w:kern w:val="21"/>
                <w:szCs w:val="21"/>
                <w:lang w:eastAsia="zh-CN"/>
              </w:rPr>
            </w:pPr>
            <w:r>
              <w:rPr>
                <w:rFonts w:hint="eastAsia" w:ascii="Times New Roman" w:eastAsia="仿宋_GB2312"/>
                <w:snapToGrid w:val="0"/>
                <w:color w:val="auto"/>
                <w:kern w:val="21"/>
                <w:szCs w:val="21"/>
                <w:lang w:eastAsia="zh-CN"/>
              </w:rPr>
              <w:t>盐分</w:t>
            </w:r>
          </w:p>
        </w:tc>
        <w:tc>
          <w:tcPr>
            <w:tcW w:w="1289" w:type="dxa"/>
            <w:tcBorders>
              <w:tl2br w:val="nil"/>
              <w:tr2bl w:val="nil"/>
            </w:tcBorders>
            <w:shd w:val="clear" w:color="auto" w:fill="auto"/>
            <w:vAlign w:val="center"/>
          </w:tcPr>
          <w:p w14:paraId="0491ED46">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2E76B10">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D9C064C">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5FAFDCBE">
            <w:pPr>
              <w:keepNext w:val="0"/>
              <w:keepLines w:val="0"/>
              <w:widowControl w:val="0"/>
              <w:suppressLineNumbers w:val="0"/>
              <w:spacing w:before="0" w:beforeAutospacing="0" w:after="0" w:afterAutospacing="0" w:line="320" w:lineRule="exact"/>
              <w:ind w:left="0" w:leftChars="0" w:right="0" w:rightChars="0"/>
              <w:jc w:val="center"/>
              <w:rPr>
                <w:rFonts w:hint="eastAsia" w:ascii="Times New Roman" w:hAnsi="Times New Roman"/>
                <w:color w:val="auto"/>
              </w:rPr>
            </w:pPr>
            <w:r>
              <w:rPr>
                <w:rFonts w:hint="eastAsia" w:ascii="Times New Roman" w:hAnsi="Times New Roman" w:eastAsia="仿宋_GB2312" w:cs="Times New Roman"/>
                <w:color w:val="auto"/>
                <w:kern w:val="0"/>
                <w:sz w:val="21"/>
                <w:lang w:val="en-US" w:eastAsia="zh-CN"/>
              </w:rPr>
              <w:t>0.935</w:t>
            </w:r>
          </w:p>
        </w:tc>
        <w:tc>
          <w:tcPr>
            <w:tcW w:w="1701" w:type="dxa"/>
            <w:tcBorders>
              <w:tl2br w:val="nil"/>
              <w:tr2bl w:val="nil"/>
            </w:tcBorders>
            <w:shd w:val="clear" w:color="auto" w:fill="auto"/>
            <w:vAlign w:val="center"/>
          </w:tcPr>
          <w:p w14:paraId="679E848D">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11F0234E">
            <w:pPr>
              <w:keepNext w:val="0"/>
              <w:keepLines w:val="0"/>
              <w:widowControl w:val="0"/>
              <w:suppressLineNumbers w:val="0"/>
              <w:spacing w:before="0" w:beforeAutospacing="0" w:after="0" w:afterAutospacing="0" w:line="320" w:lineRule="exact"/>
              <w:ind w:left="0" w:leftChars="0" w:right="0" w:rightChars="0"/>
              <w:jc w:val="center"/>
              <w:rPr>
                <w:rFonts w:hint="eastAsia" w:ascii="Times New Roman" w:hAnsi="Times New Roman"/>
                <w:color w:val="auto"/>
              </w:rPr>
            </w:pPr>
            <w:r>
              <w:rPr>
                <w:rFonts w:hint="eastAsia" w:ascii="Times New Roman" w:hAnsi="Times New Roman" w:eastAsia="仿宋_GB2312" w:cs="Times New Roman"/>
                <w:color w:val="auto"/>
                <w:kern w:val="0"/>
                <w:sz w:val="21"/>
                <w:lang w:val="en-US" w:eastAsia="zh-CN"/>
              </w:rPr>
              <w:t>0.935</w:t>
            </w:r>
          </w:p>
        </w:tc>
        <w:tc>
          <w:tcPr>
            <w:tcW w:w="1144" w:type="dxa"/>
            <w:tcBorders>
              <w:tl2br w:val="nil"/>
              <w:tr2bl w:val="nil"/>
            </w:tcBorders>
            <w:shd w:val="clear" w:color="auto" w:fill="auto"/>
            <w:vAlign w:val="center"/>
          </w:tcPr>
          <w:p w14:paraId="6981CFEB">
            <w:pPr>
              <w:pStyle w:val="165"/>
              <w:keepNext w:val="0"/>
              <w:keepLines w:val="0"/>
              <w:widowControl w:val="0"/>
              <w:suppressLineNumbers w:val="0"/>
              <w:snapToGrid w:val="0"/>
              <w:spacing w:before="0" w:beforeAutospacing="0" w:after="0" w:afterAutospacing="0" w:line="320" w:lineRule="exact"/>
              <w:ind w:left="0" w:leftChars="0" w:right="0" w:rightChars="0"/>
              <w:rPr>
                <w:rFonts w:hint="default" w:ascii="Times New Roman" w:eastAsia="仿宋_GB2312"/>
                <w:snapToGrid w:val="0"/>
                <w:color w:val="auto"/>
                <w:kern w:val="21"/>
                <w:szCs w:val="21"/>
                <w:lang w:val="en-US"/>
              </w:rPr>
            </w:pPr>
            <w:r>
              <w:rPr>
                <w:rFonts w:hint="eastAsia" w:ascii="Times New Roman" w:hAnsi="Times New Roman" w:cs="Times New Roman"/>
                <w:color w:val="auto"/>
                <w:szCs w:val="21"/>
                <w:lang w:val="en-US" w:eastAsia="zh-CN"/>
              </w:rPr>
              <w:t>+0.935</w:t>
            </w:r>
          </w:p>
        </w:tc>
      </w:tr>
      <w:tr w14:paraId="12AA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restart"/>
            <w:tcBorders>
              <w:tl2br w:val="nil"/>
              <w:tr2bl w:val="nil"/>
            </w:tcBorders>
            <w:vAlign w:val="center"/>
          </w:tcPr>
          <w:p w14:paraId="5FE8ED1E">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危险废物</w:t>
            </w:r>
          </w:p>
        </w:tc>
        <w:tc>
          <w:tcPr>
            <w:tcW w:w="1791" w:type="dxa"/>
            <w:tcBorders>
              <w:tl2br w:val="nil"/>
              <w:tr2bl w:val="nil"/>
            </w:tcBorders>
            <w:shd w:val="clear" w:color="auto" w:fill="auto"/>
            <w:vAlign w:val="center"/>
          </w:tcPr>
          <w:p w14:paraId="0D27771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沾染危险化学品的废包装材料</w:t>
            </w:r>
          </w:p>
        </w:tc>
        <w:tc>
          <w:tcPr>
            <w:tcW w:w="1289" w:type="dxa"/>
            <w:tcBorders>
              <w:tl2br w:val="nil"/>
              <w:tr2bl w:val="nil"/>
            </w:tcBorders>
            <w:shd w:val="clear" w:color="auto" w:fill="auto"/>
            <w:vAlign w:val="center"/>
          </w:tcPr>
          <w:p w14:paraId="125CF081">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46C0B599">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3F542370">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5FA2591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0.3702</w:t>
            </w:r>
          </w:p>
        </w:tc>
        <w:tc>
          <w:tcPr>
            <w:tcW w:w="1701" w:type="dxa"/>
            <w:tcBorders>
              <w:tl2br w:val="nil"/>
              <w:tr2bl w:val="nil"/>
            </w:tcBorders>
            <w:shd w:val="clear" w:color="auto" w:fill="auto"/>
            <w:vAlign w:val="center"/>
          </w:tcPr>
          <w:p w14:paraId="1AEE709E">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5DA42BF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0.3702</w:t>
            </w:r>
          </w:p>
        </w:tc>
        <w:tc>
          <w:tcPr>
            <w:tcW w:w="1144" w:type="dxa"/>
            <w:tcBorders>
              <w:tl2br w:val="nil"/>
              <w:tr2bl w:val="nil"/>
            </w:tcBorders>
            <w:shd w:val="clear" w:color="auto" w:fill="auto"/>
            <w:vAlign w:val="center"/>
          </w:tcPr>
          <w:p w14:paraId="196FDEA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+0.3702</w:t>
            </w:r>
          </w:p>
        </w:tc>
      </w:tr>
      <w:tr w14:paraId="62BB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12E7B2D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1F19489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车间清洁废物</w:t>
            </w:r>
          </w:p>
        </w:tc>
        <w:tc>
          <w:tcPr>
            <w:tcW w:w="1289" w:type="dxa"/>
            <w:tcBorders>
              <w:tl2br w:val="nil"/>
              <w:tr2bl w:val="nil"/>
            </w:tcBorders>
            <w:shd w:val="clear" w:color="auto" w:fill="auto"/>
            <w:vAlign w:val="center"/>
          </w:tcPr>
          <w:p w14:paraId="2463A519">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71767554">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3D104433">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7CE84BA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0.2</w:t>
            </w:r>
          </w:p>
        </w:tc>
        <w:tc>
          <w:tcPr>
            <w:tcW w:w="1701" w:type="dxa"/>
            <w:tcBorders>
              <w:tl2br w:val="nil"/>
              <w:tr2bl w:val="nil"/>
            </w:tcBorders>
            <w:shd w:val="clear" w:color="auto" w:fill="auto"/>
            <w:vAlign w:val="center"/>
          </w:tcPr>
          <w:p w14:paraId="00369FE9">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2112293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0.2</w:t>
            </w:r>
          </w:p>
        </w:tc>
        <w:tc>
          <w:tcPr>
            <w:tcW w:w="1144" w:type="dxa"/>
            <w:tcBorders>
              <w:tl2br w:val="nil"/>
              <w:tr2bl w:val="nil"/>
            </w:tcBorders>
            <w:shd w:val="clear" w:color="auto" w:fill="auto"/>
            <w:vAlign w:val="center"/>
          </w:tcPr>
          <w:p w14:paraId="78009DD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0.2</w:t>
            </w:r>
          </w:p>
        </w:tc>
      </w:tr>
      <w:tr w14:paraId="4F37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4ACF7AE6">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0DDC29E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废矿物油</w:t>
            </w:r>
          </w:p>
        </w:tc>
        <w:tc>
          <w:tcPr>
            <w:tcW w:w="1289" w:type="dxa"/>
            <w:tcBorders>
              <w:tl2br w:val="nil"/>
              <w:tr2bl w:val="nil"/>
            </w:tcBorders>
            <w:shd w:val="clear" w:color="auto" w:fill="auto"/>
            <w:vAlign w:val="center"/>
          </w:tcPr>
          <w:p w14:paraId="6E92BBF4">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398380A0">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744CD067">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5BCDB0F9">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w:t>
            </w:r>
          </w:p>
        </w:tc>
        <w:tc>
          <w:tcPr>
            <w:tcW w:w="1701" w:type="dxa"/>
            <w:tcBorders>
              <w:tl2br w:val="nil"/>
              <w:tr2bl w:val="nil"/>
            </w:tcBorders>
            <w:shd w:val="clear" w:color="auto" w:fill="auto"/>
            <w:vAlign w:val="center"/>
          </w:tcPr>
          <w:p w14:paraId="38136DB1">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66CB6E31">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w:t>
            </w:r>
          </w:p>
        </w:tc>
        <w:tc>
          <w:tcPr>
            <w:tcW w:w="1144" w:type="dxa"/>
            <w:tcBorders>
              <w:tl2br w:val="nil"/>
              <w:tr2bl w:val="nil"/>
            </w:tcBorders>
            <w:shd w:val="clear" w:color="auto" w:fill="auto"/>
            <w:vAlign w:val="center"/>
          </w:tcPr>
          <w:p w14:paraId="49E9489F">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w:t>
            </w:r>
            <w:r>
              <w:rPr>
                <w:rFonts w:hint="eastAsia" w:eastAsia="仿宋_GB2312" w:cs="Times New Roman"/>
                <w:color w:val="auto"/>
                <w:kern w:val="0"/>
                <w:sz w:val="21"/>
                <w:lang w:val="en-US" w:eastAsia="zh-CN"/>
              </w:rPr>
              <w:t>1</w:t>
            </w:r>
          </w:p>
        </w:tc>
      </w:tr>
      <w:tr w14:paraId="609B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12C73EC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7FA3045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废树脂</w:t>
            </w:r>
          </w:p>
        </w:tc>
        <w:tc>
          <w:tcPr>
            <w:tcW w:w="1289" w:type="dxa"/>
            <w:tcBorders>
              <w:tl2br w:val="nil"/>
              <w:tr2bl w:val="nil"/>
            </w:tcBorders>
            <w:shd w:val="clear" w:color="auto" w:fill="auto"/>
            <w:vAlign w:val="center"/>
          </w:tcPr>
          <w:p w14:paraId="49698593">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3D92889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3C3E013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5DE1054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0.37</w:t>
            </w:r>
          </w:p>
        </w:tc>
        <w:tc>
          <w:tcPr>
            <w:tcW w:w="1701" w:type="dxa"/>
            <w:tcBorders>
              <w:tl2br w:val="nil"/>
              <w:tr2bl w:val="nil"/>
            </w:tcBorders>
            <w:shd w:val="clear" w:color="auto" w:fill="auto"/>
            <w:vAlign w:val="center"/>
          </w:tcPr>
          <w:p w14:paraId="3523E8A3">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53DC294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0.37</w:t>
            </w:r>
          </w:p>
        </w:tc>
        <w:tc>
          <w:tcPr>
            <w:tcW w:w="1144" w:type="dxa"/>
            <w:tcBorders>
              <w:tl2br w:val="nil"/>
              <w:tr2bl w:val="nil"/>
            </w:tcBorders>
            <w:shd w:val="clear" w:color="auto" w:fill="auto"/>
            <w:vAlign w:val="center"/>
          </w:tcPr>
          <w:p w14:paraId="6B6C10D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0.37</w:t>
            </w:r>
          </w:p>
        </w:tc>
      </w:tr>
      <w:tr w14:paraId="04FE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75FD417F">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48CFAD3E">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废陶瓷膜</w:t>
            </w:r>
          </w:p>
        </w:tc>
        <w:tc>
          <w:tcPr>
            <w:tcW w:w="1289" w:type="dxa"/>
            <w:tcBorders>
              <w:tl2br w:val="nil"/>
              <w:tr2bl w:val="nil"/>
            </w:tcBorders>
            <w:shd w:val="clear" w:color="auto" w:fill="auto"/>
            <w:vAlign w:val="center"/>
          </w:tcPr>
          <w:p w14:paraId="513C36DE">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278BB8C1">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7B70361D">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794B06E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0.1</w:t>
            </w:r>
          </w:p>
        </w:tc>
        <w:tc>
          <w:tcPr>
            <w:tcW w:w="1701" w:type="dxa"/>
            <w:tcBorders>
              <w:tl2br w:val="nil"/>
              <w:tr2bl w:val="nil"/>
            </w:tcBorders>
            <w:shd w:val="clear" w:color="auto" w:fill="auto"/>
            <w:vAlign w:val="center"/>
          </w:tcPr>
          <w:p w14:paraId="21464364">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1C756E7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0.1</w:t>
            </w:r>
          </w:p>
        </w:tc>
        <w:tc>
          <w:tcPr>
            <w:tcW w:w="1144" w:type="dxa"/>
            <w:tcBorders>
              <w:tl2br w:val="nil"/>
              <w:tr2bl w:val="nil"/>
            </w:tcBorders>
            <w:shd w:val="clear" w:color="auto" w:fill="auto"/>
            <w:vAlign w:val="center"/>
          </w:tcPr>
          <w:p w14:paraId="4DF3154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0.1</w:t>
            </w:r>
          </w:p>
        </w:tc>
      </w:tr>
      <w:tr w14:paraId="0B06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752C8B23">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470B9D3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废超滤、纳滤膜</w:t>
            </w:r>
          </w:p>
        </w:tc>
        <w:tc>
          <w:tcPr>
            <w:tcW w:w="1289" w:type="dxa"/>
            <w:tcBorders>
              <w:tl2br w:val="nil"/>
              <w:tr2bl w:val="nil"/>
            </w:tcBorders>
            <w:shd w:val="clear" w:color="auto" w:fill="auto"/>
            <w:vAlign w:val="center"/>
          </w:tcPr>
          <w:p w14:paraId="7E084B19">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1E3DFA34">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0BF936B9">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4CE864D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0.2</w:t>
            </w:r>
          </w:p>
        </w:tc>
        <w:tc>
          <w:tcPr>
            <w:tcW w:w="1701" w:type="dxa"/>
            <w:tcBorders>
              <w:tl2br w:val="nil"/>
              <w:tr2bl w:val="nil"/>
            </w:tcBorders>
            <w:shd w:val="clear" w:color="auto" w:fill="auto"/>
            <w:vAlign w:val="center"/>
          </w:tcPr>
          <w:p w14:paraId="11358FA0">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2EBE61E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0.2</w:t>
            </w:r>
          </w:p>
        </w:tc>
        <w:tc>
          <w:tcPr>
            <w:tcW w:w="1144" w:type="dxa"/>
            <w:tcBorders>
              <w:tl2br w:val="nil"/>
              <w:tr2bl w:val="nil"/>
            </w:tcBorders>
            <w:shd w:val="clear" w:color="auto" w:fill="auto"/>
            <w:vAlign w:val="center"/>
          </w:tcPr>
          <w:p w14:paraId="0B4A392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0.2</w:t>
            </w:r>
          </w:p>
        </w:tc>
      </w:tr>
      <w:tr w14:paraId="7E30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6F34110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5ED9D44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废活性炭</w:t>
            </w:r>
          </w:p>
        </w:tc>
        <w:tc>
          <w:tcPr>
            <w:tcW w:w="1289" w:type="dxa"/>
            <w:tcBorders>
              <w:tl2br w:val="nil"/>
              <w:tr2bl w:val="nil"/>
            </w:tcBorders>
            <w:shd w:val="clear" w:color="auto" w:fill="auto"/>
            <w:vAlign w:val="center"/>
          </w:tcPr>
          <w:p w14:paraId="1226FFE0">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3FFDD055">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4A682F86">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2D29648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3.9</w:t>
            </w:r>
          </w:p>
        </w:tc>
        <w:tc>
          <w:tcPr>
            <w:tcW w:w="1701" w:type="dxa"/>
            <w:tcBorders>
              <w:tl2br w:val="nil"/>
              <w:tr2bl w:val="nil"/>
            </w:tcBorders>
            <w:shd w:val="clear" w:color="auto" w:fill="auto"/>
            <w:vAlign w:val="center"/>
          </w:tcPr>
          <w:p w14:paraId="2B707FE8">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1A90DF8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3.9</w:t>
            </w:r>
          </w:p>
        </w:tc>
        <w:tc>
          <w:tcPr>
            <w:tcW w:w="1144" w:type="dxa"/>
            <w:tcBorders>
              <w:tl2br w:val="nil"/>
              <w:tr2bl w:val="nil"/>
            </w:tcBorders>
            <w:shd w:val="clear" w:color="auto" w:fill="auto"/>
            <w:vAlign w:val="center"/>
          </w:tcPr>
          <w:p w14:paraId="0D63A53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3.9</w:t>
            </w:r>
          </w:p>
        </w:tc>
      </w:tr>
      <w:tr w14:paraId="772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7C76BFAE">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3A65929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蒸发残渣</w:t>
            </w:r>
          </w:p>
        </w:tc>
        <w:tc>
          <w:tcPr>
            <w:tcW w:w="1289" w:type="dxa"/>
            <w:tcBorders>
              <w:tl2br w:val="nil"/>
              <w:tr2bl w:val="nil"/>
            </w:tcBorders>
            <w:shd w:val="clear" w:color="auto" w:fill="auto"/>
            <w:vAlign w:val="center"/>
          </w:tcPr>
          <w:p w14:paraId="7F29A6E9">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0F077CA0">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19AB28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449BABA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4.9</w:t>
            </w:r>
          </w:p>
        </w:tc>
        <w:tc>
          <w:tcPr>
            <w:tcW w:w="1701" w:type="dxa"/>
            <w:tcBorders>
              <w:tl2br w:val="nil"/>
              <w:tr2bl w:val="nil"/>
            </w:tcBorders>
            <w:shd w:val="clear" w:color="auto" w:fill="auto"/>
            <w:vAlign w:val="center"/>
          </w:tcPr>
          <w:p w14:paraId="47AE8271">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501B356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4.9</w:t>
            </w:r>
          </w:p>
        </w:tc>
        <w:tc>
          <w:tcPr>
            <w:tcW w:w="1144" w:type="dxa"/>
            <w:tcBorders>
              <w:tl2br w:val="nil"/>
              <w:tr2bl w:val="nil"/>
            </w:tcBorders>
            <w:shd w:val="clear" w:color="auto" w:fill="auto"/>
            <w:vAlign w:val="center"/>
          </w:tcPr>
          <w:p w14:paraId="0A6C71B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4.9</w:t>
            </w:r>
          </w:p>
        </w:tc>
      </w:tr>
      <w:tr w14:paraId="1077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03146F17">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25830F0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污泥</w:t>
            </w:r>
          </w:p>
        </w:tc>
        <w:tc>
          <w:tcPr>
            <w:tcW w:w="1289" w:type="dxa"/>
            <w:tcBorders>
              <w:tl2br w:val="nil"/>
              <w:tr2bl w:val="nil"/>
            </w:tcBorders>
            <w:shd w:val="clear" w:color="auto" w:fill="auto"/>
            <w:vAlign w:val="center"/>
          </w:tcPr>
          <w:p w14:paraId="379F6840">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6468D182">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00A7E87E">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358E93D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3</w:t>
            </w:r>
          </w:p>
        </w:tc>
        <w:tc>
          <w:tcPr>
            <w:tcW w:w="1701" w:type="dxa"/>
            <w:tcBorders>
              <w:tl2br w:val="nil"/>
              <w:tr2bl w:val="nil"/>
            </w:tcBorders>
            <w:shd w:val="clear" w:color="auto" w:fill="auto"/>
            <w:vAlign w:val="center"/>
          </w:tcPr>
          <w:p w14:paraId="2C05B865">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5BDBA1D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3</w:t>
            </w:r>
          </w:p>
        </w:tc>
        <w:tc>
          <w:tcPr>
            <w:tcW w:w="1144" w:type="dxa"/>
            <w:tcBorders>
              <w:tl2br w:val="nil"/>
              <w:tr2bl w:val="nil"/>
            </w:tcBorders>
            <w:shd w:val="clear" w:color="auto" w:fill="auto"/>
            <w:vAlign w:val="center"/>
          </w:tcPr>
          <w:p w14:paraId="56F4B45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3</w:t>
            </w:r>
          </w:p>
        </w:tc>
      </w:tr>
      <w:tr w14:paraId="577D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213FB7F4">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4C50712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质检区废物</w:t>
            </w:r>
          </w:p>
        </w:tc>
        <w:tc>
          <w:tcPr>
            <w:tcW w:w="1289" w:type="dxa"/>
            <w:tcBorders>
              <w:tl2br w:val="nil"/>
              <w:tr2bl w:val="nil"/>
            </w:tcBorders>
            <w:shd w:val="clear" w:color="auto" w:fill="auto"/>
            <w:vAlign w:val="center"/>
          </w:tcPr>
          <w:p w14:paraId="0E5AC86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202FE45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56282FC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3D52618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0.5</w:t>
            </w:r>
          </w:p>
        </w:tc>
        <w:tc>
          <w:tcPr>
            <w:tcW w:w="1701" w:type="dxa"/>
            <w:tcBorders>
              <w:tl2br w:val="nil"/>
              <w:tr2bl w:val="nil"/>
            </w:tcBorders>
            <w:shd w:val="clear" w:color="auto" w:fill="auto"/>
            <w:vAlign w:val="center"/>
          </w:tcPr>
          <w:p w14:paraId="0F0FB458">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5517A22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0.5</w:t>
            </w:r>
          </w:p>
        </w:tc>
        <w:tc>
          <w:tcPr>
            <w:tcW w:w="1144" w:type="dxa"/>
            <w:tcBorders>
              <w:tl2br w:val="nil"/>
              <w:tr2bl w:val="nil"/>
            </w:tcBorders>
            <w:shd w:val="clear" w:color="auto" w:fill="auto"/>
            <w:vAlign w:val="center"/>
          </w:tcPr>
          <w:p w14:paraId="66D717F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0.5</w:t>
            </w:r>
          </w:p>
        </w:tc>
      </w:tr>
      <w:tr w14:paraId="15E5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0388B016">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3ADFB1F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未沾染危险废物的废包装材料</w:t>
            </w:r>
          </w:p>
        </w:tc>
        <w:tc>
          <w:tcPr>
            <w:tcW w:w="1289" w:type="dxa"/>
            <w:tcBorders>
              <w:tl2br w:val="nil"/>
              <w:tr2bl w:val="nil"/>
            </w:tcBorders>
            <w:shd w:val="clear" w:color="auto" w:fill="auto"/>
            <w:vAlign w:val="center"/>
          </w:tcPr>
          <w:p w14:paraId="3D07944D">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4BF5A25E">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F4C784A">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4F2BB28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0.53</w:t>
            </w:r>
          </w:p>
        </w:tc>
        <w:tc>
          <w:tcPr>
            <w:tcW w:w="1701" w:type="dxa"/>
            <w:tcBorders>
              <w:tl2br w:val="nil"/>
              <w:tr2bl w:val="nil"/>
            </w:tcBorders>
            <w:shd w:val="clear" w:color="auto" w:fill="auto"/>
            <w:vAlign w:val="center"/>
          </w:tcPr>
          <w:p w14:paraId="776E1145">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6102CDC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0.53</w:t>
            </w:r>
          </w:p>
        </w:tc>
        <w:tc>
          <w:tcPr>
            <w:tcW w:w="1144" w:type="dxa"/>
            <w:tcBorders>
              <w:tl2br w:val="nil"/>
              <w:tr2bl w:val="nil"/>
            </w:tcBorders>
            <w:shd w:val="clear" w:color="auto" w:fill="auto"/>
            <w:vAlign w:val="center"/>
          </w:tcPr>
          <w:p w14:paraId="69D0749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+0.53</w:t>
            </w:r>
          </w:p>
        </w:tc>
      </w:tr>
      <w:tr w14:paraId="2646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290F78F4">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44A434C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浓缩菌液</w:t>
            </w:r>
          </w:p>
        </w:tc>
        <w:tc>
          <w:tcPr>
            <w:tcW w:w="1289" w:type="dxa"/>
            <w:tcBorders>
              <w:tl2br w:val="nil"/>
              <w:tr2bl w:val="nil"/>
            </w:tcBorders>
            <w:shd w:val="clear" w:color="auto" w:fill="auto"/>
            <w:vAlign w:val="center"/>
          </w:tcPr>
          <w:p w14:paraId="45EC4570">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72D68D53">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378A9F90">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75A6B5E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10.872</w:t>
            </w:r>
          </w:p>
        </w:tc>
        <w:tc>
          <w:tcPr>
            <w:tcW w:w="1701" w:type="dxa"/>
            <w:tcBorders>
              <w:tl2br w:val="nil"/>
              <w:tr2bl w:val="nil"/>
            </w:tcBorders>
            <w:shd w:val="clear" w:color="auto" w:fill="auto"/>
            <w:vAlign w:val="center"/>
          </w:tcPr>
          <w:p w14:paraId="695B5899">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0E5D34A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10.872</w:t>
            </w:r>
          </w:p>
        </w:tc>
        <w:tc>
          <w:tcPr>
            <w:tcW w:w="1144" w:type="dxa"/>
            <w:tcBorders>
              <w:tl2br w:val="nil"/>
              <w:tr2bl w:val="nil"/>
            </w:tcBorders>
            <w:shd w:val="clear" w:color="auto" w:fill="auto"/>
            <w:vAlign w:val="center"/>
          </w:tcPr>
          <w:p w14:paraId="714790A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+10.872</w:t>
            </w:r>
          </w:p>
        </w:tc>
      </w:tr>
      <w:tr w14:paraId="1B3F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7F97E6F6">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42990ACE">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废活性炭</w:t>
            </w:r>
          </w:p>
        </w:tc>
        <w:tc>
          <w:tcPr>
            <w:tcW w:w="1289" w:type="dxa"/>
            <w:tcBorders>
              <w:tl2br w:val="nil"/>
              <w:tr2bl w:val="nil"/>
            </w:tcBorders>
            <w:shd w:val="clear" w:color="auto" w:fill="auto"/>
            <w:vAlign w:val="center"/>
          </w:tcPr>
          <w:p w14:paraId="785BFDBE">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0485D58E">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33605D2E">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6FF2F01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0.8</w:t>
            </w:r>
          </w:p>
        </w:tc>
        <w:tc>
          <w:tcPr>
            <w:tcW w:w="1701" w:type="dxa"/>
            <w:tcBorders>
              <w:tl2br w:val="nil"/>
              <w:tr2bl w:val="nil"/>
            </w:tcBorders>
            <w:shd w:val="clear" w:color="auto" w:fill="auto"/>
            <w:vAlign w:val="center"/>
          </w:tcPr>
          <w:p w14:paraId="225BCBA9">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7E1BC1C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0.8</w:t>
            </w:r>
          </w:p>
        </w:tc>
        <w:tc>
          <w:tcPr>
            <w:tcW w:w="1144" w:type="dxa"/>
            <w:tcBorders>
              <w:tl2br w:val="nil"/>
              <w:tr2bl w:val="nil"/>
            </w:tcBorders>
            <w:shd w:val="clear" w:color="auto" w:fill="auto"/>
            <w:vAlign w:val="center"/>
          </w:tcPr>
          <w:p w14:paraId="7498695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0.8</w:t>
            </w:r>
          </w:p>
        </w:tc>
      </w:tr>
      <w:tr w14:paraId="640C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66439069">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190931F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滤膜</w:t>
            </w:r>
          </w:p>
        </w:tc>
        <w:tc>
          <w:tcPr>
            <w:tcW w:w="1289" w:type="dxa"/>
            <w:tcBorders>
              <w:tl2br w:val="nil"/>
              <w:tr2bl w:val="nil"/>
            </w:tcBorders>
            <w:shd w:val="clear" w:color="auto" w:fill="auto"/>
            <w:vAlign w:val="center"/>
          </w:tcPr>
          <w:p w14:paraId="13BD504B">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24AE53F7">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47732EC6">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163FCFD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0.6</w:t>
            </w:r>
          </w:p>
        </w:tc>
        <w:tc>
          <w:tcPr>
            <w:tcW w:w="1701" w:type="dxa"/>
            <w:tcBorders>
              <w:tl2br w:val="nil"/>
              <w:tr2bl w:val="nil"/>
            </w:tcBorders>
            <w:shd w:val="clear" w:color="auto" w:fill="auto"/>
            <w:vAlign w:val="center"/>
          </w:tcPr>
          <w:p w14:paraId="36C31562">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0FEBCDB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0.6</w:t>
            </w:r>
          </w:p>
        </w:tc>
        <w:tc>
          <w:tcPr>
            <w:tcW w:w="1144" w:type="dxa"/>
            <w:tcBorders>
              <w:tl2br w:val="nil"/>
              <w:tr2bl w:val="nil"/>
            </w:tcBorders>
            <w:shd w:val="clear" w:color="auto" w:fill="auto"/>
            <w:vAlign w:val="center"/>
          </w:tcPr>
          <w:p w14:paraId="25EC266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0.6</w:t>
            </w:r>
          </w:p>
        </w:tc>
      </w:tr>
      <w:tr w14:paraId="3924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49F6F65B">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52EDC52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废滤芯</w:t>
            </w:r>
          </w:p>
        </w:tc>
        <w:tc>
          <w:tcPr>
            <w:tcW w:w="1289" w:type="dxa"/>
            <w:tcBorders>
              <w:tl2br w:val="nil"/>
              <w:tr2bl w:val="nil"/>
            </w:tcBorders>
            <w:shd w:val="clear" w:color="auto" w:fill="auto"/>
            <w:vAlign w:val="center"/>
          </w:tcPr>
          <w:p w14:paraId="5B1AD4A3">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2765978D">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75D1067A">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2527CC0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0.5</w:t>
            </w:r>
          </w:p>
        </w:tc>
        <w:tc>
          <w:tcPr>
            <w:tcW w:w="1701" w:type="dxa"/>
            <w:tcBorders>
              <w:tl2br w:val="nil"/>
              <w:tr2bl w:val="nil"/>
            </w:tcBorders>
            <w:shd w:val="clear" w:color="auto" w:fill="auto"/>
            <w:vAlign w:val="center"/>
          </w:tcPr>
          <w:p w14:paraId="3657D56D">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097C6C6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0.5</w:t>
            </w:r>
          </w:p>
        </w:tc>
        <w:tc>
          <w:tcPr>
            <w:tcW w:w="1144" w:type="dxa"/>
            <w:tcBorders>
              <w:tl2br w:val="nil"/>
              <w:tr2bl w:val="nil"/>
            </w:tcBorders>
            <w:shd w:val="clear" w:color="auto" w:fill="auto"/>
            <w:vAlign w:val="center"/>
          </w:tcPr>
          <w:p w14:paraId="0E2267B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0.5</w:t>
            </w:r>
          </w:p>
        </w:tc>
      </w:tr>
      <w:tr w14:paraId="6E4C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66FF859D">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5848BFD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废离子交换树脂</w:t>
            </w:r>
          </w:p>
        </w:tc>
        <w:tc>
          <w:tcPr>
            <w:tcW w:w="1289" w:type="dxa"/>
            <w:tcBorders>
              <w:tl2br w:val="nil"/>
              <w:tr2bl w:val="nil"/>
            </w:tcBorders>
            <w:shd w:val="clear" w:color="auto" w:fill="auto"/>
            <w:vAlign w:val="center"/>
          </w:tcPr>
          <w:p w14:paraId="501164B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12AB8AF4">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1C186AC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03C2B9D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0.8</w:t>
            </w:r>
          </w:p>
        </w:tc>
        <w:tc>
          <w:tcPr>
            <w:tcW w:w="1701" w:type="dxa"/>
            <w:tcBorders>
              <w:tl2br w:val="nil"/>
              <w:tr2bl w:val="nil"/>
            </w:tcBorders>
            <w:shd w:val="clear" w:color="auto" w:fill="auto"/>
            <w:vAlign w:val="center"/>
          </w:tcPr>
          <w:p w14:paraId="70020682">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2E4BABB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0.8</w:t>
            </w:r>
          </w:p>
        </w:tc>
        <w:tc>
          <w:tcPr>
            <w:tcW w:w="1144" w:type="dxa"/>
            <w:tcBorders>
              <w:tl2br w:val="nil"/>
              <w:tr2bl w:val="nil"/>
            </w:tcBorders>
            <w:shd w:val="clear" w:color="auto" w:fill="auto"/>
            <w:vAlign w:val="center"/>
          </w:tcPr>
          <w:p w14:paraId="0244A15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0.8</w:t>
            </w:r>
          </w:p>
        </w:tc>
      </w:tr>
      <w:tr w14:paraId="7103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6A0F7EAF">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0123BCB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废胶囊</w:t>
            </w:r>
          </w:p>
        </w:tc>
        <w:tc>
          <w:tcPr>
            <w:tcW w:w="1289" w:type="dxa"/>
            <w:tcBorders>
              <w:tl2br w:val="nil"/>
              <w:tr2bl w:val="nil"/>
            </w:tcBorders>
            <w:shd w:val="clear" w:color="auto" w:fill="auto"/>
            <w:vAlign w:val="center"/>
          </w:tcPr>
          <w:p w14:paraId="011EBF0B">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4ED56DEB">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03FAE08B">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29BD7F3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0.039</w:t>
            </w:r>
          </w:p>
        </w:tc>
        <w:tc>
          <w:tcPr>
            <w:tcW w:w="1701" w:type="dxa"/>
            <w:tcBorders>
              <w:tl2br w:val="nil"/>
              <w:tr2bl w:val="nil"/>
            </w:tcBorders>
            <w:shd w:val="clear" w:color="auto" w:fill="auto"/>
            <w:vAlign w:val="center"/>
          </w:tcPr>
          <w:p w14:paraId="707D12E9">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4C2CE0F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0.039</w:t>
            </w:r>
          </w:p>
        </w:tc>
        <w:tc>
          <w:tcPr>
            <w:tcW w:w="1144" w:type="dxa"/>
            <w:tcBorders>
              <w:tl2br w:val="nil"/>
              <w:tr2bl w:val="nil"/>
            </w:tcBorders>
            <w:shd w:val="clear" w:color="auto" w:fill="auto"/>
            <w:vAlign w:val="center"/>
          </w:tcPr>
          <w:p w14:paraId="34F859FE">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0.039</w:t>
            </w:r>
          </w:p>
        </w:tc>
      </w:tr>
      <w:tr w14:paraId="390C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46" w:type="dxa"/>
            <w:gridSpan w:val="2"/>
            <w:vMerge w:val="continue"/>
            <w:tcBorders>
              <w:tl2br w:val="nil"/>
              <w:tr2bl w:val="nil"/>
            </w:tcBorders>
            <w:vAlign w:val="center"/>
          </w:tcPr>
          <w:p w14:paraId="033CAA81">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0193BC0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eastAsia="zh-CN"/>
              </w:rPr>
              <w:t>离心废渣</w:t>
            </w:r>
          </w:p>
        </w:tc>
        <w:tc>
          <w:tcPr>
            <w:tcW w:w="1289" w:type="dxa"/>
            <w:tcBorders>
              <w:tl2br w:val="nil"/>
              <w:tr2bl w:val="nil"/>
            </w:tcBorders>
            <w:shd w:val="clear" w:color="auto" w:fill="auto"/>
            <w:vAlign w:val="center"/>
          </w:tcPr>
          <w:p w14:paraId="35A20F43">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506B0CD8">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6C30E026">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4E4F79E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0.36</w:t>
            </w:r>
          </w:p>
        </w:tc>
        <w:tc>
          <w:tcPr>
            <w:tcW w:w="1701" w:type="dxa"/>
            <w:tcBorders>
              <w:tl2br w:val="nil"/>
              <w:tr2bl w:val="nil"/>
            </w:tcBorders>
            <w:shd w:val="clear" w:color="auto" w:fill="auto"/>
            <w:vAlign w:val="center"/>
          </w:tcPr>
          <w:p w14:paraId="6F967627">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05BB5C5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0.36</w:t>
            </w:r>
          </w:p>
        </w:tc>
        <w:tc>
          <w:tcPr>
            <w:tcW w:w="1144" w:type="dxa"/>
            <w:tcBorders>
              <w:tl2br w:val="nil"/>
              <w:tr2bl w:val="nil"/>
            </w:tcBorders>
            <w:shd w:val="clear" w:color="auto" w:fill="auto"/>
            <w:vAlign w:val="center"/>
          </w:tcPr>
          <w:p w14:paraId="119D619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+0.36</w:t>
            </w:r>
          </w:p>
        </w:tc>
      </w:tr>
      <w:tr w14:paraId="3AFF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446" w:type="dxa"/>
            <w:gridSpan w:val="2"/>
            <w:vMerge w:val="continue"/>
            <w:tcBorders>
              <w:tl2br w:val="nil"/>
              <w:tr2bl w:val="nil"/>
            </w:tcBorders>
            <w:vAlign w:val="center"/>
          </w:tcPr>
          <w:p w14:paraId="1170A8AE">
            <w:pPr>
              <w:pStyle w:val="155"/>
              <w:keepNext w:val="0"/>
              <w:keepLines w:val="0"/>
              <w:suppressLineNumbers w:val="0"/>
              <w:spacing w:before="0" w:beforeLines="0" w:beforeAutospacing="0" w:after="0" w:afterLines="0" w:afterAutospacing="0" w:line="240" w:lineRule="auto"/>
              <w:ind w:left="0" w:right="0"/>
              <w:rPr>
                <w:rFonts w:hint="default" w:ascii="Times New Roman" w:eastAsia="仿宋_GB2312"/>
                <w:snapToGrid w:val="0"/>
                <w:color w:val="auto"/>
                <w:kern w:val="21"/>
                <w:szCs w:val="21"/>
              </w:rPr>
            </w:pPr>
          </w:p>
        </w:tc>
        <w:tc>
          <w:tcPr>
            <w:tcW w:w="1791" w:type="dxa"/>
            <w:tcBorders>
              <w:tl2br w:val="nil"/>
              <w:tr2bl w:val="nil"/>
            </w:tcBorders>
            <w:shd w:val="clear" w:color="auto" w:fill="auto"/>
            <w:vAlign w:val="center"/>
          </w:tcPr>
          <w:p w14:paraId="029D152E">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生活垃圾</w:t>
            </w:r>
          </w:p>
        </w:tc>
        <w:tc>
          <w:tcPr>
            <w:tcW w:w="1289" w:type="dxa"/>
            <w:tcBorders>
              <w:tl2br w:val="nil"/>
              <w:tr2bl w:val="nil"/>
            </w:tcBorders>
            <w:shd w:val="clear" w:color="auto" w:fill="auto"/>
            <w:vAlign w:val="center"/>
          </w:tcPr>
          <w:p w14:paraId="007BAF48">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418" w:type="dxa"/>
            <w:tcBorders>
              <w:tl2br w:val="nil"/>
              <w:tr2bl w:val="nil"/>
            </w:tcBorders>
            <w:shd w:val="clear" w:color="auto" w:fill="auto"/>
            <w:vAlign w:val="center"/>
          </w:tcPr>
          <w:p w14:paraId="2D1DB50C">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59" w:type="dxa"/>
            <w:tcBorders>
              <w:tl2br w:val="nil"/>
              <w:tr2bl w:val="nil"/>
            </w:tcBorders>
            <w:shd w:val="clear" w:color="auto" w:fill="auto"/>
            <w:vAlign w:val="center"/>
          </w:tcPr>
          <w:p w14:paraId="27DCB239">
            <w:pPr>
              <w:pStyle w:val="155"/>
              <w:keepNext w:val="0"/>
              <w:keepLines w:val="0"/>
              <w:suppressLineNumbers w:val="0"/>
              <w:spacing w:before="0" w:beforeLines="0" w:beforeAutospacing="0" w:after="0" w:afterLines="0" w:afterAutospacing="0" w:line="240" w:lineRule="auto"/>
              <w:ind w:left="0" w:leftChars="0" w:right="0" w:rightChars="0"/>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597" w:type="dxa"/>
            <w:tcBorders>
              <w:tl2br w:val="nil"/>
              <w:tr2bl w:val="nil"/>
            </w:tcBorders>
            <w:shd w:val="clear" w:color="auto" w:fill="auto"/>
            <w:vAlign w:val="center"/>
          </w:tcPr>
          <w:p w14:paraId="0AA04FA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4.8</w:t>
            </w:r>
          </w:p>
        </w:tc>
        <w:tc>
          <w:tcPr>
            <w:tcW w:w="1701" w:type="dxa"/>
            <w:tcBorders>
              <w:tl2br w:val="nil"/>
              <w:tr2bl w:val="nil"/>
            </w:tcBorders>
            <w:shd w:val="clear" w:color="auto" w:fill="auto"/>
            <w:vAlign w:val="center"/>
          </w:tcPr>
          <w:p w14:paraId="702DCA2C">
            <w:pPr>
              <w:keepNext w:val="0"/>
              <w:keepLines w:val="0"/>
              <w:suppressLineNumbers w:val="0"/>
              <w:spacing w:before="0" w:beforeLines="0" w:beforeAutospacing="0" w:after="0" w:afterLines="0" w:afterAutospacing="0" w:line="240" w:lineRule="auto"/>
              <w:ind w:left="0" w:right="0"/>
              <w:jc w:val="center"/>
              <w:rPr>
                <w:rFonts w:hint="default" w:ascii="Times New Roman" w:eastAsia="仿宋_GB2312"/>
                <w:snapToGrid w:val="0"/>
                <w:color w:val="auto"/>
                <w:kern w:val="21"/>
                <w:szCs w:val="21"/>
              </w:rPr>
            </w:pPr>
            <w:r>
              <w:rPr>
                <w:rFonts w:hint="default" w:ascii="Times New Roman" w:eastAsia="仿宋_GB2312"/>
                <w:snapToGrid w:val="0"/>
                <w:color w:val="auto"/>
                <w:kern w:val="21"/>
                <w:szCs w:val="21"/>
              </w:rPr>
              <w:t>/</w:t>
            </w:r>
          </w:p>
        </w:tc>
        <w:tc>
          <w:tcPr>
            <w:tcW w:w="1843" w:type="dxa"/>
            <w:tcBorders>
              <w:tl2br w:val="nil"/>
              <w:tr2bl w:val="nil"/>
            </w:tcBorders>
            <w:shd w:val="clear" w:color="auto" w:fill="auto"/>
            <w:vAlign w:val="center"/>
          </w:tcPr>
          <w:p w14:paraId="54688A6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default" w:ascii="Times New Roman" w:hAnsi="Times New Roman" w:eastAsia="仿宋_GB2312" w:cs="Times New Roman"/>
                <w:color w:val="auto"/>
                <w:kern w:val="0"/>
                <w:sz w:val="21"/>
              </w:rPr>
              <w:t>4.8</w:t>
            </w:r>
          </w:p>
        </w:tc>
        <w:tc>
          <w:tcPr>
            <w:tcW w:w="1144" w:type="dxa"/>
            <w:tcBorders>
              <w:tl2br w:val="nil"/>
              <w:tr2bl w:val="nil"/>
            </w:tcBorders>
            <w:shd w:val="clear" w:color="auto" w:fill="auto"/>
            <w:vAlign w:val="center"/>
          </w:tcPr>
          <w:p w14:paraId="28CB819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_GB2312" w:cs="Times New Roman"/>
                <w:color w:val="auto"/>
                <w:kern w:val="0"/>
                <w:sz w:val="21"/>
                <w:szCs w:val="24"/>
                <w:lang w:val="en-US" w:eastAsia="zh-CN" w:bidi="ar-SA"/>
              </w:rPr>
            </w:pPr>
            <w:r>
              <w:rPr>
                <w:rFonts w:hint="eastAsia" w:eastAsia="仿宋_GB2312" w:cs="Times New Roman"/>
                <w:color w:val="auto"/>
                <w:kern w:val="0"/>
                <w:sz w:val="21"/>
                <w:lang w:val="en-US" w:eastAsia="zh-CN"/>
              </w:rPr>
              <w:t>+</w:t>
            </w:r>
            <w:r>
              <w:rPr>
                <w:rFonts w:hint="default" w:ascii="Times New Roman" w:hAnsi="Times New Roman" w:eastAsia="仿宋_GB2312" w:cs="Times New Roman"/>
                <w:color w:val="auto"/>
                <w:kern w:val="0"/>
                <w:sz w:val="21"/>
              </w:rPr>
              <w:t>4.8</w:t>
            </w:r>
          </w:p>
        </w:tc>
      </w:tr>
    </w:tbl>
    <w:p w14:paraId="28713B62">
      <w:pPr>
        <w:pStyle w:val="155"/>
        <w:spacing w:before="192" w:beforeLines="80" w:after="24" w:line="240" w:lineRule="auto"/>
        <w:jc w:val="left"/>
        <w:rPr>
          <w:rFonts w:ascii="Times New Roman" w:eastAsia="仿宋_GB2312"/>
          <w:snapToGrid w:val="0"/>
          <w:color w:val="auto"/>
          <w:spacing w:val="-6"/>
          <w:kern w:val="21"/>
          <w:szCs w:val="21"/>
        </w:rPr>
      </w:pPr>
      <w:r>
        <w:rPr>
          <w:rFonts w:ascii="Times New Roman" w:eastAsia="仿宋_GB2312"/>
          <w:snapToGrid w:val="0"/>
          <w:color w:val="auto"/>
          <w:kern w:val="21"/>
          <w:szCs w:val="21"/>
        </w:rPr>
        <w:t>注：</w:t>
      </w:r>
      <w:r>
        <w:rPr>
          <w:rFonts w:ascii="Times New Roman" w:eastAsia="仿宋_GB2312"/>
          <w:snapToGrid w:val="0"/>
          <w:color w:val="auto"/>
          <w:spacing w:val="-16"/>
          <w:kern w:val="21"/>
          <w:szCs w:val="21"/>
        </w:rPr>
        <w:fldChar w:fldCharType="begin"/>
      </w:r>
      <w:r>
        <w:rPr>
          <w:rFonts w:ascii="Times New Roman" w:eastAsia="仿宋_GB2312"/>
          <w:snapToGrid w:val="0"/>
          <w:color w:val="auto"/>
          <w:spacing w:val="-16"/>
          <w:kern w:val="21"/>
          <w:szCs w:val="21"/>
        </w:rPr>
        <w:instrText xml:space="preserve"> = 6 \* GB3 \* MERGEFORMAT </w:instrText>
      </w:r>
      <w:r>
        <w:rPr>
          <w:rFonts w:ascii="Times New Roman" w:eastAsia="仿宋_GB2312"/>
          <w:snapToGrid w:val="0"/>
          <w:color w:val="auto"/>
          <w:spacing w:val="-16"/>
          <w:kern w:val="21"/>
          <w:szCs w:val="21"/>
        </w:rPr>
        <w:fldChar w:fldCharType="separate"/>
      </w:r>
      <w:r>
        <w:rPr>
          <w:rFonts w:ascii="Times New Roman"/>
          <w:color w:val="auto"/>
          <w:szCs w:val="21"/>
        </w:rPr>
        <w:t>⑥</w:t>
      </w:r>
      <w:r>
        <w:rPr>
          <w:rFonts w:ascii="Times New Roman" w:eastAsia="仿宋_GB2312"/>
          <w:snapToGrid w:val="0"/>
          <w:color w:val="auto"/>
          <w:spacing w:val="-16"/>
          <w:kern w:val="21"/>
          <w:szCs w:val="21"/>
        </w:rPr>
        <w:fldChar w:fldCharType="end"/>
      </w:r>
      <w:r>
        <w:rPr>
          <w:rFonts w:ascii="Times New Roman" w:eastAsia="仿宋_GB2312"/>
          <w:snapToGrid w:val="0"/>
          <w:color w:val="auto"/>
          <w:spacing w:val="-16"/>
          <w:kern w:val="21"/>
          <w:szCs w:val="21"/>
        </w:rPr>
        <w:t>=</w:t>
      </w:r>
      <w:r>
        <w:rPr>
          <w:rFonts w:ascii="Times New Roman" w:eastAsia="仿宋_GB2312"/>
          <w:snapToGrid w:val="0"/>
          <w:color w:val="auto"/>
          <w:spacing w:val="-6"/>
          <w:kern w:val="21"/>
          <w:szCs w:val="21"/>
        </w:rPr>
        <w:fldChar w:fldCharType="begin"/>
      </w:r>
      <w:r>
        <w:rPr>
          <w:rFonts w:ascii="Times New Roman" w:eastAsia="仿宋_GB2312"/>
          <w:snapToGrid w:val="0"/>
          <w:color w:val="auto"/>
          <w:spacing w:val="-6"/>
          <w:kern w:val="21"/>
          <w:szCs w:val="21"/>
        </w:rPr>
        <w:instrText xml:space="preserve"> = 1 \* GB3 \* MERGEFORMAT </w:instrText>
      </w:r>
      <w:r>
        <w:rPr>
          <w:rFonts w:ascii="Times New Roman" w:eastAsia="仿宋_GB2312"/>
          <w:snapToGrid w:val="0"/>
          <w:color w:val="auto"/>
          <w:spacing w:val="-6"/>
          <w:kern w:val="21"/>
          <w:szCs w:val="21"/>
        </w:rPr>
        <w:fldChar w:fldCharType="separate"/>
      </w:r>
      <w:r>
        <w:rPr>
          <w:rFonts w:ascii="Times New Roman"/>
          <w:color w:val="auto"/>
          <w:szCs w:val="21"/>
        </w:rPr>
        <w:t>①</w:t>
      </w:r>
      <w:r>
        <w:rPr>
          <w:rFonts w:ascii="Times New Roman" w:eastAsia="仿宋_GB2312"/>
          <w:snapToGrid w:val="0"/>
          <w:color w:val="auto"/>
          <w:spacing w:val="-6"/>
          <w:kern w:val="21"/>
          <w:szCs w:val="21"/>
        </w:rPr>
        <w:fldChar w:fldCharType="end"/>
      </w:r>
      <w:r>
        <w:rPr>
          <w:rFonts w:ascii="Times New Roman" w:eastAsia="仿宋_GB2312"/>
          <w:snapToGrid w:val="0"/>
          <w:color w:val="auto"/>
          <w:spacing w:val="-6"/>
          <w:kern w:val="21"/>
          <w:szCs w:val="21"/>
        </w:rPr>
        <w:t>+</w:t>
      </w:r>
      <w:r>
        <w:rPr>
          <w:rFonts w:ascii="Times New Roman" w:eastAsia="仿宋_GB2312"/>
          <w:snapToGrid w:val="0"/>
          <w:color w:val="auto"/>
          <w:spacing w:val="-6"/>
          <w:kern w:val="21"/>
          <w:szCs w:val="21"/>
        </w:rPr>
        <w:fldChar w:fldCharType="begin"/>
      </w:r>
      <w:r>
        <w:rPr>
          <w:rFonts w:ascii="Times New Roman" w:eastAsia="仿宋_GB2312"/>
          <w:snapToGrid w:val="0"/>
          <w:color w:val="auto"/>
          <w:spacing w:val="-6"/>
          <w:kern w:val="21"/>
          <w:szCs w:val="21"/>
        </w:rPr>
        <w:instrText xml:space="preserve"> = 3 \* GB3 \* MERGEFORMAT </w:instrText>
      </w:r>
      <w:r>
        <w:rPr>
          <w:rFonts w:ascii="Times New Roman" w:eastAsia="仿宋_GB2312"/>
          <w:snapToGrid w:val="0"/>
          <w:color w:val="auto"/>
          <w:spacing w:val="-6"/>
          <w:kern w:val="21"/>
          <w:szCs w:val="21"/>
        </w:rPr>
        <w:fldChar w:fldCharType="separate"/>
      </w:r>
      <w:r>
        <w:rPr>
          <w:rFonts w:ascii="Times New Roman"/>
          <w:color w:val="auto"/>
          <w:szCs w:val="21"/>
        </w:rPr>
        <w:t>③</w:t>
      </w:r>
      <w:r>
        <w:rPr>
          <w:rFonts w:ascii="Times New Roman" w:eastAsia="仿宋_GB2312"/>
          <w:snapToGrid w:val="0"/>
          <w:color w:val="auto"/>
          <w:spacing w:val="-6"/>
          <w:kern w:val="21"/>
          <w:szCs w:val="21"/>
        </w:rPr>
        <w:fldChar w:fldCharType="end"/>
      </w:r>
      <w:r>
        <w:rPr>
          <w:rFonts w:ascii="Times New Roman" w:eastAsia="仿宋_GB2312"/>
          <w:snapToGrid w:val="0"/>
          <w:color w:val="auto"/>
          <w:spacing w:val="-6"/>
          <w:kern w:val="21"/>
          <w:szCs w:val="21"/>
        </w:rPr>
        <w:t>+</w:t>
      </w:r>
      <w:r>
        <w:rPr>
          <w:rFonts w:ascii="Times New Roman" w:eastAsia="仿宋_GB2312"/>
          <w:snapToGrid w:val="0"/>
          <w:color w:val="auto"/>
          <w:spacing w:val="-6"/>
          <w:kern w:val="21"/>
          <w:szCs w:val="21"/>
        </w:rPr>
        <w:fldChar w:fldCharType="begin"/>
      </w:r>
      <w:r>
        <w:rPr>
          <w:rFonts w:ascii="Times New Roman" w:eastAsia="仿宋_GB2312"/>
          <w:snapToGrid w:val="0"/>
          <w:color w:val="auto"/>
          <w:spacing w:val="-6"/>
          <w:kern w:val="21"/>
          <w:szCs w:val="21"/>
        </w:rPr>
        <w:instrText xml:space="preserve"> = 4 \* GB3 \* MERGEFORMAT </w:instrText>
      </w:r>
      <w:r>
        <w:rPr>
          <w:rFonts w:ascii="Times New Roman" w:eastAsia="仿宋_GB2312"/>
          <w:snapToGrid w:val="0"/>
          <w:color w:val="auto"/>
          <w:spacing w:val="-6"/>
          <w:kern w:val="21"/>
          <w:szCs w:val="21"/>
        </w:rPr>
        <w:fldChar w:fldCharType="separate"/>
      </w:r>
      <w:r>
        <w:rPr>
          <w:rFonts w:ascii="Times New Roman"/>
          <w:color w:val="auto"/>
          <w:szCs w:val="21"/>
        </w:rPr>
        <w:t>④</w:t>
      </w:r>
      <w:r>
        <w:rPr>
          <w:rFonts w:ascii="Times New Roman" w:eastAsia="仿宋_GB2312"/>
          <w:snapToGrid w:val="0"/>
          <w:color w:val="auto"/>
          <w:spacing w:val="-6"/>
          <w:kern w:val="21"/>
          <w:szCs w:val="21"/>
        </w:rPr>
        <w:fldChar w:fldCharType="end"/>
      </w:r>
      <w:r>
        <w:rPr>
          <w:rFonts w:ascii="Times New Roman" w:eastAsia="仿宋_GB2312"/>
          <w:snapToGrid w:val="0"/>
          <w:color w:val="auto"/>
          <w:spacing w:val="-6"/>
          <w:kern w:val="21"/>
          <w:szCs w:val="21"/>
        </w:rPr>
        <w:t>-</w:t>
      </w:r>
      <w:r>
        <w:rPr>
          <w:rFonts w:ascii="Times New Roman" w:eastAsia="仿宋_GB2312"/>
          <w:snapToGrid w:val="0"/>
          <w:color w:val="auto"/>
          <w:spacing w:val="-16"/>
          <w:kern w:val="21"/>
          <w:szCs w:val="21"/>
        </w:rPr>
        <w:fldChar w:fldCharType="begin"/>
      </w:r>
      <w:r>
        <w:rPr>
          <w:rFonts w:ascii="Times New Roman" w:eastAsia="仿宋_GB2312"/>
          <w:snapToGrid w:val="0"/>
          <w:color w:val="auto"/>
          <w:spacing w:val="-16"/>
          <w:kern w:val="21"/>
          <w:szCs w:val="21"/>
        </w:rPr>
        <w:instrText xml:space="preserve"> = 5 \* GB3 \* MERGEFORMAT </w:instrText>
      </w:r>
      <w:r>
        <w:rPr>
          <w:rFonts w:ascii="Times New Roman" w:eastAsia="仿宋_GB2312"/>
          <w:snapToGrid w:val="0"/>
          <w:color w:val="auto"/>
          <w:spacing w:val="-16"/>
          <w:kern w:val="21"/>
          <w:szCs w:val="21"/>
        </w:rPr>
        <w:fldChar w:fldCharType="separate"/>
      </w:r>
      <w:r>
        <w:rPr>
          <w:rFonts w:ascii="Times New Roman"/>
          <w:color w:val="auto"/>
          <w:szCs w:val="21"/>
        </w:rPr>
        <w:t>⑤</w:t>
      </w:r>
      <w:r>
        <w:rPr>
          <w:rFonts w:ascii="Times New Roman" w:eastAsia="仿宋_GB2312"/>
          <w:snapToGrid w:val="0"/>
          <w:color w:val="auto"/>
          <w:spacing w:val="-16"/>
          <w:kern w:val="21"/>
          <w:szCs w:val="21"/>
        </w:rPr>
        <w:fldChar w:fldCharType="end"/>
      </w:r>
      <w:r>
        <w:rPr>
          <w:rFonts w:ascii="Times New Roman" w:eastAsia="仿宋_GB2312"/>
          <w:snapToGrid w:val="0"/>
          <w:color w:val="auto"/>
          <w:spacing w:val="-16"/>
          <w:kern w:val="21"/>
          <w:szCs w:val="21"/>
        </w:rPr>
        <w:t>；</w:t>
      </w:r>
      <w:r>
        <w:rPr>
          <w:rFonts w:ascii="Times New Roman" w:eastAsia="仿宋_GB2312"/>
          <w:snapToGrid w:val="0"/>
          <w:color w:val="auto"/>
          <w:spacing w:val="-6"/>
          <w:kern w:val="21"/>
          <w:szCs w:val="21"/>
        </w:rPr>
        <w:fldChar w:fldCharType="begin"/>
      </w:r>
      <w:r>
        <w:rPr>
          <w:rFonts w:ascii="Times New Roman" w:eastAsia="仿宋_GB2312"/>
          <w:snapToGrid w:val="0"/>
          <w:color w:val="auto"/>
          <w:spacing w:val="-6"/>
          <w:kern w:val="21"/>
          <w:szCs w:val="21"/>
        </w:rPr>
        <w:instrText xml:space="preserve"> = 7 \* GB3 \* MERGEFORMAT </w:instrText>
      </w:r>
      <w:r>
        <w:rPr>
          <w:rFonts w:ascii="Times New Roman" w:eastAsia="仿宋_GB2312"/>
          <w:snapToGrid w:val="0"/>
          <w:color w:val="auto"/>
          <w:spacing w:val="-6"/>
          <w:kern w:val="21"/>
          <w:szCs w:val="21"/>
        </w:rPr>
        <w:fldChar w:fldCharType="separate"/>
      </w:r>
      <w:r>
        <w:rPr>
          <w:rFonts w:ascii="Times New Roman"/>
          <w:color w:val="auto"/>
          <w:szCs w:val="21"/>
        </w:rPr>
        <w:t>⑦</w:t>
      </w:r>
      <w:r>
        <w:rPr>
          <w:rFonts w:ascii="Times New Roman" w:eastAsia="仿宋_GB2312"/>
          <w:snapToGrid w:val="0"/>
          <w:color w:val="auto"/>
          <w:spacing w:val="-6"/>
          <w:kern w:val="21"/>
          <w:szCs w:val="21"/>
        </w:rPr>
        <w:fldChar w:fldCharType="end"/>
      </w:r>
      <w:r>
        <w:rPr>
          <w:rFonts w:ascii="Times New Roman" w:eastAsia="仿宋_GB2312"/>
          <w:snapToGrid w:val="0"/>
          <w:color w:val="auto"/>
          <w:spacing w:val="-6"/>
          <w:kern w:val="21"/>
          <w:szCs w:val="21"/>
        </w:rPr>
        <w:t>=</w:t>
      </w:r>
      <w:r>
        <w:rPr>
          <w:rFonts w:ascii="Times New Roman" w:eastAsia="仿宋_GB2312"/>
          <w:snapToGrid w:val="0"/>
          <w:color w:val="auto"/>
          <w:spacing w:val="-16"/>
          <w:kern w:val="21"/>
          <w:szCs w:val="21"/>
        </w:rPr>
        <w:fldChar w:fldCharType="begin"/>
      </w:r>
      <w:r>
        <w:rPr>
          <w:rFonts w:ascii="Times New Roman" w:eastAsia="仿宋_GB2312"/>
          <w:snapToGrid w:val="0"/>
          <w:color w:val="auto"/>
          <w:spacing w:val="-16"/>
          <w:kern w:val="21"/>
          <w:szCs w:val="21"/>
        </w:rPr>
        <w:instrText xml:space="preserve"> = 6 \* GB3 \* MERGEFORMAT </w:instrText>
      </w:r>
      <w:r>
        <w:rPr>
          <w:rFonts w:ascii="Times New Roman" w:eastAsia="仿宋_GB2312"/>
          <w:snapToGrid w:val="0"/>
          <w:color w:val="auto"/>
          <w:spacing w:val="-16"/>
          <w:kern w:val="21"/>
          <w:szCs w:val="21"/>
        </w:rPr>
        <w:fldChar w:fldCharType="separate"/>
      </w:r>
      <w:r>
        <w:rPr>
          <w:rFonts w:ascii="Times New Roman"/>
          <w:color w:val="auto"/>
          <w:szCs w:val="21"/>
        </w:rPr>
        <w:t>⑥</w:t>
      </w:r>
      <w:r>
        <w:rPr>
          <w:rFonts w:ascii="Times New Roman" w:eastAsia="仿宋_GB2312"/>
          <w:snapToGrid w:val="0"/>
          <w:color w:val="auto"/>
          <w:spacing w:val="-16"/>
          <w:kern w:val="21"/>
          <w:szCs w:val="21"/>
        </w:rPr>
        <w:fldChar w:fldCharType="end"/>
      </w:r>
      <w:r>
        <w:rPr>
          <w:rFonts w:ascii="Times New Roman" w:eastAsia="仿宋_GB2312"/>
          <w:snapToGrid w:val="0"/>
          <w:color w:val="auto"/>
          <w:spacing w:val="-16"/>
          <w:kern w:val="21"/>
          <w:szCs w:val="21"/>
        </w:rPr>
        <w:t>-</w:t>
      </w:r>
      <w:r>
        <w:rPr>
          <w:rFonts w:ascii="Times New Roman" w:eastAsia="仿宋_GB2312"/>
          <w:snapToGrid w:val="0"/>
          <w:color w:val="auto"/>
          <w:spacing w:val="-6"/>
          <w:kern w:val="21"/>
          <w:szCs w:val="21"/>
        </w:rPr>
        <w:fldChar w:fldCharType="begin"/>
      </w:r>
      <w:r>
        <w:rPr>
          <w:rFonts w:ascii="Times New Roman" w:eastAsia="仿宋_GB2312"/>
          <w:snapToGrid w:val="0"/>
          <w:color w:val="auto"/>
          <w:spacing w:val="-6"/>
          <w:kern w:val="21"/>
          <w:szCs w:val="21"/>
        </w:rPr>
        <w:instrText xml:space="preserve"> = 1 \* GB3 \* MERGEFORMAT </w:instrText>
      </w:r>
      <w:r>
        <w:rPr>
          <w:rFonts w:ascii="Times New Roman" w:eastAsia="仿宋_GB2312"/>
          <w:snapToGrid w:val="0"/>
          <w:color w:val="auto"/>
          <w:spacing w:val="-6"/>
          <w:kern w:val="21"/>
          <w:szCs w:val="21"/>
        </w:rPr>
        <w:fldChar w:fldCharType="separate"/>
      </w:r>
      <w:r>
        <w:rPr>
          <w:rFonts w:ascii="Times New Roman"/>
          <w:color w:val="auto"/>
          <w:szCs w:val="21"/>
        </w:rPr>
        <w:t>①</w:t>
      </w:r>
      <w:r>
        <w:rPr>
          <w:rFonts w:ascii="Times New Roman" w:eastAsia="仿宋_GB2312"/>
          <w:snapToGrid w:val="0"/>
          <w:color w:val="auto"/>
          <w:spacing w:val="-6"/>
          <w:kern w:val="21"/>
          <w:szCs w:val="21"/>
        </w:rPr>
        <w:fldChar w:fldCharType="end"/>
      </w:r>
    </w:p>
    <w:p w14:paraId="5519E75D">
      <w:pPr>
        <w:rPr>
          <w:rFonts w:eastAsia="仿宋_GB2312"/>
          <w:color w:val="auto"/>
        </w:rPr>
      </w:pPr>
    </w:p>
    <w:p w14:paraId="5FDBA01B">
      <w:pPr>
        <w:rPr>
          <w:rFonts w:eastAsia="仿宋_GB2312"/>
          <w:color w:val="auto"/>
        </w:rPr>
      </w:pPr>
    </w:p>
    <w:p w14:paraId="14F33135">
      <w:pPr>
        <w:rPr>
          <w:rFonts w:eastAsia="仿宋_GB2312"/>
          <w:color w:val="auto"/>
        </w:rPr>
        <w:sectPr>
          <w:pgSz w:w="16838" w:h="11906" w:orient="landscape"/>
          <w:pgMar w:top="1440" w:right="1531" w:bottom="1440" w:left="1531" w:header="851" w:footer="851" w:gutter="0"/>
          <w:pgBorders>
            <w:top w:val="none" w:sz="0" w:space="0"/>
            <w:left w:val="none" w:sz="0" w:space="0"/>
            <w:bottom w:val="none" w:sz="0" w:space="0"/>
            <w:right w:val="none" w:sz="0" w:space="0"/>
          </w:pgBorders>
          <w:cols w:space="720" w:num="1"/>
          <w:docGrid w:linePitch="312" w:charSpace="0"/>
        </w:sectPr>
      </w:pPr>
    </w:p>
    <w:p w14:paraId="157FF4F2">
      <w:pPr>
        <w:spacing w:line="500" w:lineRule="exact"/>
        <w:rPr>
          <w:rFonts w:eastAsia="仿宋_GB2312"/>
          <w:b/>
          <w:color w:val="auto"/>
          <w:sz w:val="28"/>
          <w:szCs w:val="28"/>
        </w:rPr>
      </w:pPr>
      <w:r>
        <w:rPr>
          <w:rFonts w:eastAsia="仿宋_GB2312"/>
          <w:b/>
          <w:color w:val="auto"/>
          <w:sz w:val="28"/>
          <w:szCs w:val="28"/>
        </w:rPr>
        <w:t>附件</w:t>
      </w:r>
    </w:p>
    <w:p w14:paraId="208DB6C1">
      <w:pPr>
        <w:spacing w:line="500" w:lineRule="exact"/>
        <w:ind w:firstLine="480" w:firstLineChars="200"/>
        <w:rPr>
          <w:rFonts w:hint="eastAsia" w:eastAsia="仿宋_GB2312"/>
          <w:color w:val="auto"/>
          <w:sz w:val="24"/>
        </w:rPr>
      </w:pPr>
      <w:r>
        <w:rPr>
          <w:rFonts w:hint="eastAsia" w:eastAsia="仿宋_GB2312"/>
          <w:color w:val="auto"/>
          <w:sz w:val="24"/>
        </w:rPr>
        <w:t>附件1  企业投资项目备案证</w:t>
      </w:r>
    </w:p>
    <w:p w14:paraId="2446191C">
      <w:pPr>
        <w:spacing w:line="500" w:lineRule="exact"/>
        <w:ind w:firstLine="480" w:firstLineChars="200"/>
        <w:rPr>
          <w:rFonts w:hint="eastAsia" w:eastAsia="仿宋_GB2312"/>
          <w:color w:val="auto"/>
          <w:sz w:val="24"/>
        </w:rPr>
      </w:pPr>
      <w:r>
        <w:rPr>
          <w:rFonts w:hint="eastAsia" w:eastAsia="仿宋_GB2312"/>
          <w:color w:val="auto"/>
          <w:sz w:val="24"/>
        </w:rPr>
        <w:t>附件2  建设单位营业执照</w:t>
      </w:r>
    </w:p>
    <w:p w14:paraId="6003B5A7">
      <w:pPr>
        <w:spacing w:line="500" w:lineRule="exact"/>
        <w:ind w:firstLine="480" w:firstLineChars="200"/>
        <w:rPr>
          <w:rFonts w:hint="eastAsia" w:eastAsia="仿宋_GB2312"/>
          <w:color w:val="auto"/>
          <w:sz w:val="24"/>
        </w:rPr>
      </w:pPr>
      <w:r>
        <w:rPr>
          <w:rFonts w:hint="eastAsia" w:eastAsia="仿宋_GB2312"/>
          <w:color w:val="auto"/>
          <w:sz w:val="24"/>
        </w:rPr>
        <w:t>附件3  不动产权证</w:t>
      </w:r>
    </w:p>
    <w:p w14:paraId="7BD86142">
      <w:pPr>
        <w:keepNext w:val="0"/>
        <w:keepLines w:val="0"/>
        <w:pageBreakBefore w:val="0"/>
        <w:kinsoku/>
        <w:wordWrap/>
        <w:overflowPunct/>
        <w:topLinePunct w:val="0"/>
        <w:autoSpaceDE/>
        <w:autoSpaceDN/>
        <w:bidi w:val="0"/>
        <w:adjustRightInd/>
        <w:spacing w:line="500" w:lineRule="exact"/>
        <w:ind w:right="0" w:firstLine="480" w:firstLineChars="200"/>
        <w:textAlignment w:val="auto"/>
        <w:rPr>
          <w:rFonts w:hint="eastAsia" w:eastAsia="仿宋_GB2312"/>
          <w:color w:val="auto"/>
          <w:sz w:val="24"/>
        </w:rPr>
      </w:pPr>
      <w:r>
        <w:rPr>
          <w:rFonts w:hint="eastAsia" w:eastAsia="仿宋_GB2312"/>
          <w:color w:val="auto"/>
          <w:sz w:val="24"/>
        </w:rPr>
        <w:t xml:space="preserve">附件4 </w:t>
      </w:r>
      <w:r>
        <w:rPr>
          <w:rFonts w:hint="eastAsia" w:eastAsia="仿宋_GB2312"/>
          <w:color w:val="auto"/>
          <w:sz w:val="24"/>
          <w:lang w:val="en-US" w:eastAsia="zh-CN"/>
        </w:rPr>
        <w:t xml:space="preserve"> </w:t>
      </w:r>
      <w:r>
        <w:rPr>
          <w:rFonts w:hint="eastAsia" w:eastAsia="仿宋_GB2312"/>
          <w:color w:val="auto"/>
          <w:sz w:val="24"/>
        </w:rPr>
        <w:t>租赁协议</w:t>
      </w:r>
    </w:p>
    <w:p w14:paraId="2ED6CF07">
      <w:pPr>
        <w:pStyle w:val="2"/>
        <w:keepNext w:val="0"/>
        <w:keepLines w:val="0"/>
        <w:pageBreakBefore w:val="0"/>
        <w:kinsoku/>
        <w:wordWrap/>
        <w:overflowPunct/>
        <w:topLinePunct w:val="0"/>
        <w:autoSpaceDE/>
        <w:autoSpaceDN/>
        <w:bidi w:val="0"/>
        <w:adjustRightInd/>
        <w:spacing w:before="0" w:after="0" w:line="500" w:lineRule="exact"/>
        <w:ind w:right="0" w:firstLine="480" w:firstLineChars="200"/>
        <w:textAlignment w:val="auto"/>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附件</w:t>
      </w:r>
      <w:r>
        <w:rPr>
          <w:rFonts w:hint="eastAsia" w:eastAsia="仿宋_GB2312" w:cs="Times New Roman"/>
          <w:color w:val="auto"/>
          <w:kern w:val="2"/>
          <w:sz w:val="24"/>
          <w:szCs w:val="24"/>
          <w:lang w:val="en-US" w:eastAsia="zh-CN" w:bidi="ar-SA"/>
        </w:rPr>
        <w:t>5  事故应急池安全管理建设协议</w:t>
      </w:r>
    </w:p>
    <w:p w14:paraId="48944850">
      <w:pPr>
        <w:keepNext w:val="0"/>
        <w:keepLines w:val="0"/>
        <w:pageBreakBefore w:val="0"/>
        <w:kinsoku/>
        <w:wordWrap/>
        <w:overflowPunct/>
        <w:topLinePunct w:val="0"/>
        <w:autoSpaceDE/>
        <w:autoSpaceDN/>
        <w:bidi w:val="0"/>
        <w:adjustRightInd/>
        <w:spacing w:line="500" w:lineRule="exact"/>
        <w:ind w:right="0" w:firstLine="480" w:firstLineChars="200"/>
        <w:textAlignment w:val="auto"/>
        <w:rPr>
          <w:rFonts w:hint="eastAsia" w:eastAsia="仿宋_GB2312"/>
          <w:color w:val="auto"/>
          <w:sz w:val="24"/>
        </w:rPr>
      </w:pPr>
      <w:r>
        <w:rPr>
          <w:rFonts w:hint="eastAsia" w:ascii="Times New Roman" w:hAnsi="Times New Roman" w:eastAsia="仿宋_GB2312" w:cs="Times New Roman"/>
          <w:color w:val="auto"/>
          <w:kern w:val="2"/>
          <w:sz w:val="24"/>
          <w:szCs w:val="24"/>
          <w:lang w:val="en-US" w:eastAsia="zh-CN" w:bidi="ar-SA"/>
        </w:rPr>
        <w:t>附件</w:t>
      </w:r>
      <w:r>
        <w:rPr>
          <w:rFonts w:hint="eastAsia" w:eastAsia="仿宋_GB2312"/>
          <w:color w:val="auto"/>
          <w:sz w:val="24"/>
          <w:lang w:val="en-US" w:eastAsia="zh-CN"/>
        </w:rPr>
        <w:t>6</w:t>
      </w:r>
      <w:r>
        <w:rPr>
          <w:rFonts w:hint="eastAsia" w:eastAsia="仿宋_GB2312"/>
          <w:color w:val="auto"/>
          <w:sz w:val="24"/>
        </w:rPr>
        <w:t xml:space="preserve"> 环境质量现状监测报告</w:t>
      </w:r>
    </w:p>
    <w:p w14:paraId="209CFF7D">
      <w:pPr>
        <w:keepNext w:val="0"/>
        <w:keepLines w:val="0"/>
        <w:pageBreakBefore w:val="0"/>
        <w:kinsoku/>
        <w:wordWrap/>
        <w:overflowPunct/>
        <w:topLinePunct w:val="0"/>
        <w:autoSpaceDE/>
        <w:autoSpaceDN/>
        <w:bidi w:val="0"/>
        <w:adjustRightInd/>
        <w:spacing w:line="500" w:lineRule="exact"/>
        <w:ind w:right="0" w:firstLine="480" w:firstLineChars="200"/>
        <w:textAlignment w:val="auto"/>
        <w:rPr>
          <w:rFonts w:hint="eastAsia" w:eastAsia="仿宋_GB2312"/>
          <w:color w:val="auto"/>
          <w:sz w:val="24"/>
        </w:rPr>
      </w:pPr>
      <w:r>
        <w:rPr>
          <w:rFonts w:hint="eastAsia" w:eastAsia="仿宋_GB2312"/>
          <w:color w:val="auto"/>
          <w:sz w:val="24"/>
        </w:rPr>
        <w:t>附件</w:t>
      </w:r>
      <w:r>
        <w:rPr>
          <w:rFonts w:hint="eastAsia" w:eastAsia="仿宋_GB2312"/>
          <w:color w:val="auto"/>
          <w:sz w:val="24"/>
          <w:lang w:val="en-US" w:eastAsia="zh-CN"/>
        </w:rPr>
        <w:t>7</w:t>
      </w:r>
      <w:r>
        <w:rPr>
          <w:rFonts w:hint="eastAsia" w:eastAsia="仿宋_GB2312"/>
          <w:color w:val="auto"/>
          <w:sz w:val="24"/>
        </w:rPr>
        <w:t xml:space="preserve"> 《市生态环境局关于金坛金城科技产业园发展规划（2023-2035年）环境影响报告书的审查意见》（常金环审〔2024〕40号）</w:t>
      </w:r>
    </w:p>
    <w:p w14:paraId="75BFAC03">
      <w:pPr>
        <w:keepNext w:val="0"/>
        <w:keepLines w:val="0"/>
        <w:pageBreakBefore w:val="0"/>
        <w:kinsoku/>
        <w:wordWrap/>
        <w:overflowPunct/>
        <w:topLinePunct w:val="0"/>
        <w:autoSpaceDE/>
        <w:autoSpaceDN/>
        <w:bidi w:val="0"/>
        <w:adjustRightInd/>
        <w:spacing w:line="500" w:lineRule="exact"/>
        <w:ind w:right="0" w:firstLine="480" w:firstLineChars="200"/>
        <w:textAlignment w:val="auto"/>
        <w:rPr>
          <w:rFonts w:hint="eastAsia" w:eastAsia="仿宋_GB2312"/>
          <w:color w:val="auto"/>
          <w:sz w:val="24"/>
        </w:rPr>
      </w:pPr>
      <w:r>
        <w:rPr>
          <w:rFonts w:hint="eastAsia" w:eastAsia="仿宋_GB2312"/>
          <w:color w:val="auto"/>
          <w:sz w:val="24"/>
        </w:rPr>
        <w:t>附件</w:t>
      </w:r>
      <w:r>
        <w:rPr>
          <w:rFonts w:hint="eastAsia" w:eastAsia="仿宋_GB2312"/>
          <w:color w:val="auto"/>
          <w:sz w:val="24"/>
          <w:lang w:val="en-US" w:eastAsia="zh-CN"/>
        </w:rPr>
        <w:t>8</w:t>
      </w:r>
      <w:r>
        <w:rPr>
          <w:rFonts w:hint="eastAsia" w:eastAsia="仿宋_GB2312"/>
          <w:color w:val="auto"/>
          <w:sz w:val="24"/>
        </w:rPr>
        <w:t>危废处置协议</w:t>
      </w:r>
    </w:p>
    <w:p w14:paraId="0D917DD6">
      <w:pPr>
        <w:spacing w:line="500" w:lineRule="exact"/>
        <w:ind w:firstLine="480" w:firstLineChars="200"/>
        <w:rPr>
          <w:rFonts w:hint="eastAsia" w:eastAsia="仿宋_GB2312"/>
          <w:color w:val="auto"/>
          <w:sz w:val="24"/>
        </w:rPr>
      </w:pPr>
      <w:r>
        <w:rPr>
          <w:rFonts w:hint="eastAsia" w:eastAsia="仿宋_GB2312"/>
          <w:color w:val="auto"/>
          <w:sz w:val="24"/>
        </w:rPr>
        <w:t>附件</w:t>
      </w:r>
      <w:r>
        <w:rPr>
          <w:rFonts w:hint="eastAsia" w:eastAsia="仿宋_GB2312"/>
          <w:color w:val="auto"/>
          <w:sz w:val="24"/>
          <w:lang w:val="en-US" w:eastAsia="zh-CN"/>
        </w:rPr>
        <w:t>9</w:t>
      </w:r>
      <w:r>
        <w:rPr>
          <w:rFonts w:hint="eastAsia" w:eastAsia="仿宋_GB2312"/>
          <w:color w:val="auto"/>
          <w:sz w:val="24"/>
        </w:rPr>
        <w:t>《关于B-1,3/a-1,3-葡聚糖等6种“三新食品”的公告》</w:t>
      </w:r>
      <w:r>
        <w:rPr>
          <w:rFonts w:hint="eastAsia" w:eastAsia="仿宋_GB2312"/>
          <w:color w:val="auto"/>
          <w:sz w:val="24"/>
          <w:lang w:eastAsia="zh-CN"/>
        </w:rPr>
        <w:t>（</w:t>
      </w:r>
      <w:r>
        <w:rPr>
          <w:rFonts w:hint="eastAsia" w:eastAsia="仿宋_GB2312"/>
          <w:color w:val="auto"/>
          <w:sz w:val="24"/>
        </w:rPr>
        <w:t>2021年第5号</w:t>
      </w:r>
      <w:r>
        <w:rPr>
          <w:rFonts w:hint="eastAsia" w:eastAsia="仿宋_GB2312"/>
          <w:color w:val="auto"/>
          <w:sz w:val="24"/>
          <w:lang w:eastAsia="zh-CN"/>
        </w:rPr>
        <w:t>）</w:t>
      </w:r>
    </w:p>
    <w:p w14:paraId="10509EBA">
      <w:pPr>
        <w:spacing w:line="500" w:lineRule="exact"/>
        <w:ind w:firstLine="480" w:firstLineChars="200"/>
        <w:rPr>
          <w:rFonts w:hint="eastAsia" w:eastAsia="仿宋_GB2312"/>
          <w:color w:val="auto"/>
          <w:sz w:val="24"/>
        </w:rPr>
      </w:pPr>
      <w:r>
        <w:rPr>
          <w:rFonts w:hint="eastAsia" w:eastAsia="仿宋_GB2312"/>
          <w:color w:val="auto"/>
          <w:sz w:val="24"/>
        </w:rPr>
        <w:t>附件</w:t>
      </w:r>
      <w:r>
        <w:rPr>
          <w:rFonts w:hint="eastAsia" w:eastAsia="仿宋_GB2312"/>
          <w:color w:val="auto"/>
          <w:sz w:val="24"/>
          <w:lang w:val="en-US" w:eastAsia="zh-CN"/>
        </w:rPr>
        <w:t>10《关于批准y-氨基丁酸、初乳碱性蛋白、共轭亚油酸、共轭亚油酸甘油酯、植物乳杆菌(菌株号ST-</w:t>
      </w:r>
      <w:r>
        <w:rPr>
          <w:rFonts w:ascii="Times New Roman" w:hAnsi="Times New Roman"/>
          <w:color w:val="auto"/>
          <w:kern w:val="0"/>
          <w:sz w:val="21"/>
        </w:rPr>
        <w:t>Ⅲ</w:t>
      </w:r>
      <w:r>
        <w:rPr>
          <w:rFonts w:hint="eastAsia" w:eastAsia="仿宋_GB2312"/>
          <w:color w:val="auto"/>
          <w:sz w:val="24"/>
          <w:lang w:val="en-US" w:eastAsia="zh-CN"/>
        </w:rPr>
        <w:t>)、杜仲籽油为新资源食品的公告》（2009年第12号）</w:t>
      </w:r>
    </w:p>
    <w:p w14:paraId="754B9E60">
      <w:pPr>
        <w:spacing w:line="500" w:lineRule="exact"/>
        <w:ind w:firstLine="480" w:firstLineChars="200"/>
        <w:rPr>
          <w:rFonts w:hint="eastAsia" w:eastAsia="仿宋_GB2312"/>
          <w:color w:val="auto"/>
          <w:sz w:val="24"/>
        </w:rPr>
      </w:pPr>
      <w:r>
        <w:rPr>
          <w:rFonts w:hint="eastAsia" w:eastAsia="仿宋_GB2312"/>
          <w:color w:val="auto"/>
          <w:sz w:val="24"/>
        </w:rPr>
        <w:t>附件</w:t>
      </w:r>
      <w:r>
        <w:rPr>
          <w:rFonts w:hint="eastAsia" w:eastAsia="仿宋_GB2312"/>
          <w:color w:val="auto"/>
          <w:sz w:val="24"/>
          <w:lang w:val="en-US" w:eastAsia="zh-CN"/>
        </w:rPr>
        <w:t>11江苏省生态环境分区管控综合查询报告书</w:t>
      </w:r>
    </w:p>
    <w:p w14:paraId="6CFF4890">
      <w:pPr>
        <w:spacing w:line="500" w:lineRule="exact"/>
        <w:ind w:firstLine="480" w:firstLineChars="200"/>
        <w:rPr>
          <w:rFonts w:hint="default" w:eastAsia="仿宋_GB2312"/>
          <w:color w:val="auto"/>
          <w:sz w:val="24"/>
          <w:lang w:val="en-US" w:eastAsia="zh-CN"/>
        </w:rPr>
      </w:pPr>
      <w:r>
        <w:rPr>
          <w:rFonts w:hint="eastAsia" w:eastAsia="仿宋_GB2312"/>
          <w:color w:val="auto"/>
          <w:sz w:val="24"/>
          <w:lang w:val="en-US" w:eastAsia="zh-CN"/>
        </w:rPr>
        <w:t>附件12 专家评审意见及修改清单</w:t>
      </w:r>
    </w:p>
    <w:p w14:paraId="18BAB769">
      <w:pPr>
        <w:spacing w:line="500" w:lineRule="exact"/>
        <w:rPr>
          <w:rFonts w:eastAsia="仿宋_GB2312"/>
          <w:b/>
          <w:color w:val="auto"/>
          <w:sz w:val="28"/>
          <w:szCs w:val="28"/>
        </w:rPr>
      </w:pPr>
      <w:r>
        <w:rPr>
          <w:rFonts w:eastAsia="仿宋_GB2312"/>
          <w:b/>
          <w:color w:val="auto"/>
          <w:sz w:val="28"/>
          <w:szCs w:val="28"/>
        </w:rPr>
        <w:t>附图</w:t>
      </w:r>
    </w:p>
    <w:p w14:paraId="0D6D0404">
      <w:pPr>
        <w:spacing w:line="500" w:lineRule="exact"/>
        <w:ind w:firstLine="480" w:firstLineChars="200"/>
        <w:rPr>
          <w:rFonts w:hint="eastAsia" w:eastAsia="仿宋_GB2312"/>
          <w:color w:val="auto"/>
          <w:sz w:val="24"/>
          <w:lang w:eastAsia="zh-CN"/>
        </w:rPr>
      </w:pPr>
      <w:r>
        <w:rPr>
          <w:rFonts w:eastAsia="仿宋_GB2312"/>
          <w:color w:val="auto"/>
          <w:sz w:val="24"/>
        </w:rPr>
        <w:t>附图1  项目地理位置示意图</w:t>
      </w:r>
      <w:r>
        <w:rPr>
          <w:rFonts w:hint="eastAsia" w:eastAsia="仿宋_GB2312"/>
          <w:color w:val="auto"/>
          <w:sz w:val="24"/>
          <w:lang w:eastAsia="zh-CN"/>
        </w:rPr>
        <w:t>；</w:t>
      </w:r>
    </w:p>
    <w:p w14:paraId="2AFB2825">
      <w:pPr>
        <w:spacing w:line="500" w:lineRule="exact"/>
        <w:ind w:firstLine="480" w:firstLineChars="200"/>
        <w:rPr>
          <w:rFonts w:hint="eastAsia" w:eastAsia="仿宋_GB2312"/>
          <w:color w:val="auto"/>
          <w:sz w:val="24"/>
          <w:lang w:eastAsia="zh-CN"/>
        </w:rPr>
      </w:pPr>
      <w:r>
        <w:rPr>
          <w:rFonts w:eastAsia="仿宋_GB2312"/>
          <w:color w:val="auto"/>
          <w:sz w:val="24"/>
        </w:rPr>
        <w:t>附图2  项目周边500m范围土地利用现状示意图</w:t>
      </w:r>
      <w:r>
        <w:rPr>
          <w:rFonts w:hint="eastAsia" w:eastAsia="仿宋_GB2312"/>
          <w:color w:val="auto"/>
          <w:sz w:val="24"/>
          <w:lang w:eastAsia="zh-CN"/>
        </w:rPr>
        <w:t>；</w:t>
      </w:r>
    </w:p>
    <w:p w14:paraId="5054FFA7">
      <w:pPr>
        <w:spacing w:line="500" w:lineRule="exact"/>
        <w:ind w:firstLine="480" w:firstLineChars="200"/>
        <w:rPr>
          <w:rFonts w:hint="eastAsia" w:eastAsia="仿宋_GB2312"/>
          <w:color w:val="auto"/>
          <w:sz w:val="24"/>
          <w:lang w:eastAsia="zh-CN"/>
        </w:rPr>
      </w:pPr>
      <w:r>
        <w:rPr>
          <w:rFonts w:eastAsia="仿宋_GB2312"/>
          <w:color w:val="auto"/>
          <w:sz w:val="24"/>
        </w:rPr>
        <w:t xml:space="preserve">附图3  </w:t>
      </w:r>
      <w:r>
        <w:rPr>
          <w:rFonts w:hint="eastAsia" w:eastAsia="仿宋_GB2312"/>
          <w:color w:val="auto"/>
          <w:sz w:val="24"/>
          <w:lang w:eastAsia="zh-CN"/>
        </w:rPr>
        <w:t>金坛科技产业园</w:t>
      </w:r>
      <w:r>
        <w:rPr>
          <w:rFonts w:eastAsia="仿宋_GB2312"/>
          <w:color w:val="auto"/>
          <w:sz w:val="24"/>
        </w:rPr>
        <w:t>用地规划图</w:t>
      </w:r>
      <w:r>
        <w:rPr>
          <w:rFonts w:hint="eastAsia" w:eastAsia="仿宋_GB2312"/>
          <w:color w:val="auto"/>
          <w:sz w:val="24"/>
          <w:lang w:eastAsia="zh-CN"/>
        </w:rPr>
        <w:t>；</w:t>
      </w:r>
    </w:p>
    <w:p w14:paraId="685C614A">
      <w:pPr>
        <w:spacing w:line="500" w:lineRule="exact"/>
        <w:ind w:firstLine="480" w:firstLineChars="200"/>
        <w:rPr>
          <w:rFonts w:hint="eastAsia" w:eastAsia="仿宋_GB2312"/>
          <w:color w:val="auto"/>
          <w:sz w:val="24"/>
          <w:lang w:eastAsia="zh-CN"/>
        </w:rPr>
      </w:pPr>
      <w:r>
        <w:rPr>
          <w:rFonts w:eastAsia="仿宋_GB2312"/>
          <w:color w:val="auto"/>
          <w:sz w:val="24"/>
        </w:rPr>
        <w:t>附图</w:t>
      </w:r>
      <w:r>
        <w:rPr>
          <w:rFonts w:hint="eastAsia" w:eastAsia="仿宋_GB2312"/>
          <w:color w:val="auto"/>
          <w:sz w:val="24"/>
          <w:lang w:val="en-US" w:eastAsia="zh-CN"/>
        </w:rPr>
        <w:t>4</w:t>
      </w:r>
      <w:r>
        <w:rPr>
          <w:rFonts w:eastAsia="仿宋_GB2312"/>
          <w:color w:val="auto"/>
          <w:sz w:val="24"/>
        </w:rPr>
        <w:t xml:space="preserve">  </w:t>
      </w:r>
      <w:r>
        <w:rPr>
          <w:rFonts w:hint="eastAsia" w:eastAsia="仿宋_GB2312"/>
          <w:color w:val="auto"/>
          <w:sz w:val="24"/>
          <w:lang w:eastAsia="zh-CN"/>
        </w:rPr>
        <w:t>本项目出租方</w:t>
      </w:r>
      <w:r>
        <w:rPr>
          <w:rFonts w:eastAsia="仿宋_GB2312"/>
          <w:color w:val="auto"/>
          <w:sz w:val="24"/>
        </w:rPr>
        <w:t>厂区平面布置图</w:t>
      </w:r>
      <w:r>
        <w:rPr>
          <w:rFonts w:hint="eastAsia" w:eastAsia="仿宋_GB2312"/>
          <w:color w:val="auto"/>
          <w:sz w:val="24"/>
          <w:lang w:eastAsia="zh-CN"/>
        </w:rPr>
        <w:t>；</w:t>
      </w:r>
    </w:p>
    <w:p w14:paraId="44E0485D">
      <w:pPr>
        <w:spacing w:line="500" w:lineRule="exact"/>
        <w:ind w:firstLine="480" w:firstLineChars="200"/>
        <w:rPr>
          <w:rFonts w:hint="eastAsia" w:eastAsia="仿宋_GB2312"/>
          <w:color w:val="auto"/>
          <w:sz w:val="24"/>
          <w:lang w:eastAsia="zh-CN"/>
        </w:rPr>
      </w:pPr>
      <w:r>
        <w:rPr>
          <w:rFonts w:eastAsia="仿宋_GB2312"/>
          <w:color w:val="auto"/>
          <w:sz w:val="24"/>
        </w:rPr>
        <w:t>附图</w:t>
      </w:r>
      <w:r>
        <w:rPr>
          <w:rFonts w:hint="eastAsia" w:eastAsia="仿宋_GB2312"/>
          <w:color w:val="auto"/>
          <w:sz w:val="24"/>
          <w:lang w:val="en-US" w:eastAsia="zh-CN"/>
        </w:rPr>
        <w:t>5</w:t>
      </w:r>
      <w:r>
        <w:rPr>
          <w:rFonts w:eastAsia="仿宋_GB2312"/>
          <w:color w:val="auto"/>
          <w:sz w:val="24"/>
        </w:rPr>
        <w:t xml:space="preserve">  项目周边水系概化示意图</w:t>
      </w:r>
      <w:r>
        <w:rPr>
          <w:rFonts w:hint="eastAsia" w:eastAsia="仿宋_GB2312"/>
          <w:color w:val="auto"/>
          <w:sz w:val="24"/>
          <w:lang w:eastAsia="zh-CN"/>
        </w:rPr>
        <w:t>；</w:t>
      </w:r>
    </w:p>
    <w:p w14:paraId="2095ED2E">
      <w:pPr>
        <w:spacing w:line="500" w:lineRule="exact"/>
        <w:ind w:firstLine="480" w:firstLineChars="200"/>
        <w:rPr>
          <w:rFonts w:hint="eastAsia" w:eastAsia="仿宋_GB2312"/>
          <w:color w:val="auto"/>
          <w:sz w:val="24"/>
          <w:lang w:eastAsia="zh-CN"/>
        </w:rPr>
      </w:pPr>
      <w:r>
        <w:rPr>
          <w:rFonts w:eastAsia="仿宋_GB2312"/>
          <w:color w:val="auto"/>
          <w:sz w:val="24"/>
        </w:rPr>
        <w:t>附图</w:t>
      </w:r>
      <w:r>
        <w:rPr>
          <w:rFonts w:hint="eastAsia" w:eastAsia="仿宋_GB2312"/>
          <w:color w:val="auto"/>
          <w:sz w:val="24"/>
          <w:lang w:val="en-US" w:eastAsia="zh-CN"/>
        </w:rPr>
        <w:t>6</w:t>
      </w:r>
      <w:r>
        <w:rPr>
          <w:rFonts w:eastAsia="仿宋_GB2312"/>
          <w:color w:val="auto"/>
          <w:sz w:val="24"/>
        </w:rPr>
        <w:t xml:space="preserve">  常州市生态空间管控区域分布图</w:t>
      </w:r>
      <w:r>
        <w:rPr>
          <w:rFonts w:hint="eastAsia" w:eastAsia="仿宋_GB2312"/>
          <w:color w:val="auto"/>
          <w:sz w:val="24"/>
          <w:lang w:eastAsia="zh-CN"/>
        </w:rPr>
        <w:t>；</w:t>
      </w:r>
    </w:p>
    <w:p w14:paraId="46ACA133">
      <w:pPr>
        <w:keepNext w:val="0"/>
        <w:keepLines w:val="0"/>
        <w:widowControl w:val="0"/>
        <w:suppressLineNumbers w:val="0"/>
        <w:spacing w:before="0" w:beforeAutospacing="0" w:after="0" w:afterAutospacing="0" w:line="500" w:lineRule="exact"/>
        <w:ind w:left="0" w:right="0" w:firstLine="482"/>
        <w:jc w:val="both"/>
        <w:rPr>
          <w:rFonts w:eastAsia="仿宋_GB2312"/>
          <w:color w:val="auto"/>
          <w:sz w:val="24"/>
          <w:szCs w:val="24"/>
          <w:lang w:val="en-US"/>
        </w:rPr>
      </w:pPr>
      <w:r>
        <w:rPr>
          <w:rFonts w:hint="eastAsia" w:ascii="Times New Roman" w:hAnsi="Times New Roman" w:eastAsia="仿宋_GB2312" w:cs="仿宋_GB2312"/>
          <w:color w:val="auto"/>
          <w:kern w:val="2"/>
          <w:sz w:val="24"/>
          <w:szCs w:val="24"/>
          <w:lang w:val="en-US" w:eastAsia="zh-CN" w:bidi="ar"/>
        </w:rPr>
        <w:t>附图</w:t>
      </w:r>
      <w:r>
        <w:rPr>
          <w:rFonts w:hint="eastAsia" w:eastAsia="仿宋_GB2312" w:cs="仿宋_GB2312"/>
          <w:color w:val="auto"/>
          <w:kern w:val="2"/>
          <w:sz w:val="24"/>
          <w:szCs w:val="24"/>
          <w:lang w:val="en-US" w:eastAsia="zh-CN" w:bidi="ar"/>
        </w:rPr>
        <w:t>7</w:t>
      </w:r>
      <w:r>
        <w:rPr>
          <w:rFonts w:hint="default" w:ascii="Times New Roman" w:hAnsi="Times New Roman" w:eastAsia="仿宋_GB2312" w:cs="Times New Roman"/>
          <w:color w:val="auto"/>
          <w:kern w:val="2"/>
          <w:sz w:val="24"/>
          <w:szCs w:val="24"/>
          <w:lang w:val="en-US" w:eastAsia="zh-CN" w:bidi="ar"/>
        </w:rPr>
        <w:t xml:space="preserve">  </w:t>
      </w:r>
      <w:r>
        <w:rPr>
          <w:rFonts w:hint="eastAsia" w:ascii="Times New Roman" w:hAnsi="Times New Roman" w:eastAsia="仿宋_GB2312" w:cs="仿宋_GB2312"/>
          <w:color w:val="auto"/>
          <w:kern w:val="2"/>
          <w:sz w:val="24"/>
          <w:szCs w:val="24"/>
          <w:lang w:val="en-US" w:eastAsia="zh-CN" w:bidi="ar"/>
        </w:rPr>
        <w:t>与常州市国土空间规划协调性分析图；</w:t>
      </w:r>
    </w:p>
    <w:p w14:paraId="01C14EA9">
      <w:pPr>
        <w:keepNext w:val="0"/>
        <w:keepLines w:val="0"/>
        <w:widowControl w:val="0"/>
        <w:suppressLineNumbers w:val="0"/>
        <w:spacing w:before="0" w:beforeAutospacing="0" w:after="0" w:afterAutospacing="0" w:line="500" w:lineRule="exact"/>
        <w:ind w:left="0" w:right="0" w:firstLine="482"/>
        <w:jc w:val="both"/>
        <w:rPr>
          <w:rFonts w:hint="eastAsia" w:eastAsia="仿宋_GB2312" w:cs="仿宋_GB2312"/>
          <w:color w:val="auto"/>
          <w:kern w:val="2"/>
          <w:sz w:val="24"/>
          <w:szCs w:val="24"/>
          <w:lang w:val="en-US" w:eastAsia="zh-CN" w:bidi="ar"/>
        </w:rPr>
      </w:pPr>
      <w:r>
        <w:rPr>
          <w:rFonts w:hint="eastAsia" w:ascii="Times New Roman" w:hAnsi="Times New Roman" w:eastAsia="仿宋_GB2312" w:cs="仿宋_GB2312"/>
          <w:color w:val="auto"/>
          <w:kern w:val="2"/>
          <w:sz w:val="24"/>
          <w:szCs w:val="24"/>
          <w:lang w:val="en-US" w:eastAsia="zh-CN" w:bidi="ar"/>
        </w:rPr>
        <w:t>附图</w:t>
      </w:r>
      <w:r>
        <w:rPr>
          <w:rFonts w:hint="eastAsia" w:eastAsia="仿宋_GB2312" w:cs="仿宋_GB2312"/>
          <w:color w:val="auto"/>
          <w:kern w:val="2"/>
          <w:sz w:val="24"/>
          <w:szCs w:val="24"/>
          <w:lang w:val="en-US" w:eastAsia="zh-CN" w:bidi="ar"/>
        </w:rPr>
        <w:t>8</w:t>
      </w:r>
      <w:r>
        <w:rPr>
          <w:rFonts w:hint="default" w:ascii="Times New Roman" w:hAnsi="Times New Roman" w:eastAsia="仿宋_GB2312" w:cs="Times New Roman"/>
          <w:color w:val="auto"/>
          <w:kern w:val="2"/>
          <w:sz w:val="24"/>
          <w:szCs w:val="24"/>
          <w:lang w:val="en-US" w:eastAsia="zh-CN" w:bidi="ar"/>
        </w:rPr>
        <w:t xml:space="preserve">  </w:t>
      </w:r>
      <w:r>
        <w:rPr>
          <w:rFonts w:hint="eastAsia" w:ascii="Times New Roman" w:hAnsi="Times New Roman" w:eastAsia="仿宋_GB2312" w:cs="仿宋_GB2312"/>
          <w:color w:val="auto"/>
          <w:kern w:val="2"/>
          <w:sz w:val="24"/>
          <w:szCs w:val="24"/>
          <w:lang w:val="en-US" w:eastAsia="zh-CN" w:bidi="ar"/>
        </w:rPr>
        <w:t>项目分区防</w:t>
      </w:r>
      <w:r>
        <w:rPr>
          <w:rFonts w:hint="eastAsia" w:eastAsia="仿宋_GB2312" w:cs="仿宋_GB2312"/>
          <w:color w:val="auto"/>
          <w:kern w:val="2"/>
          <w:sz w:val="24"/>
          <w:szCs w:val="24"/>
          <w:lang w:val="en-US" w:eastAsia="zh-CN" w:bidi="ar"/>
        </w:rPr>
        <w:t>渗</w:t>
      </w:r>
      <w:r>
        <w:rPr>
          <w:rFonts w:hint="eastAsia" w:ascii="Times New Roman" w:hAnsi="Times New Roman" w:eastAsia="仿宋_GB2312" w:cs="仿宋_GB2312"/>
          <w:color w:val="auto"/>
          <w:kern w:val="2"/>
          <w:sz w:val="24"/>
          <w:szCs w:val="24"/>
          <w:lang w:val="en-US" w:eastAsia="zh-CN" w:bidi="ar"/>
        </w:rPr>
        <w:t>示意图</w:t>
      </w:r>
      <w:r>
        <w:rPr>
          <w:rFonts w:hint="eastAsia" w:eastAsia="仿宋_GB2312" w:cs="仿宋_GB2312"/>
          <w:color w:val="auto"/>
          <w:kern w:val="2"/>
          <w:sz w:val="24"/>
          <w:szCs w:val="24"/>
          <w:lang w:val="en-US" w:eastAsia="zh-CN" w:bidi="ar"/>
        </w:rPr>
        <w:t>；</w:t>
      </w:r>
    </w:p>
    <w:p w14:paraId="67E177D1">
      <w:pPr>
        <w:keepNext w:val="0"/>
        <w:keepLines w:val="0"/>
        <w:widowControl w:val="0"/>
        <w:suppressLineNumbers w:val="0"/>
        <w:spacing w:before="0" w:beforeAutospacing="0" w:after="0" w:afterAutospacing="0" w:line="500" w:lineRule="exact"/>
        <w:ind w:left="0" w:right="0" w:firstLine="482"/>
        <w:jc w:val="both"/>
        <w:rPr>
          <w:rFonts w:hint="default" w:eastAsia="仿宋_GB2312" w:cs="仿宋_GB2312"/>
          <w:color w:val="auto"/>
          <w:kern w:val="2"/>
          <w:sz w:val="24"/>
          <w:szCs w:val="24"/>
          <w:lang w:val="en-US" w:eastAsia="zh-CN" w:bidi="ar"/>
        </w:rPr>
      </w:pPr>
      <w:r>
        <w:rPr>
          <w:rFonts w:hint="eastAsia" w:eastAsia="仿宋_GB2312" w:cs="仿宋_GB2312"/>
          <w:color w:val="auto"/>
          <w:kern w:val="2"/>
          <w:sz w:val="24"/>
          <w:szCs w:val="24"/>
          <w:lang w:val="en-US" w:eastAsia="zh-CN" w:bidi="ar"/>
        </w:rPr>
        <w:t>附图9  风险单元分布图、环境应急设施分布图;</w:t>
      </w:r>
    </w:p>
    <w:p w14:paraId="5F87A403">
      <w:pPr>
        <w:keepNext w:val="0"/>
        <w:keepLines w:val="0"/>
        <w:widowControl w:val="0"/>
        <w:suppressLineNumbers w:val="0"/>
        <w:spacing w:before="0" w:beforeAutospacing="0" w:after="0" w:afterAutospacing="0" w:line="500" w:lineRule="exact"/>
        <w:ind w:left="0" w:right="0" w:firstLine="482"/>
        <w:jc w:val="both"/>
        <w:rPr>
          <w:rFonts w:hint="default" w:eastAsia="仿宋_GB2312" w:cs="仿宋_GB2312"/>
          <w:color w:val="auto"/>
          <w:kern w:val="2"/>
          <w:sz w:val="24"/>
          <w:szCs w:val="24"/>
          <w:lang w:val="en-US" w:eastAsia="zh-CN" w:bidi="ar"/>
        </w:rPr>
      </w:pPr>
      <w:r>
        <w:rPr>
          <w:rFonts w:hint="eastAsia" w:eastAsia="仿宋_GB2312" w:cs="仿宋_GB2312"/>
          <w:color w:val="auto"/>
          <w:kern w:val="2"/>
          <w:sz w:val="24"/>
          <w:szCs w:val="24"/>
          <w:lang w:val="en-US" w:eastAsia="zh-CN" w:bidi="ar"/>
        </w:rPr>
        <w:t>附图10-1  车间一层平面布置示意图;</w:t>
      </w:r>
    </w:p>
    <w:p w14:paraId="5489D30E">
      <w:pPr>
        <w:keepNext w:val="0"/>
        <w:keepLines w:val="0"/>
        <w:widowControl w:val="0"/>
        <w:suppressLineNumbers w:val="0"/>
        <w:spacing w:before="0" w:beforeAutospacing="0" w:after="0" w:afterAutospacing="0" w:line="500" w:lineRule="exact"/>
        <w:ind w:left="0" w:right="0" w:firstLine="482"/>
        <w:jc w:val="both"/>
        <w:rPr>
          <w:rFonts w:hint="default" w:eastAsia="仿宋_GB2312" w:cs="仿宋_GB2312"/>
          <w:color w:val="auto"/>
          <w:kern w:val="2"/>
          <w:sz w:val="24"/>
          <w:szCs w:val="24"/>
          <w:lang w:val="en-US" w:eastAsia="zh-CN" w:bidi="ar"/>
        </w:rPr>
      </w:pPr>
      <w:r>
        <w:rPr>
          <w:rFonts w:hint="eastAsia" w:eastAsia="仿宋_GB2312" w:cs="仿宋_GB2312"/>
          <w:color w:val="auto"/>
          <w:kern w:val="2"/>
          <w:sz w:val="24"/>
          <w:szCs w:val="24"/>
          <w:lang w:val="en-US" w:eastAsia="zh-CN" w:bidi="ar"/>
        </w:rPr>
        <w:t>附图10-2  车间二层平面布置示意图</w:t>
      </w:r>
    </w:p>
    <w:p w14:paraId="1737577B">
      <w:pPr>
        <w:pStyle w:val="2"/>
        <w:rPr>
          <w:color w:val="auto"/>
        </w:rPr>
      </w:pP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文鼎CS中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TimesNewRoman">
    <w:altName w:val="Times New Roman"/>
    <w:panose1 w:val="00000000000000000000"/>
    <w:charset w:val="00"/>
    <w:family w:val="roman"/>
    <w:pitch w:val="default"/>
    <w:sig w:usb0="00000000" w:usb1="00000000" w:usb2="00000010" w:usb3="00000000" w:csb0="00040001" w:csb1="00000000"/>
  </w:font>
  <w:font w:name="等线 Light">
    <w:altName w:val="宋体"/>
    <w:panose1 w:val="02010600030101010101"/>
    <w:charset w:val="86"/>
    <w:family w:val="roman"/>
    <w:pitch w:val="default"/>
    <w:sig w:usb0="00000000" w:usb1="00000000" w:usb2="00000016" w:usb3="00000000" w:csb0="0004000F" w:csb1="00000000"/>
  </w:font>
  <w:font w:name="Arial Narrow">
    <w:altName w:val="Arial"/>
    <w:panose1 w:val="020B0606020202030204"/>
    <w:charset w:val="00"/>
    <w:family w:val="swiss"/>
    <w:pitch w:val="default"/>
    <w:sig w:usb0="00000000" w:usb1="00000000" w:usb2="00000000" w:usb3="00000000" w:csb0="2000009F" w:csb1="DFD70000"/>
  </w:font>
  <w:font w:name="Arial Black">
    <w:panose1 w:val="020B0A04020102020204"/>
    <w:charset w:val="00"/>
    <w:family w:val="swiss"/>
    <w:pitch w:val="default"/>
    <w:sig w:usb0="00000287" w:usb1="00000000" w:usb2="00000000" w:usb3="00000000" w:csb0="2000009F" w:csb1="DFD70000"/>
  </w:font>
  <w:font w:name="StempelGaramond Roman">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Plotter">
    <w:altName w:val="Times New Roman"/>
    <w:panose1 w:val="00000000000000000000"/>
    <w:charset w:val="00"/>
    <w:family w:val="roman"/>
    <w:pitch w:val="default"/>
    <w:sig w:usb0="00000000" w:usb1="00000000" w:usb2="0000006E" w:usb3="00000000" w:csb0="81632469" w:csb1="BFF7D18D"/>
  </w:font>
  <w:font w:name="GB2312">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s²Ó©úÅé">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文鼎CS大宋">
    <w:altName w:val="宋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楷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全真楷書">
    <w:altName w:val="楷体_GB2312"/>
    <w:panose1 w:val="00000000000000000000"/>
    <w:charset w:val="88"/>
    <w:family w:val="modern"/>
    <w:pitch w:val="default"/>
    <w:sig w:usb0="00000000" w:usb1="00000000" w:usb2="00000010" w:usb3="00000000" w:csb0="00100000" w:csb1="00000000"/>
  </w:font>
  <w:font w:name="Dutch801 Rm BT">
    <w:altName w:val="Times New Roman"/>
    <w:panose1 w:val="02020603060505020304"/>
    <w:charset w:val="00"/>
    <w:family w:val="roman"/>
    <w:pitch w:val="default"/>
    <w:sig w:usb0="00000000" w:usb1="00000000" w:usb2="00000000" w:usb3="00000000" w:csb0="00000000"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文鼎CS书宋二">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汉鼎简特宋">
    <w:altName w:val="黑体"/>
    <w:panose1 w:val="00000000000000000000"/>
    <w:charset w:val="86"/>
    <w:family w:val="modern"/>
    <w:pitch w:val="default"/>
    <w:sig w:usb0="00000000" w:usb1="00000000" w:usb2="0000001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Times New Roman;Symbol;Arial;婼">
    <w:altName w:val="黑体"/>
    <w:panose1 w:val="00000000000000000000"/>
    <w:charset w:val="86"/>
    <w:family w:val="auto"/>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FangSong_GB2312">
    <w:altName w:val="仿宋_GB2312"/>
    <w:panose1 w:val="00000000000000000000"/>
    <w:charset w:val="86"/>
    <w:family w:val="auto"/>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40AF5">
    <w:pPr>
      <w:pStyle w:val="5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19638">
    <w:pPr>
      <w:pStyle w:val="55"/>
      <w:framePr w:wrap="around" w:vAnchor="text" w:hAnchor="margin" w:xAlign="center" w:y="1"/>
      <w:rPr>
        <w:rStyle w:val="132"/>
      </w:rPr>
    </w:pPr>
    <w:r>
      <w:fldChar w:fldCharType="begin"/>
    </w:r>
    <w:r>
      <w:rPr>
        <w:rStyle w:val="132"/>
      </w:rPr>
      <w:instrText xml:space="preserve">PAGE  </w:instrText>
    </w:r>
    <w:r>
      <w:fldChar w:fldCharType="separate"/>
    </w:r>
    <w:r>
      <w:rPr>
        <w:rStyle w:val="132"/>
      </w:rPr>
      <w:t>65</w:t>
    </w:r>
    <w:r>
      <w:fldChar w:fldCharType="end"/>
    </w:r>
  </w:p>
  <w:p w14:paraId="1E409C6D">
    <w:pPr>
      <w:pStyle w:val="5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2BD01">
    <w:pPr>
      <w:pStyle w:val="55"/>
      <w:jc w:val="center"/>
    </w:pPr>
    <w:r>
      <w:fldChar w:fldCharType="begin"/>
    </w:r>
    <w:r>
      <w:instrText xml:space="preserve">PAGE   \* MERGEFORMAT</w:instrText>
    </w:r>
    <w:r>
      <w:fldChar w:fldCharType="separate"/>
    </w:r>
    <w:r>
      <w:rPr>
        <w:lang w:val="zh-CN"/>
      </w:rPr>
      <w:t>67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CDD9F">
    <w:pPr>
      <w:pStyle w:val="5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331F2">
    <w:pPr>
      <w:pStyle w:val="5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24578"/>
    <w:multiLevelType w:val="multilevel"/>
    <w:tmpl w:val="0DE24578"/>
    <w:lvl w:ilvl="0" w:tentative="0">
      <w:start w:val="1"/>
      <w:numFmt w:val="decimal"/>
      <w:lvlText w:val="%1."/>
      <w:lvlJc w:val="left"/>
      <w:pPr>
        <w:tabs>
          <w:tab w:val="left" w:pos="720"/>
        </w:tabs>
        <w:ind w:left="720" w:hanging="360"/>
      </w:pPr>
    </w:lvl>
    <w:lvl w:ilvl="1" w:tentative="0">
      <w:start w:val="1"/>
      <w:numFmt w:val="bullet"/>
      <w:pStyle w:val="214"/>
      <w:lvlText w:val=""/>
      <w:lvlJc w:val="left"/>
      <w:pPr>
        <w:tabs>
          <w:tab w:val="left" w:pos="1437"/>
        </w:tabs>
        <w:ind w:left="1437" w:hanging="357"/>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2733117F"/>
    <w:multiLevelType w:val="multilevel"/>
    <w:tmpl w:val="2733117F"/>
    <w:lvl w:ilvl="0" w:tentative="0">
      <w:start w:val="1"/>
      <w:numFmt w:val="decimal"/>
      <w:pStyle w:val="462"/>
      <w:lvlText w:val="%1"/>
      <w:lvlJc w:val="left"/>
      <w:pPr>
        <w:tabs>
          <w:tab w:val="left" w:pos="432"/>
        </w:tabs>
        <w:ind w:left="432" w:hanging="432"/>
      </w:pPr>
      <w:rPr>
        <w:rFonts w:hint="eastAsia"/>
      </w:rPr>
    </w:lvl>
    <w:lvl w:ilvl="1" w:tentative="0">
      <w:start w:val="1"/>
      <w:numFmt w:val="decimal"/>
      <w:pStyle w:val="463"/>
      <w:lvlText w:val="%1.%2"/>
      <w:lvlJc w:val="left"/>
      <w:pPr>
        <w:tabs>
          <w:tab w:val="left" w:pos="720"/>
        </w:tabs>
        <w:ind w:left="397" w:hanging="397"/>
      </w:pPr>
      <w:rPr>
        <w:rFonts w:hint="eastAsia" w:eastAsia="仿宋_GB2312"/>
      </w:rPr>
    </w:lvl>
    <w:lvl w:ilvl="2" w:tentative="0">
      <w:start w:val="1"/>
      <w:numFmt w:val="decimal"/>
      <w:pStyle w:val="464"/>
      <w:lvlText w:val="%1.%2.%3"/>
      <w:lvlJc w:val="left"/>
      <w:pPr>
        <w:tabs>
          <w:tab w:val="left" w:pos="1021"/>
        </w:tabs>
        <w:ind w:left="1021" w:hanging="1021"/>
      </w:pPr>
      <w:rPr>
        <w:rFonts w:hint="default" w:ascii="Times New Roman" w:hAnsi="Times New Roman" w:eastAsia="宋体"/>
        <w:b/>
        <w:i w:val="0"/>
        <w:sz w:val="24"/>
        <w:szCs w:val="24"/>
      </w:rPr>
    </w:lvl>
    <w:lvl w:ilvl="3" w:tentative="0">
      <w:start w:val="1"/>
      <w:numFmt w:val="decimal"/>
      <w:pStyle w:val="465"/>
      <w:lvlText w:val="%1.%2.%3.%4"/>
      <w:lvlJc w:val="left"/>
      <w:pPr>
        <w:tabs>
          <w:tab w:val="left" w:pos="1247"/>
        </w:tabs>
        <w:ind w:left="964" w:hanging="964"/>
      </w:pPr>
      <w:rPr>
        <w:rFonts w:hint="default" w:ascii="Times New Roman" w:hAnsi="Times New Roman" w:eastAsia="宋体"/>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3A9D4FB6"/>
    <w:multiLevelType w:val="singleLevel"/>
    <w:tmpl w:val="3A9D4FB6"/>
    <w:lvl w:ilvl="0" w:tentative="0">
      <w:start w:val="1"/>
      <w:numFmt w:val="decimal"/>
      <w:pStyle w:val="367"/>
      <w:lvlText w:val="%1."/>
      <w:lvlJc w:val="left"/>
      <w:pPr>
        <w:tabs>
          <w:tab w:val="left" w:pos="2040"/>
        </w:tabs>
        <w:ind w:left="2040" w:leftChars="800" w:hanging="360" w:hangingChars="20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Yjg3ODdkYjE1MmRiMmVjNGNkMmJjZmJjY2ZjOGIifQ=="/>
  </w:docVars>
  <w:rsids>
    <w:rsidRoot w:val="00172A27"/>
    <w:rsid w:val="000010C2"/>
    <w:rsid w:val="0000149B"/>
    <w:rsid w:val="00002F83"/>
    <w:rsid w:val="00005DD6"/>
    <w:rsid w:val="000066D6"/>
    <w:rsid w:val="00007453"/>
    <w:rsid w:val="000101A0"/>
    <w:rsid w:val="00010637"/>
    <w:rsid w:val="00012447"/>
    <w:rsid w:val="0001303A"/>
    <w:rsid w:val="00013092"/>
    <w:rsid w:val="00013583"/>
    <w:rsid w:val="000138B4"/>
    <w:rsid w:val="00015C76"/>
    <w:rsid w:val="00016A5D"/>
    <w:rsid w:val="000171BD"/>
    <w:rsid w:val="00024193"/>
    <w:rsid w:val="000246BF"/>
    <w:rsid w:val="00024713"/>
    <w:rsid w:val="00025CA0"/>
    <w:rsid w:val="00026AE9"/>
    <w:rsid w:val="00026DED"/>
    <w:rsid w:val="000302A3"/>
    <w:rsid w:val="00030FD8"/>
    <w:rsid w:val="00031692"/>
    <w:rsid w:val="00032176"/>
    <w:rsid w:val="000332CF"/>
    <w:rsid w:val="00034AA7"/>
    <w:rsid w:val="00035ACD"/>
    <w:rsid w:val="000379F6"/>
    <w:rsid w:val="00040A61"/>
    <w:rsid w:val="00042F14"/>
    <w:rsid w:val="00044A12"/>
    <w:rsid w:val="00044FDC"/>
    <w:rsid w:val="00045417"/>
    <w:rsid w:val="00046D2D"/>
    <w:rsid w:val="00047399"/>
    <w:rsid w:val="00051A95"/>
    <w:rsid w:val="00052143"/>
    <w:rsid w:val="00054DAB"/>
    <w:rsid w:val="00056D65"/>
    <w:rsid w:val="0006541B"/>
    <w:rsid w:val="000658D5"/>
    <w:rsid w:val="000662B2"/>
    <w:rsid w:val="000714B9"/>
    <w:rsid w:val="000726E5"/>
    <w:rsid w:val="00072878"/>
    <w:rsid w:val="0007378F"/>
    <w:rsid w:val="00073968"/>
    <w:rsid w:val="00076AF1"/>
    <w:rsid w:val="000776DB"/>
    <w:rsid w:val="00080258"/>
    <w:rsid w:val="00080C95"/>
    <w:rsid w:val="00082C28"/>
    <w:rsid w:val="00087B52"/>
    <w:rsid w:val="00090643"/>
    <w:rsid w:val="00091D2E"/>
    <w:rsid w:val="00095AD2"/>
    <w:rsid w:val="000970F7"/>
    <w:rsid w:val="00097F10"/>
    <w:rsid w:val="000A2B08"/>
    <w:rsid w:val="000A62FF"/>
    <w:rsid w:val="000A74C0"/>
    <w:rsid w:val="000B05DE"/>
    <w:rsid w:val="000B22AF"/>
    <w:rsid w:val="000B332F"/>
    <w:rsid w:val="000B3388"/>
    <w:rsid w:val="000B65BB"/>
    <w:rsid w:val="000B6F18"/>
    <w:rsid w:val="000B7F36"/>
    <w:rsid w:val="000C3C28"/>
    <w:rsid w:val="000C44FF"/>
    <w:rsid w:val="000C6845"/>
    <w:rsid w:val="000C6979"/>
    <w:rsid w:val="000D0080"/>
    <w:rsid w:val="000D108B"/>
    <w:rsid w:val="000D1604"/>
    <w:rsid w:val="000D28B2"/>
    <w:rsid w:val="000D3A6A"/>
    <w:rsid w:val="000D42D4"/>
    <w:rsid w:val="000D4905"/>
    <w:rsid w:val="000E1124"/>
    <w:rsid w:val="000E127D"/>
    <w:rsid w:val="000E194C"/>
    <w:rsid w:val="000E29F2"/>
    <w:rsid w:val="000E604C"/>
    <w:rsid w:val="000E75AA"/>
    <w:rsid w:val="000F0D85"/>
    <w:rsid w:val="000F13EF"/>
    <w:rsid w:val="000F2D79"/>
    <w:rsid w:val="000F7706"/>
    <w:rsid w:val="00101211"/>
    <w:rsid w:val="00101F20"/>
    <w:rsid w:val="00103AC5"/>
    <w:rsid w:val="001059EC"/>
    <w:rsid w:val="00106730"/>
    <w:rsid w:val="00106E58"/>
    <w:rsid w:val="00107A4F"/>
    <w:rsid w:val="00112F91"/>
    <w:rsid w:val="00113A72"/>
    <w:rsid w:val="00115A71"/>
    <w:rsid w:val="001214AB"/>
    <w:rsid w:val="00122095"/>
    <w:rsid w:val="00122692"/>
    <w:rsid w:val="00122AC6"/>
    <w:rsid w:val="001235A6"/>
    <w:rsid w:val="0012572F"/>
    <w:rsid w:val="0012766B"/>
    <w:rsid w:val="0013141A"/>
    <w:rsid w:val="0013431F"/>
    <w:rsid w:val="001377B0"/>
    <w:rsid w:val="001406D8"/>
    <w:rsid w:val="00140CD4"/>
    <w:rsid w:val="00140E8C"/>
    <w:rsid w:val="0014181B"/>
    <w:rsid w:val="0015128D"/>
    <w:rsid w:val="0015445B"/>
    <w:rsid w:val="001553C3"/>
    <w:rsid w:val="00164000"/>
    <w:rsid w:val="001647B6"/>
    <w:rsid w:val="00164AED"/>
    <w:rsid w:val="00170832"/>
    <w:rsid w:val="00171EFF"/>
    <w:rsid w:val="00172511"/>
    <w:rsid w:val="00172A27"/>
    <w:rsid w:val="00172BDD"/>
    <w:rsid w:val="00174CF1"/>
    <w:rsid w:val="001769D5"/>
    <w:rsid w:val="001835C6"/>
    <w:rsid w:val="001841E0"/>
    <w:rsid w:val="0018513D"/>
    <w:rsid w:val="00191E1E"/>
    <w:rsid w:val="00191FF4"/>
    <w:rsid w:val="00193F87"/>
    <w:rsid w:val="001941C3"/>
    <w:rsid w:val="00194973"/>
    <w:rsid w:val="00194DCB"/>
    <w:rsid w:val="00194E66"/>
    <w:rsid w:val="00195838"/>
    <w:rsid w:val="00196A58"/>
    <w:rsid w:val="001A090D"/>
    <w:rsid w:val="001A377E"/>
    <w:rsid w:val="001A558D"/>
    <w:rsid w:val="001A7345"/>
    <w:rsid w:val="001A7B05"/>
    <w:rsid w:val="001B02FE"/>
    <w:rsid w:val="001B06B0"/>
    <w:rsid w:val="001B310F"/>
    <w:rsid w:val="001B4EC5"/>
    <w:rsid w:val="001C00EE"/>
    <w:rsid w:val="001C0963"/>
    <w:rsid w:val="001C0A9F"/>
    <w:rsid w:val="001C1D8C"/>
    <w:rsid w:val="001C3363"/>
    <w:rsid w:val="001D00CC"/>
    <w:rsid w:val="001D27F6"/>
    <w:rsid w:val="001D45AA"/>
    <w:rsid w:val="001D462E"/>
    <w:rsid w:val="001D5412"/>
    <w:rsid w:val="001D673D"/>
    <w:rsid w:val="001D70DE"/>
    <w:rsid w:val="001D72E3"/>
    <w:rsid w:val="001E0D4C"/>
    <w:rsid w:val="001E19C3"/>
    <w:rsid w:val="001E1A5F"/>
    <w:rsid w:val="001E1F1A"/>
    <w:rsid w:val="001E23E8"/>
    <w:rsid w:val="001E2C66"/>
    <w:rsid w:val="001E434F"/>
    <w:rsid w:val="001E4C76"/>
    <w:rsid w:val="001E4EAB"/>
    <w:rsid w:val="001E57E7"/>
    <w:rsid w:val="001E64A4"/>
    <w:rsid w:val="001E6985"/>
    <w:rsid w:val="001F167C"/>
    <w:rsid w:val="001F3D56"/>
    <w:rsid w:val="0020018E"/>
    <w:rsid w:val="0020047C"/>
    <w:rsid w:val="00200C0F"/>
    <w:rsid w:val="00201A16"/>
    <w:rsid w:val="002021A3"/>
    <w:rsid w:val="00202D14"/>
    <w:rsid w:val="002068B9"/>
    <w:rsid w:val="00206AE2"/>
    <w:rsid w:val="00207C66"/>
    <w:rsid w:val="0021090B"/>
    <w:rsid w:val="00211C5F"/>
    <w:rsid w:val="00212AC9"/>
    <w:rsid w:val="00212CB7"/>
    <w:rsid w:val="002160CF"/>
    <w:rsid w:val="00216AC5"/>
    <w:rsid w:val="00216E49"/>
    <w:rsid w:val="00217B37"/>
    <w:rsid w:val="00220437"/>
    <w:rsid w:val="00221BD6"/>
    <w:rsid w:val="00222545"/>
    <w:rsid w:val="00226937"/>
    <w:rsid w:val="00227E36"/>
    <w:rsid w:val="00232E71"/>
    <w:rsid w:val="00233DAB"/>
    <w:rsid w:val="00236741"/>
    <w:rsid w:val="00236E22"/>
    <w:rsid w:val="00241421"/>
    <w:rsid w:val="002414B6"/>
    <w:rsid w:val="00241E9C"/>
    <w:rsid w:val="0024350D"/>
    <w:rsid w:val="00243EDD"/>
    <w:rsid w:val="00252DBB"/>
    <w:rsid w:val="00253EF9"/>
    <w:rsid w:val="002542F8"/>
    <w:rsid w:val="00255370"/>
    <w:rsid w:val="00256B7C"/>
    <w:rsid w:val="00261F87"/>
    <w:rsid w:val="00263EE3"/>
    <w:rsid w:val="00264791"/>
    <w:rsid w:val="00266C07"/>
    <w:rsid w:val="002718B7"/>
    <w:rsid w:val="0027260A"/>
    <w:rsid w:val="00272F05"/>
    <w:rsid w:val="00277611"/>
    <w:rsid w:val="00277BAA"/>
    <w:rsid w:val="00280A5F"/>
    <w:rsid w:val="00281BA3"/>
    <w:rsid w:val="002826BE"/>
    <w:rsid w:val="0028374B"/>
    <w:rsid w:val="002857EC"/>
    <w:rsid w:val="002858A3"/>
    <w:rsid w:val="002866AE"/>
    <w:rsid w:val="00290DAA"/>
    <w:rsid w:val="002921FB"/>
    <w:rsid w:val="00294523"/>
    <w:rsid w:val="00295852"/>
    <w:rsid w:val="00295F6C"/>
    <w:rsid w:val="0029640F"/>
    <w:rsid w:val="002A39D8"/>
    <w:rsid w:val="002A690F"/>
    <w:rsid w:val="002A6C3A"/>
    <w:rsid w:val="002B3234"/>
    <w:rsid w:val="002B38B3"/>
    <w:rsid w:val="002B38E2"/>
    <w:rsid w:val="002B51A7"/>
    <w:rsid w:val="002B6F4A"/>
    <w:rsid w:val="002B7714"/>
    <w:rsid w:val="002C00F0"/>
    <w:rsid w:val="002C24F0"/>
    <w:rsid w:val="002C3180"/>
    <w:rsid w:val="002C39C0"/>
    <w:rsid w:val="002C4795"/>
    <w:rsid w:val="002C765E"/>
    <w:rsid w:val="002D10E9"/>
    <w:rsid w:val="002D1117"/>
    <w:rsid w:val="002D1F91"/>
    <w:rsid w:val="002D23B4"/>
    <w:rsid w:val="002D4FFB"/>
    <w:rsid w:val="002D564C"/>
    <w:rsid w:val="002D675F"/>
    <w:rsid w:val="002D6D79"/>
    <w:rsid w:val="002D78F4"/>
    <w:rsid w:val="002E0515"/>
    <w:rsid w:val="002E144A"/>
    <w:rsid w:val="002E548A"/>
    <w:rsid w:val="002E670F"/>
    <w:rsid w:val="002E7991"/>
    <w:rsid w:val="002F0BD4"/>
    <w:rsid w:val="002F155E"/>
    <w:rsid w:val="002F400E"/>
    <w:rsid w:val="002F42E9"/>
    <w:rsid w:val="002F467E"/>
    <w:rsid w:val="002F6027"/>
    <w:rsid w:val="002F7E58"/>
    <w:rsid w:val="00301407"/>
    <w:rsid w:val="003017E5"/>
    <w:rsid w:val="00302D68"/>
    <w:rsid w:val="0030327C"/>
    <w:rsid w:val="00307863"/>
    <w:rsid w:val="003078D9"/>
    <w:rsid w:val="00311DD4"/>
    <w:rsid w:val="003126F1"/>
    <w:rsid w:val="00313854"/>
    <w:rsid w:val="003142F6"/>
    <w:rsid w:val="00314370"/>
    <w:rsid w:val="00315B1D"/>
    <w:rsid w:val="00315DB7"/>
    <w:rsid w:val="00317031"/>
    <w:rsid w:val="00317A84"/>
    <w:rsid w:val="00321902"/>
    <w:rsid w:val="003219AF"/>
    <w:rsid w:val="00321FC6"/>
    <w:rsid w:val="003246C7"/>
    <w:rsid w:val="00325D18"/>
    <w:rsid w:val="00325E78"/>
    <w:rsid w:val="00326CAA"/>
    <w:rsid w:val="00327CC8"/>
    <w:rsid w:val="00327D5C"/>
    <w:rsid w:val="00331C05"/>
    <w:rsid w:val="00331DFB"/>
    <w:rsid w:val="0033238A"/>
    <w:rsid w:val="00332FFB"/>
    <w:rsid w:val="003335CA"/>
    <w:rsid w:val="00342884"/>
    <w:rsid w:val="00345744"/>
    <w:rsid w:val="00346E14"/>
    <w:rsid w:val="00347798"/>
    <w:rsid w:val="003531FD"/>
    <w:rsid w:val="00353D76"/>
    <w:rsid w:val="003549B9"/>
    <w:rsid w:val="00355736"/>
    <w:rsid w:val="00355813"/>
    <w:rsid w:val="003608D0"/>
    <w:rsid w:val="00360B18"/>
    <w:rsid w:val="00360DAB"/>
    <w:rsid w:val="00360F3A"/>
    <w:rsid w:val="00361D6F"/>
    <w:rsid w:val="00362183"/>
    <w:rsid w:val="00366985"/>
    <w:rsid w:val="0037534B"/>
    <w:rsid w:val="00381827"/>
    <w:rsid w:val="00383DDE"/>
    <w:rsid w:val="003858A2"/>
    <w:rsid w:val="00386059"/>
    <w:rsid w:val="003865F0"/>
    <w:rsid w:val="0038789C"/>
    <w:rsid w:val="003A0ADC"/>
    <w:rsid w:val="003A123A"/>
    <w:rsid w:val="003A5F6E"/>
    <w:rsid w:val="003A6399"/>
    <w:rsid w:val="003A7024"/>
    <w:rsid w:val="003B04CE"/>
    <w:rsid w:val="003B2355"/>
    <w:rsid w:val="003B2583"/>
    <w:rsid w:val="003B2F4B"/>
    <w:rsid w:val="003B498F"/>
    <w:rsid w:val="003B4EB5"/>
    <w:rsid w:val="003B561D"/>
    <w:rsid w:val="003B565B"/>
    <w:rsid w:val="003C1B8F"/>
    <w:rsid w:val="003C25E3"/>
    <w:rsid w:val="003D031B"/>
    <w:rsid w:val="003D0490"/>
    <w:rsid w:val="003D1006"/>
    <w:rsid w:val="003D1F90"/>
    <w:rsid w:val="003D269E"/>
    <w:rsid w:val="003D27AE"/>
    <w:rsid w:val="003D295B"/>
    <w:rsid w:val="003D2DD1"/>
    <w:rsid w:val="003D31EC"/>
    <w:rsid w:val="003E0201"/>
    <w:rsid w:val="003E0F4D"/>
    <w:rsid w:val="003E1F72"/>
    <w:rsid w:val="003E2B1C"/>
    <w:rsid w:val="003E43C0"/>
    <w:rsid w:val="003E64B2"/>
    <w:rsid w:val="003F14A8"/>
    <w:rsid w:val="003F2018"/>
    <w:rsid w:val="003F4CB4"/>
    <w:rsid w:val="003F5439"/>
    <w:rsid w:val="003F65BC"/>
    <w:rsid w:val="003F7460"/>
    <w:rsid w:val="003F7D63"/>
    <w:rsid w:val="0040261B"/>
    <w:rsid w:val="00402823"/>
    <w:rsid w:val="00403FCF"/>
    <w:rsid w:val="00404B6D"/>
    <w:rsid w:val="004062EA"/>
    <w:rsid w:val="00407BAB"/>
    <w:rsid w:val="00407EA4"/>
    <w:rsid w:val="0041013C"/>
    <w:rsid w:val="00411929"/>
    <w:rsid w:val="00411F5F"/>
    <w:rsid w:val="004133F5"/>
    <w:rsid w:val="004158A0"/>
    <w:rsid w:val="00416E7A"/>
    <w:rsid w:val="00417FC7"/>
    <w:rsid w:val="0042528A"/>
    <w:rsid w:val="00427773"/>
    <w:rsid w:val="00431877"/>
    <w:rsid w:val="00431E9F"/>
    <w:rsid w:val="00434596"/>
    <w:rsid w:val="00434662"/>
    <w:rsid w:val="00434861"/>
    <w:rsid w:val="00440B10"/>
    <w:rsid w:val="0044648E"/>
    <w:rsid w:val="004505E7"/>
    <w:rsid w:val="004562A3"/>
    <w:rsid w:val="004578BE"/>
    <w:rsid w:val="00463CE3"/>
    <w:rsid w:val="0047085F"/>
    <w:rsid w:val="00470AB1"/>
    <w:rsid w:val="004717A3"/>
    <w:rsid w:val="00471874"/>
    <w:rsid w:val="004726BE"/>
    <w:rsid w:val="00473476"/>
    <w:rsid w:val="0047488F"/>
    <w:rsid w:val="0047537C"/>
    <w:rsid w:val="004778F1"/>
    <w:rsid w:val="00477C68"/>
    <w:rsid w:val="00481237"/>
    <w:rsid w:val="0048140B"/>
    <w:rsid w:val="00486ED0"/>
    <w:rsid w:val="004905DC"/>
    <w:rsid w:val="00490BB8"/>
    <w:rsid w:val="00492E3C"/>
    <w:rsid w:val="004932D2"/>
    <w:rsid w:val="0049482A"/>
    <w:rsid w:val="0049493E"/>
    <w:rsid w:val="00497E4C"/>
    <w:rsid w:val="004A032E"/>
    <w:rsid w:val="004A1091"/>
    <w:rsid w:val="004A3432"/>
    <w:rsid w:val="004A3FD9"/>
    <w:rsid w:val="004A49C1"/>
    <w:rsid w:val="004A642A"/>
    <w:rsid w:val="004B0AFF"/>
    <w:rsid w:val="004B303E"/>
    <w:rsid w:val="004B36DC"/>
    <w:rsid w:val="004B5513"/>
    <w:rsid w:val="004B68E0"/>
    <w:rsid w:val="004B754D"/>
    <w:rsid w:val="004C3DD4"/>
    <w:rsid w:val="004C3EB1"/>
    <w:rsid w:val="004C71CC"/>
    <w:rsid w:val="004C7EEF"/>
    <w:rsid w:val="004D060C"/>
    <w:rsid w:val="004D36A1"/>
    <w:rsid w:val="004D488E"/>
    <w:rsid w:val="004D7421"/>
    <w:rsid w:val="004D7CD6"/>
    <w:rsid w:val="004E0766"/>
    <w:rsid w:val="004E3E75"/>
    <w:rsid w:val="004E456E"/>
    <w:rsid w:val="004E55DF"/>
    <w:rsid w:val="004E5978"/>
    <w:rsid w:val="004E6FDB"/>
    <w:rsid w:val="004F0D6A"/>
    <w:rsid w:val="004F29FB"/>
    <w:rsid w:val="004F592B"/>
    <w:rsid w:val="004F79DD"/>
    <w:rsid w:val="0050132D"/>
    <w:rsid w:val="0050185C"/>
    <w:rsid w:val="005025AB"/>
    <w:rsid w:val="00506A1B"/>
    <w:rsid w:val="00507053"/>
    <w:rsid w:val="00511DF0"/>
    <w:rsid w:val="00512586"/>
    <w:rsid w:val="005141CC"/>
    <w:rsid w:val="005144E5"/>
    <w:rsid w:val="00514DEC"/>
    <w:rsid w:val="00520841"/>
    <w:rsid w:val="00520D7B"/>
    <w:rsid w:val="005249E6"/>
    <w:rsid w:val="00525034"/>
    <w:rsid w:val="00532321"/>
    <w:rsid w:val="00532CE9"/>
    <w:rsid w:val="00536A88"/>
    <w:rsid w:val="005372A8"/>
    <w:rsid w:val="00541555"/>
    <w:rsid w:val="00543339"/>
    <w:rsid w:val="00543DCC"/>
    <w:rsid w:val="00543ED0"/>
    <w:rsid w:val="00544A0F"/>
    <w:rsid w:val="00552A2A"/>
    <w:rsid w:val="00557B2F"/>
    <w:rsid w:val="005630A9"/>
    <w:rsid w:val="005649CB"/>
    <w:rsid w:val="00564E96"/>
    <w:rsid w:val="0056759C"/>
    <w:rsid w:val="0057008B"/>
    <w:rsid w:val="00574411"/>
    <w:rsid w:val="00575B29"/>
    <w:rsid w:val="00580A64"/>
    <w:rsid w:val="00580B53"/>
    <w:rsid w:val="00582433"/>
    <w:rsid w:val="00583009"/>
    <w:rsid w:val="00584A32"/>
    <w:rsid w:val="0058611E"/>
    <w:rsid w:val="0058752D"/>
    <w:rsid w:val="00590890"/>
    <w:rsid w:val="0059216B"/>
    <w:rsid w:val="0059220B"/>
    <w:rsid w:val="00597E00"/>
    <w:rsid w:val="005A2848"/>
    <w:rsid w:val="005A2FE9"/>
    <w:rsid w:val="005A41E4"/>
    <w:rsid w:val="005A6DA9"/>
    <w:rsid w:val="005B073C"/>
    <w:rsid w:val="005B2CC2"/>
    <w:rsid w:val="005B37CF"/>
    <w:rsid w:val="005B393D"/>
    <w:rsid w:val="005B3D63"/>
    <w:rsid w:val="005B4396"/>
    <w:rsid w:val="005B72D8"/>
    <w:rsid w:val="005C3665"/>
    <w:rsid w:val="005C5393"/>
    <w:rsid w:val="005C5592"/>
    <w:rsid w:val="005C5E76"/>
    <w:rsid w:val="005D04E8"/>
    <w:rsid w:val="005D1FE0"/>
    <w:rsid w:val="005D27F4"/>
    <w:rsid w:val="005D740C"/>
    <w:rsid w:val="005D7D52"/>
    <w:rsid w:val="005E2D7D"/>
    <w:rsid w:val="005E35DE"/>
    <w:rsid w:val="005E5521"/>
    <w:rsid w:val="005E55F0"/>
    <w:rsid w:val="005E65AF"/>
    <w:rsid w:val="005E7958"/>
    <w:rsid w:val="005E7D80"/>
    <w:rsid w:val="005F0017"/>
    <w:rsid w:val="005F0B3B"/>
    <w:rsid w:val="005F3518"/>
    <w:rsid w:val="005F62C0"/>
    <w:rsid w:val="005F65DC"/>
    <w:rsid w:val="005F6832"/>
    <w:rsid w:val="00600C91"/>
    <w:rsid w:val="00601BC6"/>
    <w:rsid w:val="006069F7"/>
    <w:rsid w:val="00607D51"/>
    <w:rsid w:val="006107EA"/>
    <w:rsid w:val="006109ED"/>
    <w:rsid w:val="00611DB3"/>
    <w:rsid w:val="006127C2"/>
    <w:rsid w:val="00612BB6"/>
    <w:rsid w:val="00613722"/>
    <w:rsid w:val="00614DE8"/>
    <w:rsid w:val="0061620A"/>
    <w:rsid w:val="006217C6"/>
    <w:rsid w:val="00622018"/>
    <w:rsid w:val="00625D06"/>
    <w:rsid w:val="00630F61"/>
    <w:rsid w:val="006328C5"/>
    <w:rsid w:val="00632AFF"/>
    <w:rsid w:val="006339E5"/>
    <w:rsid w:val="0063412E"/>
    <w:rsid w:val="006346BC"/>
    <w:rsid w:val="00634859"/>
    <w:rsid w:val="006362FC"/>
    <w:rsid w:val="0064053E"/>
    <w:rsid w:val="0064314D"/>
    <w:rsid w:val="00643C6A"/>
    <w:rsid w:val="00646A2F"/>
    <w:rsid w:val="00646F59"/>
    <w:rsid w:val="0064713E"/>
    <w:rsid w:val="006471AA"/>
    <w:rsid w:val="00652482"/>
    <w:rsid w:val="00653021"/>
    <w:rsid w:val="006536D9"/>
    <w:rsid w:val="00653854"/>
    <w:rsid w:val="00656E9A"/>
    <w:rsid w:val="0065707F"/>
    <w:rsid w:val="00661A13"/>
    <w:rsid w:val="00661E99"/>
    <w:rsid w:val="0066345F"/>
    <w:rsid w:val="0066392E"/>
    <w:rsid w:val="00663EE3"/>
    <w:rsid w:val="00665540"/>
    <w:rsid w:val="006658E1"/>
    <w:rsid w:val="0066727A"/>
    <w:rsid w:val="00672A73"/>
    <w:rsid w:val="00672C49"/>
    <w:rsid w:val="00676073"/>
    <w:rsid w:val="00676BB0"/>
    <w:rsid w:val="00685893"/>
    <w:rsid w:val="00690F8E"/>
    <w:rsid w:val="00693395"/>
    <w:rsid w:val="00695328"/>
    <w:rsid w:val="00695AA1"/>
    <w:rsid w:val="006965D7"/>
    <w:rsid w:val="00697429"/>
    <w:rsid w:val="00697857"/>
    <w:rsid w:val="006A0B7F"/>
    <w:rsid w:val="006A279C"/>
    <w:rsid w:val="006A3C7D"/>
    <w:rsid w:val="006A3CFC"/>
    <w:rsid w:val="006A52DB"/>
    <w:rsid w:val="006A53EE"/>
    <w:rsid w:val="006A5B3B"/>
    <w:rsid w:val="006A5B44"/>
    <w:rsid w:val="006A6AC5"/>
    <w:rsid w:val="006B1459"/>
    <w:rsid w:val="006B3837"/>
    <w:rsid w:val="006B53F6"/>
    <w:rsid w:val="006B692C"/>
    <w:rsid w:val="006B79E1"/>
    <w:rsid w:val="006C054B"/>
    <w:rsid w:val="006C0784"/>
    <w:rsid w:val="006C0888"/>
    <w:rsid w:val="006C1C49"/>
    <w:rsid w:val="006D2276"/>
    <w:rsid w:val="006D25E4"/>
    <w:rsid w:val="006D2CF1"/>
    <w:rsid w:val="006D6046"/>
    <w:rsid w:val="006D7B26"/>
    <w:rsid w:val="006D7BB5"/>
    <w:rsid w:val="006E09D6"/>
    <w:rsid w:val="006E0B9D"/>
    <w:rsid w:val="006E23EF"/>
    <w:rsid w:val="006E2435"/>
    <w:rsid w:val="006E42D9"/>
    <w:rsid w:val="006E66B6"/>
    <w:rsid w:val="006E670A"/>
    <w:rsid w:val="006E7F1B"/>
    <w:rsid w:val="006F064B"/>
    <w:rsid w:val="006F1F16"/>
    <w:rsid w:val="006F21D7"/>
    <w:rsid w:val="006F49E5"/>
    <w:rsid w:val="006F598B"/>
    <w:rsid w:val="006F5A30"/>
    <w:rsid w:val="006F7A69"/>
    <w:rsid w:val="007002FE"/>
    <w:rsid w:val="0070098D"/>
    <w:rsid w:val="00700FE5"/>
    <w:rsid w:val="00701AAA"/>
    <w:rsid w:val="00702F8B"/>
    <w:rsid w:val="00704257"/>
    <w:rsid w:val="0070463E"/>
    <w:rsid w:val="00704FAC"/>
    <w:rsid w:val="00705E8B"/>
    <w:rsid w:val="007067E6"/>
    <w:rsid w:val="00707B64"/>
    <w:rsid w:val="0071133E"/>
    <w:rsid w:val="00711674"/>
    <w:rsid w:val="00712063"/>
    <w:rsid w:val="0071317D"/>
    <w:rsid w:val="007140E4"/>
    <w:rsid w:val="00723C40"/>
    <w:rsid w:val="00725208"/>
    <w:rsid w:val="00725BBA"/>
    <w:rsid w:val="00726300"/>
    <w:rsid w:val="00731556"/>
    <w:rsid w:val="00732AD6"/>
    <w:rsid w:val="00734B49"/>
    <w:rsid w:val="00734D36"/>
    <w:rsid w:val="007356D0"/>
    <w:rsid w:val="007367C4"/>
    <w:rsid w:val="00740775"/>
    <w:rsid w:val="00743BFA"/>
    <w:rsid w:val="00743E85"/>
    <w:rsid w:val="00744F9D"/>
    <w:rsid w:val="00745788"/>
    <w:rsid w:val="00745ED6"/>
    <w:rsid w:val="0075068B"/>
    <w:rsid w:val="007518CB"/>
    <w:rsid w:val="0075298A"/>
    <w:rsid w:val="00752A25"/>
    <w:rsid w:val="00754FF6"/>
    <w:rsid w:val="0075785A"/>
    <w:rsid w:val="00757A12"/>
    <w:rsid w:val="0076149D"/>
    <w:rsid w:val="00761703"/>
    <w:rsid w:val="00767391"/>
    <w:rsid w:val="00767C29"/>
    <w:rsid w:val="0077319C"/>
    <w:rsid w:val="0077361F"/>
    <w:rsid w:val="00773CD2"/>
    <w:rsid w:val="00775A45"/>
    <w:rsid w:val="00775A7B"/>
    <w:rsid w:val="0077795E"/>
    <w:rsid w:val="00777CBE"/>
    <w:rsid w:val="00780173"/>
    <w:rsid w:val="00787603"/>
    <w:rsid w:val="00787683"/>
    <w:rsid w:val="00791058"/>
    <w:rsid w:val="0079226E"/>
    <w:rsid w:val="00792329"/>
    <w:rsid w:val="0079301B"/>
    <w:rsid w:val="00793096"/>
    <w:rsid w:val="0079331F"/>
    <w:rsid w:val="00793CA8"/>
    <w:rsid w:val="00794803"/>
    <w:rsid w:val="007954FB"/>
    <w:rsid w:val="00796B62"/>
    <w:rsid w:val="00796DDE"/>
    <w:rsid w:val="007A056B"/>
    <w:rsid w:val="007A3B38"/>
    <w:rsid w:val="007A52D0"/>
    <w:rsid w:val="007A6983"/>
    <w:rsid w:val="007A6FC1"/>
    <w:rsid w:val="007B03F0"/>
    <w:rsid w:val="007B05A0"/>
    <w:rsid w:val="007B10E3"/>
    <w:rsid w:val="007B4761"/>
    <w:rsid w:val="007B5541"/>
    <w:rsid w:val="007B6170"/>
    <w:rsid w:val="007B6323"/>
    <w:rsid w:val="007B6AEA"/>
    <w:rsid w:val="007B7BB5"/>
    <w:rsid w:val="007C0795"/>
    <w:rsid w:val="007C15F0"/>
    <w:rsid w:val="007C2710"/>
    <w:rsid w:val="007C38D2"/>
    <w:rsid w:val="007C4266"/>
    <w:rsid w:val="007C4C3B"/>
    <w:rsid w:val="007C562A"/>
    <w:rsid w:val="007C5DC8"/>
    <w:rsid w:val="007C669B"/>
    <w:rsid w:val="007C6E77"/>
    <w:rsid w:val="007D1564"/>
    <w:rsid w:val="007D4683"/>
    <w:rsid w:val="007D6BCF"/>
    <w:rsid w:val="007E0224"/>
    <w:rsid w:val="007E33C0"/>
    <w:rsid w:val="007E5511"/>
    <w:rsid w:val="007E58E8"/>
    <w:rsid w:val="007E620C"/>
    <w:rsid w:val="007E6729"/>
    <w:rsid w:val="007E7F15"/>
    <w:rsid w:val="007F1852"/>
    <w:rsid w:val="007F2948"/>
    <w:rsid w:val="007F2CDE"/>
    <w:rsid w:val="007F3B58"/>
    <w:rsid w:val="007F4D1C"/>
    <w:rsid w:val="007F4F8D"/>
    <w:rsid w:val="0080089A"/>
    <w:rsid w:val="00801712"/>
    <w:rsid w:val="008020CC"/>
    <w:rsid w:val="0080268B"/>
    <w:rsid w:val="00805652"/>
    <w:rsid w:val="00805B10"/>
    <w:rsid w:val="00805CE0"/>
    <w:rsid w:val="00807E78"/>
    <w:rsid w:val="00807E90"/>
    <w:rsid w:val="008139D3"/>
    <w:rsid w:val="00813E79"/>
    <w:rsid w:val="00814347"/>
    <w:rsid w:val="00815596"/>
    <w:rsid w:val="00815EE9"/>
    <w:rsid w:val="0081672E"/>
    <w:rsid w:val="0081674D"/>
    <w:rsid w:val="008175D1"/>
    <w:rsid w:val="00822BFC"/>
    <w:rsid w:val="008230E3"/>
    <w:rsid w:val="0082544A"/>
    <w:rsid w:val="00826866"/>
    <w:rsid w:val="008278B5"/>
    <w:rsid w:val="00831A5D"/>
    <w:rsid w:val="00834F38"/>
    <w:rsid w:val="00836AD8"/>
    <w:rsid w:val="00837F44"/>
    <w:rsid w:val="008421D4"/>
    <w:rsid w:val="008429F2"/>
    <w:rsid w:val="00842BE4"/>
    <w:rsid w:val="008444AC"/>
    <w:rsid w:val="008444D3"/>
    <w:rsid w:val="00846B73"/>
    <w:rsid w:val="00846DBC"/>
    <w:rsid w:val="00847FF0"/>
    <w:rsid w:val="00850C09"/>
    <w:rsid w:val="00852079"/>
    <w:rsid w:val="008551BE"/>
    <w:rsid w:val="00855DBB"/>
    <w:rsid w:val="0085618A"/>
    <w:rsid w:val="008615A5"/>
    <w:rsid w:val="008622A9"/>
    <w:rsid w:val="008635A3"/>
    <w:rsid w:val="00863899"/>
    <w:rsid w:val="00863C80"/>
    <w:rsid w:val="008648E7"/>
    <w:rsid w:val="00864CB7"/>
    <w:rsid w:val="00871AFF"/>
    <w:rsid w:val="008721F6"/>
    <w:rsid w:val="00872519"/>
    <w:rsid w:val="008725FC"/>
    <w:rsid w:val="00872932"/>
    <w:rsid w:val="00875731"/>
    <w:rsid w:val="00875CE7"/>
    <w:rsid w:val="00876FC8"/>
    <w:rsid w:val="00877D47"/>
    <w:rsid w:val="0088017E"/>
    <w:rsid w:val="0088059D"/>
    <w:rsid w:val="008841D2"/>
    <w:rsid w:val="00884E63"/>
    <w:rsid w:val="00887F28"/>
    <w:rsid w:val="0089072F"/>
    <w:rsid w:val="0089161D"/>
    <w:rsid w:val="00891954"/>
    <w:rsid w:val="0089208B"/>
    <w:rsid w:val="008920B2"/>
    <w:rsid w:val="00893507"/>
    <w:rsid w:val="00894146"/>
    <w:rsid w:val="008944CC"/>
    <w:rsid w:val="008953CE"/>
    <w:rsid w:val="00896D39"/>
    <w:rsid w:val="008A016D"/>
    <w:rsid w:val="008A35E3"/>
    <w:rsid w:val="008A4BB2"/>
    <w:rsid w:val="008A4BF7"/>
    <w:rsid w:val="008A50CB"/>
    <w:rsid w:val="008A511D"/>
    <w:rsid w:val="008A6F61"/>
    <w:rsid w:val="008B1B2D"/>
    <w:rsid w:val="008B28E4"/>
    <w:rsid w:val="008B303C"/>
    <w:rsid w:val="008B333D"/>
    <w:rsid w:val="008B52F8"/>
    <w:rsid w:val="008C031A"/>
    <w:rsid w:val="008C1DDD"/>
    <w:rsid w:val="008C1E9E"/>
    <w:rsid w:val="008C21A2"/>
    <w:rsid w:val="008C2531"/>
    <w:rsid w:val="008C375C"/>
    <w:rsid w:val="008C3B82"/>
    <w:rsid w:val="008C4E6B"/>
    <w:rsid w:val="008C5654"/>
    <w:rsid w:val="008C5C12"/>
    <w:rsid w:val="008C61BD"/>
    <w:rsid w:val="008C6EF5"/>
    <w:rsid w:val="008C71F8"/>
    <w:rsid w:val="008C72E3"/>
    <w:rsid w:val="008C73CD"/>
    <w:rsid w:val="008D129F"/>
    <w:rsid w:val="008D1546"/>
    <w:rsid w:val="008D16AB"/>
    <w:rsid w:val="008D1FF8"/>
    <w:rsid w:val="008D5E09"/>
    <w:rsid w:val="008D61B5"/>
    <w:rsid w:val="008E0391"/>
    <w:rsid w:val="008F048C"/>
    <w:rsid w:val="008F0ED5"/>
    <w:rsid w:val="008F2142"/>
    <w:rsid w:val="008F3595"/>
    <w:rsid w:val="008F419E"/>
    <w:rsid w:val="008F44AA"/>
    <w:rsid w:val="008F601C"/>
    <w:rsid w:val="008F763B"/>
    <w:rsid w:val="008F7D77"/>
    <w:rsid w:val="00900C2C"/>
    <w:rsid w:val="009031B5"/>
    <w:rsid w:val="00903760"/>
    <w:rsid w:val="009053C0"/>
    <w:rsid w:val="00910B0F"/>
    <w:rsid w:val="00910BD9"/>
    <w:rsid w:val="00911C71"/>
    <w:rsid w:val="0091290C"/>
    <w:rsid w:val="0091483F"/>
    <w:rsid w:val="009152DF"/>
    <w:rsid w:val="009214DC"/>
    <w:rsid w:val="0092376C"/>
    <w:rsid w:val="00923B33"/>
    <w:rsid w:val="0092457B"/>
    <w:rsid w:val="0092463C"/>
    <w:rsid w:val="00925A19"/>
    <w:rsid w:val="00925C1A"/>
    <w:rsid w:val="00926833"/>
    <w:rsid w:val="00926D55"/>
    <w:rsid w:val="00930FB3"/>
    <w:rsid w:val="00933B48"/>
    <w:rsid w:val="0093548D"/>
    <w:rsid w:val="00935C47"/>
    <w:rsid w:val="00936B0C"/>
    <w:rsid w:val="00940A46"/>
    <w:rsid w:val="00942D99"/>
    <w:rsid w:val="00944AD3"/>
    <w:rsid w:val="009472F8"/>
    <w:rsid w:val="00952A5F"/>
    <w:rsid w:val="0095347B"/>
    <w:rsid w:val="0095427D"/>
    <w:rsid w:val="009545D8"/>
    <w:rsid w:val="0095464A"/>
    <w:rsid w:val="009577BE"/>
    <w:rsid w:val="00957EC5"/>
    <w:rsid w:val="00961993"/>
    <w:rsid w:val="00963FA8"/>
    <w:rsid w:val="00964D92"/>
    <w:rsid w:val="0096576E"/>
    <w:rsid w:val="009665AB"/>
    <w:rsid w:val="00966A72"/>
    <w:rsid w:val="009705BD"/>
    <w:rsid w:val="00970B74"/>
    <w:rsid w:val="009712DF"/>
    <w:rsid w:val="00971B0F"/>
    <w:rsid w:val="009734BE"/>
    <w:rsid w:val="00973A7F"/>
    <w:rsid w:val="009763C4"/>
    <w:rsid w:val="00986CAD"/>
    <w:rsid w:val="00987C9D"/>
    <w:rsid w:val="00991819"/>
    <w:rsid w:val="00993028"/>
    <w:rsid w:val="0099446E"/>
    <w:rsid w:val="0099467A"/>
    <w:rsid w:val="00996257"/>
    <w:rsid w:val="009975B6"/>
    <w:rsid w:val="009979C7"/>
    <w:rsid w:val="009A298A"/>
    <w:rsid w:val="009A37C0"/>
    <w:rsid w:val="009A5298"/>
    <w:rsid w:val="009A551C"/>
    <w:rsid w:val="009A7D66"/>
    <w:rsid w:val="009B0499"/>
    <w:rsid w:val="009B158E"/>
    <w:rsid w:val="009B1990"/>
    <w:rsid w:val="009B53AB"/>
    <w:rsid w:val="009B5BC7"/>
    <w:rsid w:val="009B7141"/>
    <w:rsid w:val="009B7AE5"/>
    <w:rsid w:val="009C098C"/>
    <w:rsid w:val="009C2DE3"/>
    <w:rsid w:val="009C59F1"/>
    <w:rsid w:val="009C7EF0"/>
    <w:rsid w:val="009D1F4B"/>
    <w:rsid w:val="009D2591"/>
    <w:rsid w:val="009D3292"/>
    <w:rsid w:val="009D3CA4"/>
    <w:rsid w:val="009D44FE"/>
    <w:rsid w:val="009D7966"/>
    <w:rsid w:val="009E03C6"/>
    <w:rsid w:val="009E0E0B"/>
    <w:rsid w:val="009E0FFA"/>
    <w:rsid w:val="009E155E"/>
    <w:rsid w:val="009E6C55"/>
    <w:rsid w:val="009E6FED"/>
    <w:rsid w:val="009E70A4"/>
    <w:rsid w:val="009E7186"/>
    <w:rsid w:val="009F0DF1"/>
    <w:rsid w:val="009F1B44"/>
    <w:rsid w:val="009F3512"/>
    <w:rsid w:val="009F36C5"/>
    <w:rsid w:val="009F5C29"/>
    <w:rsid w:val="00A0601E"/>
    <w:rsid w:val="00A06B8D"/>
    <w:rsid w:val="00A1158B"/>
    <w:rsid w:val="00A12053"/>
    <w:rsid w:val="00A14F9E"/>
    <w:rsid w:val="00A1618D"/>
    <w:rsid w:val="00A167D1"/>
    <w:rsid w:val="00A16BCB"/>
    <w:rsid w:val="00A200B5"/>
    <w:rsid w:val="00A215E6"/>
    <w:rsid w:val="00A22AC6"/>
    <w:rsid w:val="00A24CCE"/>
    <w:rsid w:val="00A25F34"/>
    <w:rsid w:val="00A27E39"/>
    <w:rsid w:val="00A30407"/>
    <w:rsid w:val="00A319B8"/>
    <w:rsid w:val="00A31A12"/>
    <w:rsid w:val="00A32325"/>
    <w:rsid w:val="00A3265E"/>
    <w:rsid w:val="00A32900"/>
    <w:rsid w:val="00A3435E"/>
    <w:rsid w:val="00A34C98"/>
    <w:rsid w:val="00A36422"/>
    <w:rsid w:val="00A42B74"/>
    <w:rsid w:val="00A43035"/>
    <w:rsid w:val="00A449F0"/>
    <w:rsid w:val="00A52300"/>
    <w:rsid w:val="00A5582B"/>
    <w:rsid w:val="00A55F32"/>
    <w:rsid w:val="00A6119C"/>
    <w:rsid w:val="00A6179A"/>
    <w:rsid w:val="00A6280B"/>
    <w:rsid w:val="00A6461D"/>
    <w:rsid w:val="00A65415"/>
    <w:rsid w:val="00A66AB4"/>
    <w:rsid w:val="00A675D6"/>
    <w:rsid w:val="00A7121F"/>
    <w:rsid w:val="00A72895"/>
    <w:rsid w:val="00A73C92"/>
    <w:rsid w:val="00A751D4"/>
    <w:rsid w:val="00A76BB6"/>
    <w:rsid w:val="00A77526"/>
    <w:rsid w:val="00A81FA8"/>
    <w:rsid w:val="00A85423"/>
    <w:rsid w:val="00A85CE7"/>
    <w:rsid w:val="00A86060"/>
    <w:rsid w:val="00A9166E"/>
    <w:rsid w:val="00A92AFE"/>
    <w:rsid w:val="00A94BDC"/>
    <w:rsid w:val="00A97197"/>
    <w:rsid w:val="00AA0DA0"/>
    <w:rsid w:val="00AA13AC"/>
    <w:rsid w:val="00AA1454"/>
    <w:rsid w:val="00AA213F"/>
    <w:rsid w:val="00AA4450"/>
    <w:rsid w:val="00AA4E68"/>
    <w:rsid w:val="00AA51DC"/>
    <w:rsid w:val="00AA59F1"/>
    <w:rsid w:val="00AA6024"/>
    <w:rsid w:val="00AA63B8"/>
    <w:rsid w:val="00AA7744"/>
    <w:rsid w:val="00AA7CE6"/>
    <w:rsid w:val="00AB001A"/>
    <w:rsid w:val="00AB18E0"/>
    <w:rsid w:val="00AB3082"/>
    <w:rsid w:val="00AB66A6"/>
    <w:rsid w:val="00AB7D78"/>
    <w:rsid w:val="00AC12BC"/>
    <w:rsid w:val="00AC14F0"/>
    <w:rsid w:val="00AC2B31"/>
    <w:rsid w:val="00AC6689"/>
    <w:rsid w:val="00AD2C74"/>
    <w:rsid w:val="00AD32C3"/>
    <w:rsid w:val="00AD6043"/>
    <w:rsid w:val="00AD61E1"/>
    <w:rsid w:val="00AD652B"/>
    <w:rsid w:val="00AE1450"/>
    <w:rsid w:val="00AE1C91"/>
    <w:rsid w:val="00AE1CCD"/>
    <w:rsid w:val="00AE2D78"/>
    <w:rsid w:val="00AE36FE"/>
    <w:rsid w:val="00AE4D75"/>
    <w:rsid w:val="00AE5ACB"/>
    <w:rsid w:val="00AE5D78"/>
    <w:rsid w:val="00AE794C"/>
    <w:rsid w:val="00AE7A75"/>
    <w:rsid w:val="00AF0806"/>
    <w:rsid w:val="00AF14E6"/>
    <w:rsid w:val="00AF30AD"/>
    <w:rsid w:val="00AF752F"/>
    <w:rsid w:val="00B00AB9"/>
    <w:rsid w:val="00B00B80"/>
    <w:rsid w:val="00B01F3D"/>
    <w:rsid w:val="00B06BA4"/>
    <w:rsid w:val="00B0757C"/>
    <w:rsid w:val="00B10AA8"/>
    <w:rsid w:val="00B13F96"/>
    <w:rsid w:val="00B14565"/>
    <w:rsid w:val="00B1614F"/>
    <w:rsid w:val="00B16231"/>
    <w:rsid w:val="00B20097"/>
    <w:rsid w:val="00B20B1C"/>
    <w:rsid w:val="00B20FAB"/>
    <w:rsid w:val="00B22D47"/>
    <w:rsid w:val="00B23272"/>
    <w:rsid w:val="00B30DB3"/>
    <w:rsid w:val="00B3168B"/>
    <w:rsid w:val="00B31779"/>
    <w:rsid w:val="00B31F25"/>
    <w:rsid w:val="00B32290"/>
    <w:rsid w:val="00B330FD"/>
    <w:rsid w:val="00B348F9"/>
    <w:rsid w:val="00B4132D"/>
    <w:rsid w:val="00B4206A"/>
    <w:rsid w:val="00B42B40"/>
    <w:rsid w:val="00B43582"/>
    <w:rsid w:val="00B43B7C"/>
    <w:rsid w:val="00B44996"/>
    <w:rsid w:val="00B44CE1"/>
    <w:rsid w:val="00B46645"/>
    <w:rsid w:val="00B46B4C"/>
    <w:rsid w:val="00B47523"/>
    <w:rsid w:val="00B5001C"/>
    <w:rsid w:val="00B512D9"/>
    <w:rsid w:val="00B525E2"/>
    <w:rsid w:val="00B52771"/>
    <w:rsid w:val="00B537EB"/>
    <w:rsid w:val="00B54DEF"/>
    <w:rsid w:val="00B54F90"/>
    <w:rsid w:val="00B554C8"/>
    <w:rsid w:val="00B5569B"/>
    <w:rsid w:val="00B56584"/>
    <w:rsid w:val="00B571C6"/>
    <w:rsid w:val="00B6146A"/>
    <w:rsid w:val="00B61B5C"/>
    <w:rsid w:val="00B62E00"/>
    <w:rsid w:val="00B6321B"/>
    <w:rsid w:val="00B707DB"/>
    <w:rsid w:val="00B726AF"/>
    <w:rsid w:val="00B72A2B"/>
    <w:rsid w:val="00B73417"/>
    <w:rsid w:val="00B75C0A"/>
    <w:rsid w:val="00B75CB1"/>
    <w:rsid w:val="00B80793"/>
    <w:rsid w:val="00B84F1F"/>
    <w:rsid w:val="00B8651D"/>
    <w:rsid w:val="00B904CD"/>
    <w:rsid w:val="00B90F34"/>
    <w:rsid w:val="00B923E2"/>
    <w:rsid w:val="00B93C34"/>
    <w:rsid w:val="00B94C83"/>
    <w:rsid w:val="00B95E43"/>
    <w:rsid w:val="00B96C84"/>
    <w:rsid w:val="00B9793C"/>
    <w:rsid w:val="00BA04E5"/>
    <w:rsid w:val="00BA07AE"/>
    <w:rsid w:val="00BA1B4F"/>
    <w:rsid w:val="00BA6B4B"/>
    <w:rsid w:val="00BB1EEF"/>
    <w:rsid w:val="00BB2B17"/>
    <w:rsid w:val="00BB50E1"/>
    <w:rsid w:val="00BB5436"/>
    <w:rsid w:val="00BB6012"/>
    <w:rsid w:val="00BB6240"/>
    <w:rsid w:val="00BB76B6"/>
    <w:rsid w:val="00BC0357"/>
    <w:rsid w:val="00BC228A"/>
    <w:rsid w:val="00BC38AF"/>
    <w:rsid w:val="00BC4E70"/>
    <w:rsid w:val="00BC6D6B"/>
    <w:rsid w:val="00BC7262"/>
    <w:rsid w:val="00BC7C49"/>
    <w:rsid w:val="00BD08BF"/>
    <w:rsid w:val="00BD0BBD"/>
    <w:rsid w:val="00BD254E"/>
    <w:rsid w:val="00BD41B5"/>
    <w:rsid w:val="00BD481D"/>
    <w:rsid w:val="00BD5ABE"/>
    <w:rsid w:val="00BD69CD"/>
    <w:rsid w:val="00BE0180"/>
    <w:rsid w:val="00BE22ED"/>
    <w:rsid w:val="00BE347E"/>
    <w:rsid w:val="00BE4D2F"/>
    <w:rsid w:val="00BE53C5"/>
    <w:rsid w:val="00BF09CA"/>
    <w:rsid w:val="00BF10E1"/>
    <w:rsid w:val="00BF4140"/>
    <w:rsid w:val="00C01383"/>
    <w:rsid w:val="00C03CEC"/>
    <w:rsid w:val="00C050C0"/>
    <w:rsid w:val="00C107CB"/>
    <w:rsid w:val="00C124D3"/>
    <w:rsid w:val="00C14515"/>
    <w:rsid w:val="00C14F7B"/>
    <w:rsid w:val="00C14F8D"/>
    <w:rsid w:val="00C204CF"/>
    <w:rsid w:val="00C205A7"/>
    <w:rsid w:val="00C230CA"/>
    <w:rsid w:val="00C2352B"/>
    <w:rsid w:val="00C23913"/>
    <w:rsid w:val="00C2595C"/>
    <w:rsid w:val="00C34619"/>
    <w:rsid w:val="00C37D7C"/>
    <w:rsid w:val="00C40206"/>
    <w:rsid w:val="00C40767"/>
    <w:rsid w:val="00C42980"/>
    <w:rsid w:val="00C42E74"/>
    <w:rsid w:val="00C45901"/>
    <w:rsid w:val="00C475EA"/>
    <w:rsid w:val="00C47F70"/>
    <w:rsid w:val="00C52F1B"/>
    <w:rsid w:val="00C548B6"/>
    <w:rsid w:val="00C54F5D"/>
    <w:rsid w:val="00C56824"/>
    <w:rsid w:val="00C602C1"/>
    <w:rsid w:val="00C60A0D"/>
    <w:rsid w:val="00C64E50"/>
    <w:rsid w:val="00C66F84"/>
    <w:rsid w:val="00C71EFF"/>
    <w:rsid w:val="00C720BC"/>
    <w:rsid w:val="00C721F3"/>
    <w:rsid w:val="00C7293C"/>
    <w:rsid w:val="00C75A31"/>
    <w:rsid w:val="00C80D16"/>
    <w:rsid w:val="00C8221A"/>
    <w:rsid w:val="00C86731"/>
    <w:rsid w:val="00C86882"/>
    <w:rsid w:val="00C872BF"/>
    <w:rsid w:val="00C875B3"/>
    <w:rsid w:val="00C877E4"/>
    <w:rsid w:val="00C914AC"/>
    <w:rsid w:val="00C91E40"/>
    <w:rsid w:val="00C92A17"/>
    <w:rsid w:val="00C93514"/>
    <w:rsid w:val="00C95D63"/>
    <w:rsid w:val="00C97155"/>
    <w:rsid w:val="00C97EA0"/>
    <w:rsid w:val="00CA185B"/>
    <w:rsid w:val="00CA2718"/>
    <w:rsid w:val="00CA2752"/>
    <w:rsid w:val="00CA7F85"/>
    <w:rsid w:val="00CB1D8A"/>
    <w:rsid w:val="00CB24C1"/>
    <w:rsid w:val="00CB33E3"/>
    <w:rsid w:val="00CB351D"/>
    <w:rsid w:val="00CB461D"/>
    <w:rsid w:val="00CB46F0"/>
    <w:rsid w:val="00CB4E43"/>
    <w:rsid w:val="00CB58F1"/>
    <w:rsid w:val="00CB72A7"/>
    <w:rsid w:val="00CC062D"/>
    <w:rsid w:val="00CC2229"/>
    <w:rsid w:val="00CC2D05"/>
    <w:rsid w:val="00CC35B2"/>
    <w:rsid w:val="00CC36F4"/>
    <w:rsid w:val="00CC3900"/>
    <w:rsid w:val="00CC5774"/>
    <w:rsid w:val="00CC5C6A"/>
    <w:rsid w:val="00CC7C00"/>
    <w:rsid w:val="00CD04DD"/>
    <w:rsid w:val="00CD1448"/>
    <w:rsid w:val="00CD17B5"/>
    <w:rsid w:val="00CD2BE4"/>
    <w:rsid w:val="00CD3D54"/>
    <w:rsid w:val="00CD605B"/>
    <w:rsid w:val="00CD67AE"/>
    <w:rsid w:val="00CD6853"/>
    <w:rsid w:val="00CD7684"/>
    <w:rsid w:val="00CE30D6"/>
    <w:rsid w:val="00CE4C3C"/>
    <w:rsid w:val="00CE6387"/>
    <w:rsid w:val="00CE72CB"/>
    <w:rsid w:val="00CF0485"/>
    <w:rsid w:val="00CF068F"/>
    <w:rsid w:val="00CF143E"/>
    <w:rsid w:val="00CF7C02"/>
    <w:rsid w:val="00D00BB6"/>
    <w:rsid w:val="00D01090"/>
    <w:rsid w:val="00D010C0"/>
    <w:rsid w:val="00D027BB"/>
    <w:rsid w:val="00D050C1"/>
    <w:rsid w:val="00D06963"/>
    <w:rsid w:val="00D0705E"/>
    <w:rsid w:val="00D070BC"/>
    <w:rsid w:val="00D1099E"/>
    <w:rsid w:val="00D131A5"/>
    <w:rsid w:val="00D131C5"/>
    <w:rsid w:val="00D1369F"/>
    <w:rsid w:val="00D1407A"/>
    <w:rsid w:val="00D14F32"/>
    <w:rsid w:val="00D24376"/>
    <w:rsid w:val="00D25829"/>
    <w:rsid w:val="00D26260"/>
    <w:rsid w:val="00D26661"/>
    <w:rsid w:val="00D26C0A"/>
    <w:rsid w:val="00D3096E"/>
    <w:rsid w:val="00D31659"/>
    <w:rsid w:val="00D316FD"/>
    <w:rsid w:val="00D33994"/>
    <w:rsid w:val="00D347EB"/>
    <w:rsid w:val="00D35811"/>
    <w:rsid w:val="00D431A9"/>
    <w:rsid w:val="00D4377E"/>
    <w:rsid w:val="00D45DFE"/>
    <w:rsid w:val="00D45E60"/>
    <w:rsid w:val="00D479ED"/>
    <w:rsid w:val="00D5092B"/>
    <w:rsid w:val="00D52BB1"/>
    <w:rsid w:val="00D54FF4"/>
    <w:rsid w:val="00D55161"/>
    <w:rsid w:val="00D5666A"/>
    <w:rsid w:val="00D63816"/>
    <w:rsid w:val="00D646FB"/>
    <w:rsid w:val="00D65BBB"/>
    <w:rsid w:val="00D65D0F"/>
    <w:rsid w:val="00D66764"/>
    <w:rsid w:val="00D70638"/>
    <w:rsid w:val="00D70A80"/>
    <w:rsid w:val="00D75B61"/>
    <w:rsid w:val="00D7604A"/>
    <w:rsid w:val="00D770F8"/>
    <w:rsid w:val="00D77184"/>
    <w:rsid w:val="00D77D12"/>
    <w:rsid w:val="00D77D5B"/>
    <w:rsid w:val="00D80DB5"/>
    <w:rsid w:val="00D8456C"/>
    <w:rsid w:val="00D84CAD"/>
    <w:rsid w:val="00D86F28"/>
    <w:rsid w:val="00D92638"/>
    <w:rsid w:val="00D942E4"/>
    <w:rsid w:val="00D94F30"/>
    <w:rsid w:val="00D977F9"/>
    <w:rsid w:val="00D97F24"/>
    <w:rsid w:val="00DA51E6"/>
    <w:rsid w:val="00DA6ADA"/>
    <w:rsid w:val="00DA7EBB"/>
    <w:rsid w:val="00DB1576"/>
    <w:rsid w:val="00DB280F"/>
    <w:rsid w:val="00DB369E"/>
    <w:rsid w:val="00DB3F7E"/>
    <w:rsid w:val="00DB5640"/>
    <w:rsid w:val="00DB7C63"/>
    <w:rsid w:val="00DC1854"/>
    <w:rsid w:val="00DC2C1D"/>
    <w:rsid w:val="00DC3707"/>
    <w:rsid w:val="00DC4AE2"/>
    <w:rsid w:val="00DC6D34"/>
    <w:rsid w:val="00DD0E6F"/>
    <w:rsid w:val="00DD1273"/>
    <w:rsid w:val="00DD1514"/>
    <w:rsid w:val="00DD1C20"/>
    <w:rsid w:val="00DD23D7"/>
    <w:rsid w:val="00DD3984"/>
    <w:rsid w:val="00DD4755"/>
    <w:rsid w:val="00DD6E41"/>
    <w:rsid w:val="00DE3008"/>
    <w:rsid w:val="00DE5231"/>
    <w:rsid w:val="00DE68D5"/>
    <w:rsid w:val="00DE7FDC"/>
    <w:rsid w:val="00DF1642"/>
    <w:rsid w:val="00DF1C1B"/>
    <w:rsid w:val="00DF3BE8"/>
    <w:rsid w:val="00DF44BC"/>
    <w:rsid w:val="00DF6735"/>
    <w:rsid w:val="00DF68CB"/>
    <w:rsid w:val="00DF7C7A"/>
    <w:rsid w:val="00E01071"/>
    <w:rsid w:val="00E018AC"/>
    <w:rsid w:val="00E032B0"/>
    <w:rsid w:val="00E03BF1"/>
    <w:rsid w:val="00E06F19"/>
    <w:rsid w:val="00E105D7"/>
    <w:rsid w:val="00E12722"/>
    <w:rsid w:val="00E127EA"/>
    <w:rsid w:val="00E14F03"/>
    <w:rsid w:val="00E157DE"/>
    <w:rsid w:val="00E15E62"/>
    <w:rsid w:val="00E16A9A"/>
    <w:rsid w:val="00E17F47"/>
    <w:rsid w:val="00E2280A"/>
    <w:rsid w:val="00E231B2"/>
    <w:rsid w:val="00E233C1"/>
    <w:rsid w:val="00E2357E"/>
    <w:rsid w:val="00E27B79"/>
    <w:rsid w:val="00E33495"/>
    <w:rsid w:val="00E3421A"/>
    <w:rsid w:val="00E352F1"/>
    <w:rsid w:val="00E41E2B"/>
    <w:rsid w:val="00E42C34"/>
    <w:rsid w:val="00E437E7"/>
    <w:rsid w:val="00E46FEA"/>
    <w:rsid w:val="00E54428"/>
    <w:rsid w:val="00E548E4"/>
    <w:rsid w:val="00E5560F"/>
    <w:rsid w:val="00E60284"/>
    <w:rsid w:val="00E62290"/>
    <w:rsid w:val="00E62F8F"/>
    <w:rsid w:val="00E63601"/>
    <w:rsid w:val="00E659F5"/>
    <w:rsid w:val="00E66962"/>
    <w:rsid w:val="00E705E0"/>
    <w:rsid w:val="00E70734"/>
    <w:rsid w:val="00E70992"/>
    <w:rsid w:val="00E70CB4"/>
    <w:rsid w:val="00E711BF"/>
    <w:rsid w:val="00E723F1"/>
    <w:rsid w:val="00E74223"/>
    <w:rsid w:val="00E8018D"/>
    <w:rsid w:val="00E81874"/>
    <w:rsid w:val="00E83044"/>
    <w:rsid w:val="00E83241"/>
    <w:rsid w:val="00E845F7"/>
    <w:rsid w:val="00E852FA"/>
    <w:rsid w:val="00E85760"/>
    <w:rsid w:val="00E85A84"/>
    <w:rsid w:val="00E87854"/>
    <w:rsid w:val="00E90005"/>
    <w:rsid w:val="00E9028F"/>
    <w:rsid w:val="00E91614"/>
    <w:rsid w:val="00E91824"/>
    <w:rsid w:val="00E94955"/>
    <w:rsid w:val="00E958CA"/>
    <w:rsid w:val="00EA3362"/>
    <w:rsid w:val="00EA4285"/>
    <w:rsid w:val="00EA513C"/>
    <w:rsid w:val="00EA78FF"/>
    <w:rsid w:val="00EB35A1"/>
    <w:rsid w:val="00EB5C95"/>
    <w:rsid w:val="00EB6606"/>
    <w:rsid w:val="00EB760E"/>
    <w:rsid w:val="00EC0C42"/>
    <w:rsid w:val="00EC177C"/>
    <w:rsid w:val="00EC2516"/>
    <w:rsid w:val="00EC348A"/>
    <w:rsid w:val="00EC4715"/>
    <w:rsid w:val="00EC49C8"/>
    <w:rsid w:val="00EC65C2"/>
    <w:rsid w:val="00EC6BF3"/>
    <w:rsid w:val="00ED0580"/>
    <w:rsid w:val="00ED3DFB"/>
    <w:rsid w:val="00ED42CB"/>
    <w:rsid w:val="00ED59EA"/>
    <w:rsid w:val="00EE165D"/>
    <w:rsid w:val="00EE1875"/>
    <w:rsid w:val="00EE1E71"/>
    <w:rsid w:val="00EE330D"/>
    <w:rsid w:val="00EE67C6"/>
    <w:rsid w:val="00EE6C34"/>
    <w:rsid w:val="00EF18BF"/>
    <w:rsid w:val="00EF367A"/>
    <w:rsid w:val="00EF690C"/>
    <w:rsid w:val="00EF7222"/>
    <w:rsid w:val="00F00752"/>
    <w:rsid w:val="00F0097A"/>
    <w:rsid w:val="00F009C5"/>
    <w:rsid w:val="00F00F29"/>
    <w:rsid w:val="00F02CD6"/>
    <w:rsid w:val="00F06C1C"/>
    <w:rsid w:val="00F07042"/>
    <w:rsid w:val="00F07128"/>
    <w:rsid w:val="00F14817"/>
    <w:rsid w:val="00F14CB5"/>
    <w:rsid w:val="00F16041"/>
    <w:rsid w:val="00F161C1"/>
    <w:rsid w:val="00F215D6"/>
    <w:rsid w:val="00F220AD"/>
    <w:rsid w:val="00F22236"/>
    <w:rsid w:val="00F226EC"/>
    <w:rsid w:val="00F22A39"/>
    <w:rsid w:val="00F27CE7"/>
    <w:rsid w:val="00F27DAB"/>
    <w:rsid w:val="00F30048"/>
    <w:rsid w:val="00F30588"/>
    <w:rsid w:val="00F33A08"/>
    <w:rsid w:val="00F34EC1"/>
    <w:rsid w:val="00F43C0F"/>
    <w:rsid w:val="00F45289"/>
    <w:rsid w:val="00F46069"/>
    <w:rsid w:val="00F46F3A"/>
    <w:rsid w:val="00F471EE"/>
    <w:rsid w:val="00F5085F"/>
    <w:rsid w:val="00F50FA5"/>
    <w:rsid w:val="00F519BC"/>
    <w:rsid w:val="00F535E3"/>
    <w:rsid w:val="00F53BC4"/>
    <w:rsid w:val="00F544DE"/>
    <w:rsid w:val="00F57195"/>
    <w:rsid w:val="00F5723B"/>
    <w:rsid w:val="00F60A96"/>
    <w:rsid w:val="00F63C15"/>
    <w:rsid w:val="00F65A75"/>
    <w:rsid w:val="00F70390"/>
    <w:rsid w:val="00F70500"/>
    <w:rsid w:val="00F71979"/>
    <w:rsid w:val="00F721F4"/>
    <w:rsid w:val="00F72664"/>
    <w:rsid w:val="00F729B3"/>
    <w:rsid w:val="00F7385A"/>
    <w:rsid w:val="00F74F71"/>
    <w:rsid w:val="00F75FCB"/>
    <w:rsid w:val="00F773D6"/>
    <w:rsid w:val="00F77C67"/>
    <w:rsid w:val="00F81F5F"/>
    <w:rsid w:val="00F82256"/>
    <w:rsid w:val="00F82D31"/>
    <w:rsid w:val="00F83841"/>
    <w:rsid w:val="00F83A25"/>
    <w:rsid w:val="00F83AD3"/>
    <w:rsid w:val="00F83D0E"/>
    <w:rsid w:val="00F83D25"/>
    <w:rsid w:val="00F86108"/>
    <w:rsid w:val="00F86A4B"/>
    <w:rsid w:val="00F90F1E"/>
    <w:rsid w:val="00F937E9"/>
    <w:rsid w:val="00F946EE"/>
    <w:rsid w:val="00FA1697"/>
    <w:rsid w:val="00FA312C"/>
    <w:rsid w:val="00FA41C7"/>
    <w:rsid w:val="00FA6663"/>
    <w:rsid w:val="00FA6B15"/>
    <w:rsid w:val="00FA7327"/>
    <w:rsid w:val="00FB0830"/>
    <w:rsid w:val="00FB1DBA"/>
    <w:rsid w:val="00FB1E61"/>
    <w:rsid w:val="00FB3811"/>
    <w:rsid w:val="00FB3EA2"/>
    <w:rsid w:val="00FB49A3"/>
    <w:rsid w:val="00FB6D66"/>
    <w:rsid w:val="00FB72A9"/>
    <w:rsid w:val="00FC1C8A"/>
    <w:rsid w:val="00FC36B6"/>
    <w:rsid w:val="00FC474A"/>
    <w:rsid w:val="00FD160D"/>
    <w:rsid w:val="00FD2B2F"/>
    <w:rsid w:val="00FD545C"/>
    <w:rsid w:val="00FD5DC8"/>
    <w:rsid w:val="00FD66C8"/>
    <w:rsid w:val="00FD7019"/>
    <w:rsid w:val="00FE14AB"/>
    <w:rsid w:val="00FF0408"/>
    <w:rsid w:val="00FF081A"/>
    <w:rsid w:val="00FF0FE1"/>
    <w:rsid w:val="00FF354D"/>
    <w:rsid w:val="00FF5844"/>
    <w:rsid w:val="00FF70D2"/>
    <w:rsid w:val="00FF7F32"/>
    <w:rsid w:val="012D2227"/>
    <w:rsid w:val="01341807"/>
    <w:rsid w:val="017716F4"/>
    <w:rsid w:val="01C61A32"/>
    <w:rsid w:val="01C901A1"/>
    <w:rsid w:val="01D31020"/>
    <w:rsid w:val="01D57CAB"/>
    <w:rsid w:val="020C4532"/>
    <w:rsid w:val="02105DD0"/>
    <w:rsid w:val="021A0C65"/>
    <w:rsid w:val="02405F8A"/>
    <w:rsid w:val="02565964"/>
    <w:rsid w:val="02906F11"/>
    <w:rsid w:val="02FC45A7"/>
    <w:rsid w:val="031C2553"/>
    <w:rsid w:val="03870077"/>
    <w:rsid w:val="0394658D"/>
    <w:rsid w:val="039667A9"/>
    <w:rsid w:val="03DE3CAC"/>
    <w:rsid w:val="03E906FA"/>
    <w:rsid w:val="04247911"/>
    <w:rsid w:val="0458580D"/>
    <w:rsid w:val="046C3066"/>
    <w:rsid w:val="04BF588C"/>
    <w:rsid w:val="04C64E6C"/>
    <w:rsid w:val="05143E2A"/>
    <w:rsid w:val="05157BA2"/>
    <w:rsid w:val="051E68B7"/>
    <w:rsid w:val="054364BD"/>
    <w:rsid w:val="055C132D"/>
    <w:rsid w:val="059D3E1F"/>
    <w:rsid w:val="05BD626F"/>
    <w:rsid w:val="05C018BB"/>
    <w:rsid w:val="05DB04A3"/>
    <w:rsid w:val="060317A8"/>
    <w:rsid w:val="06127C3D"/>
    <w:rsid w:val="06BF1B73"/>
    <w:rsid w:val="071D6F88"/>
    <w:rsid w:val="0728596A"/>
    <w:rsid w:val="078132CC"/>
    <w:rsid w:val="07A1571D"/>
    <w:rsid w:val="07A71107"/>
    <w:rsid w:val="07B11732"/>
    <w:rsid w:val="08344805"/>
    <w:rsid w:val="084043C3"/>
    <w:rsid w:val="086446E8"/>
    <w:rsid w:val="0869623A"/>
    <w:rsid w:val="087F780C"/>
    <w:rsid w:val="08D8516E"/>
    <w:rsid w:val="0964394F"/>
    <w:rsid w:val="097035F9"/>
    <w:rsid w:val="09756E61"/>
    <w:rsid w:val="09C94AB7"/>
    <w:rsid w:val="0A002BCE"/>
    <w:rsid w:val="0A193C90"/>
    <w:rsid w:val="0A312D88"/>
    <w:rsid w:val="0A314B36"/>
    <w:rsid w:val="0A375EC4"/>
    <w:rsid w:val="0A481E7F"/>
    <w:rsid w:val="0A6A44EC"/>
    <w:rsid w:val="0A851326"/>
    <w:rsid w:val="0AC65BEF"/>
    <w:rsid w:val="0B0C6D28"/>
    <w:rsid w:val="0B2E72C7"/>
    <w:rsid w:val="0B46538C"/>
    <w:rsid w:val="0BF61F74"/>
    <w:rsid w:val="0C2506CA"/>
    <w:rsid w:val="0C6236CC"/>
    <w:rsid w:val="0C9A4FF1"/>
    <w:rsid w:val="0CC17C52"/>
    <w:rsid w:val="0CC71781"/>
    <w:rsid w:val="0CCA1272"/>
    <w:rsid w:val="0CF13282"/>
    <w:rsid w:val="0D474670"/>
    <w:rsid w:val="0D641E15"/>
    <w:rsid w:val="0D9C49BC"/>
    <w:rsid w:val="0DE10621"/>
    <w:rsid w:val="0E6574A4"/>
    <w:rsid w:val="0E9953A0"/>
    <w:rsid w:val="0EDB59B8"/>
    <w:rsid w:val="0F046CBD"/>
    <w:rsid w:val="0F2729AB"/>
    <w:rsid w:val="0F307AB2"/>
    <w:rsid w:val="0F4C5F6E"/>
    <w:rsid w:val="0F735BF1"/>
    <w:rsid w:val="0FA97864"/>
    <w:rsid w:val="0FDA7A1E"/>
    <w:rsid w:val="0FE663C2"/>
    <w:rsid w:val="0FF23E8A"/>
    <w:rsid w:val="100D394F"/>
    <w:rsid w:val="10354C54"/>
    <w:rsid w:val="1042423D"/>
    <w:rsid w:val="10507CE0"/>
    <w:rsid w:val="10545A22"/>
    <w:rsid w:val="105F7F23"/>
    <w:rsid w:val="1079115D"/>
    <w:rsid w:val="108D6056"/>
    <w:rsid w:val="11252F1A"/>
    <w:rsid w:val="11872B31"/>
    <w:rsid w:val="11873ACA"/>
    <w:rsid w:val="118C2F9A"/>
    <w:rsid w:val="11B148F1"/>
    <w:rsid w:val="11B81987"/>
    <w:rsid w:val="11DD37F5"/>
    <w:rsid w:val="12137217"/>
    <w:rsid w:val="12594C65"/>
    <w:rsid w:val="127C6B6A"/>
    <w:rsid w:val="12957C2C"/>
    <w:rsid w:val="12C0114D"/>
    <w:rsid w:val="12DB0FF1"/>
    <w:rsid w:val="12DC354E"/>
    <w:rsid w:val="12F2507E"/>
    <w:rsid w:val="13165211"/>
    <w:rsid w:val="13623FB2"/>
    <w:rsid w:val="13936861"/>
    <w:rsid w:val="13C62793"/>
    <w:rsid w:val="13DB45B8"/>
    <w:rsid w:val="1409364F"/>
    <w:rsid w:val="14327E28"/>
    <w:rsid w:val="146E6986"/>
    <w:rsid w:val="14A5119E"/>
    <w:rsid w:val="155618F4"/>
    <w:rsid w:val="16CF7BB0"/>
    <w:rsid w:val="17254A0B"/>
    <w:rsid w:val="17544559"/>
    <w:rsid w:val="17680005"/>
    <w:rsid w:val="178A3AD7"/>
    <w:rsid w:val="186B56B7"/>
    <w:rsid w:val="189F7A56"/>
    <w:rsid w:val="18D53478"/>
    <w:rsid w:val="18DA45EA"/>
    <w:rsid w:val="18EE151A"/>
    <w:rsid w:val="191F64A1"/>
    <w:rsid w:val="19B35BE7"/>
    <w:rsid w:val="19B65058"/>
    <w:rsid w:val="19B67123"/>
    <w:rsid w:val="19C239FC"/>
    <w:rsid w:val="19E173E0"/>
    <w:rsid w:val="19E75211"/>
    <w:rsid w:val="1A0F4768"/>
    <w:rsid w:val="1A255D39"/>
    <w:rsid w:val="1A6C153D"/>
    <w:rsid w:val="1A7C377C"/>
    <w:rsid w:val="1A9C424D"/>
    <w:rsid w:val="1AC92B69"/>
    <w:rsid w:val="1ADA22BC"/>
    <w:rsid w:val="1AE17EB2"/>
    <w:rsid w:val="1B1140E1"/>
    <w:rsid w:val="1B293EC4"/>
    <w:rsid w:val="1B4F7512"/>
    <w:rsid w:val="1B602BF9"/>
    <w:rsid w:val="1B701236"/>
    <w:rsid w:val="1B716667"/>
    <w:rsid w:val="1B8C5224"/>
    <w:rsid w:val="1BAF1D5E"/>
    <w:rsid w:val="1BDA1A94"/>
    <w:rsid w:val="1BFD0D1C"/>
    <w:rsid w:val="1C2E592E"/>
    <w:rsid w:val="1C410662"/>
    <w:rsid w:val="1C464725"/>
    <w:rsid w:val="1C4E77C9"/>
    <w:rsid w:val="1C642DDC"/>
    <w:rsid w:val="1C6C5EA1"/>
    <w:rsid w:val="1CAB69CA"/>
    <w:rsid w:val="1D13631D"/>
    <w:rsid w:val="1D1A3B4F"/>
    <w:rsid w:val="1D4B69DC"/>
    <w:rsid w:val="1D923C32"/>
    <w:rsid w:val="1DC6354F"/>
    <w:rsid w:val="1DEF6D8A"/>
    <w:rsid w:val="1E37428D"/>
    <w:rsid w:val="1E5F5CBE"/>
    <w:rsid w:val="1E6A4663"/>
    <w:rsid w:val="1E965458"/>
    <w:rsid w:val="1EB21CCA"/>
    <w:rsid w:val="1EB853CE"/>
    <w:rsid w:val="1F2E2F70"/>
    <w:rsid w:val="1F953961"/>
    <w:rsid w:val="1FC63B1B"/>
    <w:rsid w:val="1FCA6AB3"/>
    <w:rsid w:val="201725C8"/>
    <w:rsid w:val="20436F19"/>
    <w:rsid w:val="213276BA"/>
    <w:rsid w:val="21EF55AB"/>
    <w:rsid w:val="228D1FBC"/>
    <w:rsid w:val="231152E0"/>
    <w:rsid w:val="235B22A2"/>
    <w:rsid w:val="238E0DF3"/>
    <w:rsid w:val="23A83C63"/>
    <w:rsid w:val="23BD4DDD"/>
    <w:rsid w:val="23C263D0"/>
    <w:rsid w:val="23CE11F0"/>
    <w:rsid w:val="23CF3EF9"/>
    <w:rsid w:val="23D04F68"/>
    <w:rsid w:val="240A66CC"/>
    <w:rsid w:val="24455279"/>
    <w:rsid w:val="247F5178"/>
    <w:rsid w:val="24CE594B"/>
    <w:rsid w:val="24DB1E16"/>
    <w:rsid w:val="250E5D48"/>
    <w:rsid w:val="2523208A"/>
    <w:rsid w:val="256E26C9"/>
    <w:rsid w:val="25787665"/>
    <w:rsid w:val="25B82157"/>
    <w:rsid w:val="25C24D84"/>
    <w:rsid w:val="25E12540"/>
    <w:rsid w:val="25E46AA9"/>
    <w:rsid w:val="25EE7927"/>
    <w:rsid w:val="26094558"/>
    <w:rsid w:val="26265313"/>
    <w:rsid w:val="2628389E"/>
    <w:rsid w:val="266F2816"/>
    <w:rsid w:val="26906C30"/>
    <w:rsid w:val="26977FBF"/>
    <w:rsid w:val="26C32B62"/>
    <w:rsid w:val="27007912"/>
    <w:rsid w:val="27914A0E"/>
    <w:rsid w:val="279E0FA5"/>
    <w:rsid w:val="27B40E90"/>
    <w:rsid w:val="27C03F91"/>
    <w:rsid w:val="27CB6827"/>
    <w:rsid w:val="27CE17BE"/>
    <w:rsid w:val="27EC60E8"/>
    <w:rsid w:val="27FF5E1C"/>
    <w:rsid w:val="28926C90"/>
    <w:rsid w:val="28996270"/>
    <w:rsid w:val="29CA2459"/>
    <w:rsid w:val="29D50BCA"/>
    <w:rsid w:val="2A152C19"/>
    <w:rsid w:val="2A306760"/>
    <w:rsid w:val="2A4A7CED"/>
    <w:rsid w:val="2A64465C"/>
    <w:rsid w:val="2A697EC4"/>
    <w:rsid w:val="2A9071FF"/>
    <w:rsid w:val="2A9A1E2C"/>
    <w:rsid w:val="2AA070FD"/>
    <w:rsid w:val="2B035C23"/>
    <w:rsid w:val="2B764647"/>
    <w:rsid w:val="2B822FEC"/>
    <w:rsid w:val="2B942D1F"/>
    <w:rsid w:val="2B9D5E76"/>
    <w:rsid w:val="2BA016C4"/>
    <w:rsid w:val="2BF0394C"/>
    <w:rsid w:val="2BF34EBA"/>
    <w:rsid w:val="2C2045B2"/>
    <w:rsid w:val="2C432458"/>
    <w:rsid w:val="2C6E531E"/>
    <w:rsid w:val="2C9C1E8B"/>
    <w:rsid w:val="2CA43F6B"/>
    <w:rsid w:val="2CD929E0"/>
    <w:rsid w:val="2CFC5020"/>
    <w:rsid w:val="2D3622E0"/>
    <w:rsid w:val="2D38111C"/>
    <w:rsid w:val="2D793CBD"/>
    <w:rsid w:val="2DA3549B"/>
    <w:rsid w:val="2DAF5BEE"/>
    <w:rsid w:val="2E141EF5"/>
    <w:rsid w:val="2E422F06"/>
    <w:rsid w:val="2E481992"/>
    <w:rsid w:val="2E4B2D65"/>
    <w:rsid w:val="2E4C5B33"/>
    <w:rsid w:val="2E5549E7"/>
    <w:rsid w:val="2E731311"/>
    <w:rsid w:val="2ED718A0"/>
    <w:rsid w:val="2EED2E72"/>
    <w:rsid w:val="2F34132A"/>
    <w:rsid w:val="2F4A2072"/>
    <w:rsid w:val="2F4D56BE"/>
    <w:rsid w:val="2F713AA3"/>
    <w:rsid w:val="2F794705"/>
    <w:rsid w:val="2F7F15C2"/>
    <w:rsid w:val="2FFB15BE"/>
    <w:rsid w:val="301B3A0F"/>
    <w:rsid w:val="3034062C"/>
    <w:rsid w:val="305D5DD5"/>
    <w:rsid w:val="30C145B6"/>
    <w:rsid w:val="30E949CD"/>
    <w:rsid w:val="30F57B12"/>
    <w:rsid w:val="31083BDD"/>
    <w:rsid w:val="31264419"/>
    <w:rsid w:val="313308E4"/>
    <w:rsid w:val="32144BB9"/>
    <w:rsid w:val="32513869"/>
    <w:rsid w:val="327B69E7"/>
    <w:rsid w:val="32855EC0"/>
    <w:rsid w:val="32AB107A"/>
    <w:rsid w:val="32E14A9C"/>
    <w:rsid w:val="333E0063"/>
    <w:rsid w:val="3344502A"/>
    <w:rsid w:val="334F3A12"/>
    <w:rsid w:val="33BE6B8B"/>
    <w:rsid w:val="33D62126"/>
    <w:rsid w:val="33EF143A"/>
    <w:rsid w:val="34256C0A"/>
    <w:rsid w:val="343706EB"/>
    <w:rsid w:val="344F3C87"/>
    <w:rsid w:val="35323CA3"/>
    <w:rsid w:val="353D3F30"/>
    <w:rsid w:val="35613C72"/>
    <w:rsid w:val="35616306"/>
    <w:rsid w:val="35887C22"/>
    <w:rsid w:val="35A95619"/>
    <w:rsid w:val="35E10EE8"/>
    <w:rsid w:val="35FA7C22"/>
    <w:rsid w:val="360F1920"/>
    <w:rsid w:val="36527A5E"/>
    <w:rsid w:val="365978A1"/>
    <w:rsid w:val="3667350A"/>
    <w:rsid w:val="36A55327"/>
    <w:rsid w:val="36AB0E01"/>
    <w:rsid w:val="36C344B8"/>
    <w:rsid w:val="375152A6"/>
    <w:rsid w:val="37920A5A"/>
    <w:rsid w:val="37971BCD"/>
    <w:rsid w:val="37E1109A"/>
    <w:rsid w:val="37F738CF"/>
    <w:rsid w:val="38082ACA"/>
    <w:rsid w:val="38176423"/>
    <w:rsid w:val="382623A8"/>
    <w:rsid w:val="385571AB"/>
    <w:rsid w:val="387E2D8D"/>
    <w:rsid w:val="38D17360"/>
    <w:rsid w:val="38EC7CF6"/>
    <w:rsid w:val="38FB262F"/>
    <w:rsid w:val="390037A2"/>
    <w:rsid w:val="39070FD4"/>
    <w:rsid w:val="394F0285"/>
    <w:rsid w:val="395308C3"/>
    <w:rsid w:val="395F2BBE"/>
    <w:rsid w:val="39A131D7"/>
    <w:rsid w:val="39B47C6F"/>
    <w:rsid w:val="39C742BF"/>
    <w:rsid w:val="3A4F49E1"/>
    <w:rsid w:val="3A85530C"/>
    <w:rsid w:val="3AA60379"/>
    <w:rsid w:val="3ABB63FF"/>
    <w:rsid w:val="3ACA050B"/>
    <w:rsid w:val="3ADB7428"/>
    <w:rsid w:val="3B0227C8"/>
    <w:rsid w:val="3B0F23C2"/>
    <w:rsid w:val="3B2E0A9A"/>
    <w:rsid w:val="3B38435E"/>
    <w:rsid w:val="3B403D09"/>
    <w:rsid w:val="3B554279"/>
    <w:rsid w:val="3B6049CB"/>
    <w:rsid w:val="3B72688F"/>
    <w:rsid w:val="3BBF2F01"/>
    <w:rsid w:val="3BCB453B"/>
    <w:rsid w:val="3C65673D"/>
    <w:rsid w:val="3D346110"/>
    <w:rsid w:val="3DEC2546"/>
    <w:rsid w:val="3E14070C"/>
    <w:rsid w:val="3E175815"/>
    <w:rsid w:val="3E3D6424"/>
    <w:rsid w:val="3E5317A2"/>
    <w:rsid w:val="3E8135D7"/>
    <w:rsid w:val="3EA80B63"/>
    <w:rsid w:val="3EDB2CE7"/>
    <w:rsid w:val="3EEA4CD8"/>
    <w:rsid w:val="3EFF05E2"/>
    <w:rsid w:val="3F012022"/>
    <w:rsid w:val="3F5E1222"/>
    <w:rsid w:val="3F5F543B"/>
    <w:rsid w:val="3F916D97"/>
    <w:rsid w:val="3FB908D6"/>
    <w:rsid w:val="3FF37BBC"/>
    <w:rsid w:val="40181D19"/>
    <w:rsid w:val="40387CC5"/>
    <w:rsid w:val="406B1E48"/>
    <w:rsid w:val="40A84E4B"/>
    <w:rsid w:val="40CB0B39"/>
    <w:rsid w:val="412D35A2"/>
    <w:rsid w:val="41395AA3"/>
    <w:rsid w:val="414D154E"/>
    <w:rsid w:val="41A82C28"/>
    <w:rsid w:val="41AF3FB7"/>
    <w:rsid w:val="425132C0"/>
    <w:rsid w:val="4258464E"/>
    <w:rsid w:val="42984A4B"/>
    <w:rsid w:val="42A67168"/>
    <w:rsid w:val="42AF5292"/>
    <w:rsid w:val="42FE51F6"/>
    <w:rsid w:val="42FF39D0"/>
    <w:rsid w:val="435A7F52"/>
    <w:rsid w:val="436118B0"/>
    <w:rsid w:val="436332AB"/>
    <w:rsid w:val="439873F8"/>
    <w:rsid w:val="43A97076"/>
    <w:rsid w:val="43C31F9B"/>
    <w:rsid w:val="44507CD3"/>
    <w:rsid w:val="44C45FCB"/>
    <w:rsid w:val="44D02BC2"/>
    <w:rsid w:val="44F82C2B"/>
    <w:rsid w:val="4508410A"/>
    <w:rsid w:val="45440EBA"/>
    <w:rsid w:val="455455A1"/>
    <w:rsid w:val="45A71B75"/>
    <w:rsid w:val="45C142B9"/>
    <w:rsid w:val="45CC15DB"/>
    <w:rsid w:val="461E795D"/>
    <w:rsid w:val="462C6BB3"/>
    <w:rsid w:val="469A3487"/>
    <w:rsid w:val="46DD5122"/>
    <w:rsid w:val="475353E4"/>
    <w:rsid w:val="47846D81"/>
    <w:rsid w:val="47B83531"/>
    <w:rsid w:val="481E1A95"/>
    <w:rsid w:val="48273D40"/>
    <w:rsid w:val="48517B76"/>
    <w:rsid w:val="48A73C3A"/>
    <w:rsid w:val="48C22822"/>
    <w:rsid w:val="48CC544E"/>
    <w:rsid w:val="48D662CD"/>
    <w:rsid w:val="49064E04"/>
    <w:rsid w:val="49252811"/>
    <w:rsid w:val="49470F79"/>
    <w:rsid w:val="4985328B"/>
    <w:rsid w:val="4A6E0EB3"/>
    <w:rsid w:val="4A75340E"/>
    <w:rsid w:val="4A8E5E08"/>
    <w:rsid w:val="4AD11442"/>
    <w:rsid w:val="4B4B11F4"/>
    <w:rsid w:val="4B810772"/>
    <w:rsid w:val="4B966D92"/>
    <w:rsid w:val="4B9F6E4A"/>
    <w:rsid w:val="4BBC17AA"/>
    <w:rsid w:val="4BEB02E1"/>
    <w:rsid w:val="4C7E2F03"/>
    <w:rsid w:val="4CE511D4"/>
    <w:rsid w:val="4CF60CEC"/>
    <w:rsid w:val="4D3B3631"/>
    <w:rsid w:val="4D537EEC"/>
    <w:rsid w:val="4D704F42"/>
    <w:rsid w:val="4D9329DF"/>
    <w:rsid w:val="4DA1334D"/>
    <w:rsid w:val="4DA370C6"/>
    <w:rsid w:val="4E3C4B82"/>
    <w:rsid w:val="4E546612"/>
    <w:rsid w:val="4E77033A"/>
    <w:rsid w:val="4E8D38D2"/>
    <w:rsid w:val="4ECC264C"/>
    <w:rsid w:val="4F5F4528"/>
    <w:rsid w:val="4F730D1A"/>
    <w:rsid w:val="4F8847C5"/>
    <w:rsid w:val="4FE245D2"/>
    <w:rsid w:val="501A67A1"/>
    <w:rsid w:val="5086682B"/>
    <w:rsid w:val="50CA2BBB"/>
    <w:rsid w:val="50D73735"/>
    <w:rsid w:val="50E83041"/>
    <w:rsid w:val="50FC1473"/>
    <w:rsid w:val="50FD4D3F"/>
    <w:rsid w:val="511926FC"/>
    <w:rsid w:val="511B3417"/>
    <w:rsid w:val="51212F87"/>
    <w:rsid w:val="51346287"/>
    <w:rsid w:val="5153495F"/>
    <w:rsid w:val="51690FDE"/>
    <w:rsid w:val="51B01DB1"/>
    <w:rsid w:val="51C25640"/>
    <w:rsid w:val="51E952C3"/>
    <w:rsid w:val="520C15BD"/>
    <w:rsid w:val="523C1897"/>
    <w:rsid w:val="528079D5"/>
    <w:rsid w:val="52B3016C"/>
    <w:rsid w:val="52B7716F"/>
    <w:rsid w:val="52C5363A"/>
    <w:rsid w:val="534529CD"/>
    <w:rsid w:val="534E1882"/>
    <w:rsid w:val="53511372"/>
    <w:rsid w:val="540B1521"/>
    <w:rsid w:val="5458228C"/>
    <w:rsid w:val="54646E83"/>
    <w:rsid w:val="547D1CF3"/>
    <w:rsid w:val="549C486F"/>
    <w:rsid w:val="54A518E1"/>
    <w:rsid w:val="54B971CF"/>
    <w:rsid w:val="54BB2905"/>
    <w:rsid w:val="54F13CF4"/>
    <w:rsid w:val="550F3292"/>
    <w:rsid w:val="55256612"/>
    <w:rsid w:val="554E16AA"/>
    <w:rsid w:val="557D01FC"/>
    <w:rsid w:val="564231F4"/>
    <w:rsid w:val="564B654C"/>
    <w:rsid w:val="565E627F"/>
    <w:rsid w:val="56694C24"/>
    <w:rsid w:val="566D6480"/>
    <w:rsid w:val="567710EF"/>
    <w:rsid w:val="56874F41"/>
    <w:rsid w:val="56C105BC"/>
    <w:rsid w:val="56F664B8"/>
    <w:rsid w:val="572528F9"/>
    <w:rsid w:val="573945F7"/>
    <w:rsid w:val="57B91294"/>
    <w:rsid w:val="57E44562"/>
    <w:rsid w:val="58256929"/>
    <w:rsid w:val="5851771E"/>
    <w:rsid w:val="587F072F"/>
    <w:rsid w:val="58A43CF2"/>
    <w:rsid w:val="58F00CE5"/>
    <w:rsid w:val="5943350B"/>
    <w:rsid w:val="59797E57"/>
    <w:rsid w:val="598D6049"/>
    <w:rsid w:val="59AA232A"/>
    <w:rsid w:val="5A530C4F"/>
    <w:rsid w:val="5A7C66F5"/>
    <w:rsid w:val="5A955FE8"/>
    <w:rsid w:val="5A963B0E"/>
    <w:rsid w:val="5B083B50"/>
    <w:rsid w:val="5B231846"/>
    <w:rsid w:val="5B525C87"/>
    <w:rsid w:val="5BB00AC0"/>
    <w:rsid w:val="5BB41D85"/>
    <w:rsid w:val="5C334E92"/>
    <w:rsid w:val="5C5028AF"/>
    <w:rsid w:val="5C602626"/>
    <w:rsid w:val="5C732F13"/>
    <w:rsid w:val="5C8E2CEF"/>
    <w:rsid w:val="5C95407D"/>
    <w:rsid w:val="5D573A29"/>
    <w:rsid w:val="5D8678D2"/>
    <w:rsid w:val="5E0314BA"/>
    <w:rsid w:val="5E40626B"/>
    <w:rsid w:val="5E5605FB"/>
    <w:rsid w:val="5E5B12F6"/>
    <w:rsid w:val="5E710B1A"/>
    <w:rsid w:val="5EC66CDA"/>
    <w:rsid w:val="5ED54C05"/>
    <w:rsid w:val="5EDF5A84"/>
    <w:rsid w:val="5EE009C7"/>
    <w:rsid w:val="5F002E49"/>
    <w:rsid w:val="5F0971C6"/>
    <w:rsid w:val="5F1020E1"/>
    <w:rsid w:val="5F343FED"/>
    <w:rsid w:val="5F531FCE"/>
    <w:rsid w:val="5F8B7F79"/>
    <w:rsid w:val="5FD56E87"/>
    <w:rsid w:val="5FF27324"/>
    <w:rsid w:val="5FF92B75"/>
    <w:rsid w:val="603553ED"/>
    <w:rsid w:val="60477A6E"/>
    <w:rsid w:val="60995B36"/>
    <w:rsid w:val="609A4358"/>
    <w:rsid w:val="60A93A22"/>
    <w:rsid w:val="60AC7BE7"/>
    <w:rsid w:val="60AE3960"/>
    <w:rsid w:val="60CD06F4"/>
    <w:rsid w:val="60EE0200"/>
    <w:rsid w:val="610417D1"/>
    <w:rsid w:val="611A2DA3"/>
    <w:rsid w:val="61224B7F"/>
    <w:rsid w:val="61300818"/>
    <w:rsid w:val="61355E2F"/>
    <w:rsid w:val="6189617B"/>
    <w:rsid w:val="619863BE"/>
    <w:rsid w:val="61C43F97"/>
    <w:rsid w:val="61D576D6"/>
    <w:rsid w:val="61FE4473"/>
    <w:rsid w:val="62214605"/>
    <w:rsid w:val="624E4E62"/>
    <w:rsid w:val="624F2F20"/>
    <w:rsid w:val="62606EDB"/>
    <w:rsid w:val="63185872"/>
    <w:rsid w:val="633D6AE2"/>
    <w:rsid w:val="63554566"/>
    <w:rsid w:val="636E387A"/>
    <w:rsid w:val="63840FBC"/>
    <w:rsid w:val="639C03E7"/>
    <w:rsid w:val="63B75221"/>
    <w:rsid w:val="63DC07E4"/>
    <w:rsid w:val="642B176B"/>
    <w:rsid w:val="64630F05"/>
    <w:rsid w:val="646C01A7"/>
    <w:rsid w:val="64A21A2D"/>
    <w:rsid w:val="64AA3B10"/>
    <w:rsid w:val="64C01EB3"/>
    <w:rsid w:val="64D35D50"/>
    <w:rsid w:val="64F34037"/>
    <w:rsid w:val="64FB113D"/>
    <w:rsid w:val="651D2E62"/>
    <w:rsid w:val="65216CD8"/>
    <w:rsid w:val="65293EFC"/>
    <w:rsid w:val="656A1E1F"/>
    <w:rsid w:val="65913850"/>
    <w:rsid w:val="65C16567"/>
    <w:rsid w:val="66031AB9"/>
    <w:rsid w:val="66236B9E"/>
    <w:rsid w:val="663F4C66"/>
    <w:rsid w:val="66630D48"/>
    <w:rsid w:val="6681356C"/>
    <w:rsid w:val="67AC2BC3"/>
    <w:rsid w:val="67C037B4"/>
    <w:rsid w:val="67ED60F9"/>
    <w:rsid w:val="6808604B"/>
    <w:rsid w:val="680B5540"/>
    <w:rsid w:val="687E7CA3"/>
    <w:rsid w:val="688A2F04"/>
    <w:rsid w:val="68A85138"/>
    <w:rsid w:val="68CA50AF"/>
    <w:rsid w:val="68D360C7"/>
    <w:rsid w:val="693E3CEF"/>
    <w:rsid w:val="69670B4F"/>
    <w:rsid w:val="698C4A5A"/>
    <w:rsid w:val="698F62F8"/>
    <w:rsid w:val="69C71C12"/>
    <w:rsid w:val="69C9180A"/>
    <w:rsid w:val="6A0339D4"/>
    <w:rsid w:val="6A0C16F7"/>
    <w:rsid w:val="6A246A40"/>
    <w:rsid w:val="6A554E4C"/>
    <w:rsid w:val="6A825A9E"/>
    <w:rsid w:val="6A90057A"/>
    <w:rsid w:val="6ACA6932"/>
    <w:rsid w:val="6B0D3978"/>
    <w:rsid w:val="6B824366"/>
    <w:rsid w:val="6B88758A"/>
    <w:rsid w:val="6BD46244"/>
    <w:rsid w:val="6BD83F86"/>
    <w:rsid w:val="6BE807D1"/>
    <w:rsid w:val="6C1825D5"/>
    <w:rsid w:val="6C292A34"/>
    <w:rsid w:val="6C6E6699"/>
    <w:rsid w:val="6C975BF0"/>
    <w:rsid w:val="6CA87DFD"/>
    <w:rsid w:val="6CC87B57"/>
    <w:rsid w:val="6D903EFE"/>
    <w:rsid w:val="6D9F335C"/>
    <w:rsid w:val="6DA700B4"/>
    <w:rsid w:val="6DBA5EBB"/>
    <w:rsid w:val="6DE704B1"/>
    <w:rsid w:val="6ED924EF"/>
    <w:rsid w:val="6EE964AB"/>
    <w:rsid w:val="6EED6C6F"/>
    <w:rsid w:val="6F084B83"/>
    <w:rsid w:val="6F286FD3"/>
    <w:rsid w:val="6F321C00"/>
    <w:rsid w:val="6F3913DF"/>
    <w:rsid w:val="6F3E409F"/>
    <w:rsid w:val="6F3E67F6"/>
    <w:rsid w:val="6F9369A7"/>
    <w:rsid w:val="6FB550BC"/>
    <w:rsid w:val="6FC767EC"/>
    <w:rsid w:val="6FE27182"/>
    <w:rsid w:val="701A2DBF"/>
    <w:rsid w:val="7020414E"/>
    <w:rsid w:val="702A6D7B"/>
    <w:rsid w:val="704E6000"/>
    <w:rsid w:val="709F6E78"/>
    <w:rsid w:val="70A628A5"/>
    <w:rsid w:val="70B86135"/>
    <w:rsid w:val="71611F06"/>
    <w:rsid w:val="71924BD7"/>
    <w:rsid w:val="71D92806"/>
    <w:rsid w:val="71F045F5"/>
    <w:rsid w:val="72200338"/>
    <w:rsid w:val="725B321B"/>
    <w:rsid w:val="72A14AE0"/>
    <w:rsid w:val="72EA2134"/>
    <w:rsid w:val="72F0605A"/>
    <w:rsid w:val="731A1328"/>
    <w:rsid w:val="732D5B07"/>
    <w:rsid w:val="73346078"/>
    <w:rsid w:val="73496D3E"/>
    <w:rsid w:val="73B76B77"/>
    <w:rsid w:val="7416389E"/>
    <w:rsid w:val="74312486"/>
    <w:rsid w:val="74B15375"/>
    <w:rsid w:val="74D51130"/>
    <w:rsid w:val="74EC2851"/>
    <w:rsid w:val="74ED458C"/>
    <w:rsid w:val="74F66CA4"/>
    <w:rsid w:val="75093403"/>
    <w:rsid w:val="757A1C0A"/>
    <w:rsid w:val="75907680"/>
    <w:rsid w:val="75BF3AC1"/>
    <w:rsid w:val="76257DC8"/>
    <w:rsid w:val="76354FEF"/>
    <w:rsid w:val="76481ACE"/>
    <w:rsid w:val="7656700F"/>
    <w:rsid w:val="77071BC4"/>
    <w:rsid w:val="77334767"/>
    <w:rsid w:val="774D3A7A"/>
    <w:rsid w:val="7762504C"/>
    <w:rsid w:val="779C67B0"/>
    <w:rsid w:val="77BA5764"/>
    <w:rsid w:val="77C17835"/>
    <w:rsid w:val="780954C8"/>
    <w:rsid w:val="781E0F73"/>
    <w:rsid w:val="78526E6F"/>
    <w:rsid w:val="78680440"/>
    <w:rsid w:val="787615CF"/>
    <w:rsid w:val="788411FA"/>
    <w:rsid w:val="78850B6B"/>
    <w:rsid w:val="790939D1"/>
    <w:rsid w:val="79144124"/>
    <w:rsid w:val="791A3E30"/>
    <w:rsid w:val="79583780"/>
    <w:rsid w:val="796270FE"/>
    <w:rsid w:val="796A6699"/>
    <w:rsid w:val="79870D9A"/>
    <w:rsid w:val="799F7E92"/>
    <w:rsid w:val="79A27982"/>
    <w:rsid w:val="7A301431"/>
    <w:rsid w:val="7A401675"/>
    <w:rsid w:val="7A434D0E"/>
    <w:rsid w:val="7A556B34"/>
    <w:rsid w:val="7A9B4AFD"/>
    <w:rsid w:val="7AD91A8B"/>
    <w:rsid w:val="7AE2272C"/>
    <w:rsid w:val="7AEC5358"/>
    <w:rsid w:val="7AED2E7F"/>
    <w:rsid w:val="7AFB1A3F"/>
    <w:rsid w:val="7B163F16"/>
    <w:rsid w:val="7B582D67"/>
    <w:rsid w:val="7B5D6256"/>
    <w:rsid w:val="7BBF2A6D"/>
    <w:rsid w:val="7BF2699E"/>
    <w:rsid w:val="7BF53A86"/>
    <w:rsid w:val="7C2D3E7B"/>
    <w:rsid w:val="7C9061B7"/>
    <w:rsid w:val="7CA81753"/>
    <w:rsid w:val="7CCA3477"/>
    <w:rsid w:val="7CD97B5E"/>
    <w:rsid w:val="7CFF3C1D"/>
    <w:rsid w:val="7DA243F4"/>
    <w:rsid w:val="7DCE6F97"/>
    <w:rsid w:val="7DE06CCB"/>
    <w:rsid w:val="7DF84014"/>
    <w:rsid w:val="7E0155BF"/>
    <w:rsid w:val="7E026C41"/>
    <w:rsid w:val="7E755665"/>
    <w:rsid w:val="7F1949CC"/>
    <w:rsid w:val="7F3B68AE"/>
    <w:rsid w:val="7F533BF8"/>
    <w:rsid w:val="7F6F6558"/>
    <w:rsid w:val="7F92195C"/>
    <w:rsid w:val="7FB81CAD"/>
    <w:rsid w:val="7FBD3DCE"/>
    <w:rsid w:val="7FDF36DE"/>
    <w:rsid w:val="7FE74340"/>
    <w:rsid w:val="7FEE5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nhideWhenUsed="0" w:uiPriority="34" w:semiHidden="0" w:name="heading 3" w:locked="1"/>
    <w:lsdException w:qFormat="1" w:unhideWhenUsed="0" w:uiPriority="0" w:semiHidden="0" w:name="heading 4" w:locked="1"/>
    <w:lsdException w:qFormat="1" w:unhideWhenUsed="0" w:uiPriority="9"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39" w:semiHidden="0" w:name="toc 5" w:locked="1"/>
    <w:lsdException w:qFormat="1" w:unhideWhenUsed="0" w:uiPriority="39" w:semiHidden="0" w:name="toc 6" w:locked="1"/>
    <w:lsdException w:qFormat="1" w:unhideWhenUsed="0" w:uiPriority="0" w:semiHidden="0" w:name="toc 7" w:locked="1"/>
    <w:lsdException w:qFormat="1" w:unhideWhenUsed="0" w:uiPriority="39" w:semiHidden="0" w:name="toc 8" w:locked="1"/>
    <w:lsdException w:qFormat="1" w:unhideWhenUsed="0" w:uiPriority="0" w:semiHidden="0" w:name="toc 9" w:locked="1"/>
    <w:lsdException w:qFormat="1" w:unhideWhenUsed="0" w:uiPriority="99" w:semiHidden="0" w:name="Normal Indent" w:locked="1"/>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99" w:semiHidden="0" w:name="annotation reference"/>
    <w:lsdException w:qFormat="1" w:uiPriority="0" w:semiHidden="0" w:name="line number" w:locked="1"/>
    <w:lsdException w:qFormat="1" w:unhideWhenUsed="0" w:uiPriority="0" w:semiHidden="0" w:name="page number" w:locked="1"/>
    <w:lsdException w:qFormat="1" w:uiPriority="99" w:semiHidden="0" w:name="endnote reference" w:locked="1"/>
    <w:lsdException w:qFormat="1" w:uiPriority="99"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99"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iPriority="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99"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99" w:semiHidden="0" w:name="annotation subject"/>
    <w:lsdException w:qFormat="1" w:unhideWhenUsed="0" w:uiPriority="0" w:semiHidden="0" w:name="Table Simple 1" w:locked="1"/>
    <w:lsdException w:qFormat="1" w:unhideWhenUsed="0" w:uiPriority="0" w:semiHidden="0" w:name="Table Simple 2" w:locked="1"/>
    <w:lsdException w:qFormat="1" w:unhideWhenUsed="0" w:uiPriority="0" w:semiHidden="0" w:name="Table Simple 3" w:locked="1"/>
    <w:lsdException w:qFormat="1" w:unhideWhenUsed="0" w:uiPriority="0" w:semiHidden="0" w:name="Table Classic 1" w:locked="1"/>
    <w:lsdException w:qFormat="1" w:unhideWhenUsed="0" w:uiPriority="0" w:semiHidden="0" w:name="Table Classic 2" w:locked="1"/>
    <w:lsdException w:qFormat="1" w:unhideWhenUsed="0" w:uiPriority="0" w:semiHidden="0" w:name="Table Classic 3" w:locked="1"/>
    <w:lsdException w:qFormat="1" w:unhideWhenUsed="0" w:uiPriority="0" w:semiHidden="0" w:name="Table Classic 4" w:locked="1"/>
    <w:lsdException w:qFormat="1" w:unhideWhenUsed="0" w:uiPriority="0" w:semiHidden="0" w:name="Table Colorful 1" w:locked="1"/>
    <w:lsdException w:qFormat="1" w:unhideWhenUsed="0" w:uiPriority="0" w:semiHidden="0" w:name="Table Colorful 2" w:locked="1"/>
    <w:lsdException w:qFormat="1" w:unhideWhenUsed="0" w:uiPriority="0" w:semiHidden="0" w:name="Table Colorful 3" w:locked="1"/>
    <w:lsdException w:qFormat="1" w:unhideWhenUsed="0" w:uiPriority="0" w:semiHidden="0" w:name="Table Columns 1" w:locked="1"/>
    <w:lsdException w:qFormat="1" w:unhideWhenUsed="0" w:uiPriority="0" w:semiHidden="0" w:name="Table Columns 2" w:locked="1"/>
    <w:lsdException w:qFormat="1" w:unhideWhenUsed="0" w:uiPriority="0" w:semiHidden="0" w:name="Table Columns 3" w:locked="1"/>
    <w:lsdException w:qFormat="1" w:unhideWhenUsed="0" w:uiPriority="0" w:semiHidden="0" w:name="Table Columns 4" w:locked="1"/>
    <w:lsdException w:qFormat="1" w:unhideWhenUsed="0" w:uiPriority="0" w:semiHidden="0" w:name="Table Columns 5" w:locked="1"/>
    <w:lsdException w:qFormat="1" w:unhideWhenUsed="0" w:uiPriority="0" w:semiHidden="0" w:name="Table Grid 1" w:locked="1"/>
    <w:lsdException w:qFormat="1" w:unhideWhenUsed="0" w:uiPriority="0" w:semiHidden="0" w:name="Table Grid 2" w:locked="1"/>
    <w:lsdException w:qFormat="1" w:unhideWhenUsed="0" w:uiPriority="0" w:semiHidden="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qFormat="1" w:unhideWhenUsed="0" w:uiPriority="0" w:semiHidden="0" w:name="Table List 1" w:locked="1"/>
    <w:lsdException w:qFormat="1" w:unhideWhenUsed="0" w:uiPriority="0" w:semiHidden="0" w:name="Table List 2" w:locked="1"/>
    <w:lsdException w:qFormat="1" w:unhideWhenUsed="0" w:uiPriority="0" w:semiHidden="0" w:name="Table List 3" w:locked="1"/>
    <w:lsdException w:qFormat="1" w:unhideWhenUsed="0" w:uiPriority="0" w:semiHidden="0" w:name="Table List 4" w:locked="1"/>
    <w:lsdException w:qFormat="1" w:unhideWhenUsed="0" w:uiPriority="0" w:semiHidden="0" w:name="Table List 5" w:locked="1"/>
    <w:lsdException w:qFormat="1" w:unhideWhenUsed="0" w:uiPriority="0" w:semiHidden="0" w:name="Table List 6" w:locked="1"/>
    <w:lsdException w:qFormat="1" w:unhideWhenUsed="0" w:uiPriority="0" w:semiHidden="0" w:name="Table List 7" w:locked="1"/>
    <w:lsdException w:qFormat="1" w:unhideWhenUsed="0" w:uiPriority="0" w:semiHidden="0" w:name="Table List 8" w:locked="1"/>
    <w:lsdException w:uiPriority="0" w:name="Table 3D effects 1" w:locked="1"/>
    <w:lsdException w:uiPriority="0" w:name="Table 3D effects 2" w:locked="1"/>
    <w:lsdException w:uiPriority="0" w:name="Table 3D effects 3" w:locked="1"/>
    <w:lsdException w:qFormat="1" w:unhideWhenUsed="0" w:uiPriority="0" w:semiHidden="0" w:name="Table Contemporary" w:locked="1"/>
    <w:lsdException w:qFormat="1" w:unhideWhenUsed="0" w:uiPriority="0" w:semiHidden="0" w:name="Table Elegant" w:locked="1"/>
    <w:lsdException w:qFormat="1" w:unhideWhenUsed="0" w:uiPriority="0" w:semiHidden="0" w:name="Table Professional" w:locked="1"/>
    <w:lsdException w:qFormat="1" w:unhideWhenUsed="0" w:uiPriority="0" w:semiHidden="0" w:name="Table Subtle 1" w:locked="1"/>
    <w:lsdException w:qFormat="1" w:unhideWhenUsed="0" w:uiPriority="0" w:semiHidden="0" w:name="Table Subtle 2" w:locked="1"/>
    <w:lsdException w:qFormat="1" w:unhideWhenUsed="0" w:uiPriority="0" w:semiHidden="0" w:name="Table Web 1" w:locked="1"/>
    <w:lsdException w:qFormat="1" w:unhideWhenUsed="0" w:uiPriority="0" w:semiHidden="0" w:name="Table Web 2" w:locked="1"/>
    <w:lsdException w:qFormat="1" w:unhideWhenUsed="0" w:uiPriority="0" w:semiHidden="0" w:name="Table Web 3" w:locked="1"/>
    <w:lsdException w:qFormat="1" w:unhideWhenUsed="0" w:uiPriority="0" w:semiHidden="0" w:name="Balloon Text"/>
    <w:lsdException w:qFormat="1" w:unhideWhenUsed="0" w:uiPriority="59" w:semiHidden="0" w:name="Table Grid"/>
    <w:lsdException w:qFormat="1" w:unhideWhenUsed="0" w:uiPriority="99" w:semiHidden="0" w:name="Table Theme" w:locked="1"/>
    <w:lsdException w:qFormat="1" w:unhideWhenUsed="0"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30"/>
    <w:autoRedefine/>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171"/>
    <w:autoRedefine/>
    <w:qFormat/>
    <w:locked/>
    <w:uiPriority w:val="9"/>
    <w:pPr>
      <w:keepNext/>
      <w:spacing w:line="360" w:lineRule="exact"/>
      <w:jc w:val="center"/>
      <w:outlineLvl w:val="1"/>
    </w:pPr>
    <w:rPr>
      <w:rFonts w:ascii="宋体"/>
      <w:sz w:val="28"/>
      <w:szCs w:val="20"/>
    </w:rPr>
  </w:style>
  <w:style w:type="paragraph" w:styleId="7">
    <w:name w:val="heading 3"/>
    <w:basedOn w:val="1"/>
    <w:next w:val="8"/>
    <w:link w:val="172"/>
    <w:autoRedefine/>
    <w:qFormat/>
    <w:locked/>
    <w:uiPriority w:val="34"/>
    <w:pPr>
      <w:keepNext/>
      <w:keepLines/>
      <w:adjustRightInd w:val="0"/>
      <w:spacing w:before="260" w:line="416" w:lineRule="atLeast"/>
      <w:jc w:val="left"/>
      <w:textAlignment w:val="baseline"/>
      <w:outlineLvl w:val="2"/>
    </w:pPr>
    <w:rPr>
      <w:rFonts w:ascii="Arial" w:hAnsi="Arial" w:eastAsia="黑体"/>
      <w:kern w:val="0"/>
      <w:sz w:val="28"/>
      <w:szCs w:val="28"/>
    </w:rPr>
  </w:style>
  <w:style w:type="paragraph" w:styleId="9">
    <w:name w:val="heading 4"/>
    <w:basedOn w:val="1"/>
    <w:next w:val="1"/>
    <w:link w:val="173"/>
    <w:autoRedefine/>
    <w:qFormat/>
    <w:locked/>
    <w:uiPriority w:val="0"/>
    <w:pPr>
      <w:keepNext/>
      <w:keepLines/>
      <w:spacing w:before="280" w:after="290" w:line="376" w:lineRule="auto"/>
      <w:outlineLvl w:val="3"/>
    </w:pPr>
    <w:rPr>
      <w:rFonts w:ascii="Arial" w:hAnsi="Arial" w:eastAsia="黑体"/>
      <w:b/>
      <w:bCs/>
      <w:sz w:val="28"/>
      <w:szCs w:val="28"/>
    </w:rPr>
  </w:style>
  <w:style w:type="paragraph" w:styleId="10">
    <w:name w:val="heading 5"/>
    <w:basedOn w:val="1"/>
    <w:next w:val="1"/>
    <w:link w:val="352"/>
    <w:autoRedefine/>
    <w:qFormat/>
    <w:locked/>
    <w:uiPriority w:val="9"/>
    <w:pPr>
      <w:keepNext/>
      <w:keepLines/>
      <w:spacing w:before="280" w:after="290" w:line="376" w:lineRule="atLeast"/>
      <w:ind w:left="1008" w:hanging="432"/>
      <w:outlineLvl w:val="4"/>
    </w:pPr>
    <w:rPr>
      <w:rFonts w:ascii="仿宋_GB2312" w:eastAsia="仿宋_GB2312"/>
      <w:b/>
      <w:bCs/>
      <w:sz w:val="28"/>
      <w:szCs w:val="28"/>
    </w:rPr>
  </w:style>
  <w:style w:type="paragraph" w:styleId="11">
    <w:name w:val="heading 6"/>
    <w:basedOn w:val="1"/>
    <w:next w:val="1"/>
    <w:link w:val="353"/>
    <w:autoRedefine/>
    <w:qFormat/>
    <w:locked/>
    <w:uiPriority w:val="0"/>
    <w:pPr>
      <w:keepNext/>
      <w:keepLines/>
      <w:spacing w:before="240" w:after="64" w:line="320" w:lineRule="atLeast"/>
      <w:ind w:left="1152" w:hanging="432"/>
      <w:outlineLvl w:val="5"/>
    </w:pPr>
    <w:rPr>
      <w:rFonts w:ascii="Arial" w:hAnsi="Arial" w:eastAsia="黑体"/>
      <w:b/>
      <w:bCs/>
      <w:sz w:val="28"/>
    </w:rPr>
  </w:style>
  <w:style w:type="paragraph" w:styleId="12">
    <w:name w:val="heading 7"/>
    <w:basedOn w:val="1"/>
    <w:next w:val="1"/>
    <w:link w:val="354"/>
    <w:autoRedefine/>
    <w:qFormat/>
    <w:locked/>
    <w:uiPriority w:val="0"/>
    <w:pPr>
      <w:keepNext/>
      <w:keepLines/>
      <w:spacing w:before="240" w:after="64" w:line="320" w:lineRule="atLeast"/>
      <w:ind w:left="1296" w:hanging="288"/>
      <w:outlineLvl w:val="6"/>
    </w:pPr>
    <w:rPr>
      <w:rFonts w:ascii="仿宋_GB2312" w:eastAsia="仿宋_GB2312"/>
      <w:b/>
      <w:bCs/>
      <w:sz w:val="28"/>
    </w:rPr>
  </w:style>
  <w:style w:type="paragraph" w:styleId="13">
    <w:name w:val="heading 8"/>
    <w:basedOn w:val="1"/>
    <w:next w:val="1"/>
    <w:link w:val="355"/>
    <w:autoRedefine/>
    <w:qFormat/>
    <w:locked/>
    <w:uiPriority w:val="0"/>
    <w:pPr>
      <w:keepNext/>
      <w:keepLines/>
      <w:spacing w:before="240" w:after="64" w:line="320" w:lineRule="atLeast"/>
      <w:ind w:left="1440" w:hanging="432"/>
      <w:outlineLvl w:val="7"/>
    </w:pPr>
    <w:rPr>
      <w:rFonts w:ascii="Arial" w:hAnsi="Arial" w:eastAsia="黑体"/>
      <w:sz w:val="28"/>
    </w:rPr>
  </w:style>
  <w:style w:type="paragraph" w:styleId="14">
    <w:name w:val="heading 9"/>
    <w:basedOn w:val="1"/>
    <w:next w:val="1"/>
    <w:link w:val="356"/>
    <w:autoRedefine/>
    <w:qFormat/>
    <w:locked/>
    <w:uiPriority w:val="0"/>
    <w:pPr>
      <w:keepNext/>
      <w:keepLines/>
      <w:spacing w:before="240" w:after="64" w:line="320" w:lineRule="atLeast"/>
      <w:ind w:left="1584" w:hanging="144"/>
      <w:outlineLvl w:val="8"/>
    </w:pPr>
    <w:rPr>
      <w:rFonts w:ascii="Arial" w:hAnsi="Arial" w:eastAsia="黑体"/>
      <w:szCs w:val="21"/>
    </w:rPr>
  </w:style>
  <w:style w:type="character" w:default="1" w:styleId="129">
    <w:name w:val="Default Paragraph Font"/>
    <w:autoRedefine/>
    <w:semiHidden/>
    <w:unhideWhenUsed/>
    <w:qFormat/>
    <w:uiPriority w:val="1"/>
  </w:style>
  <w:style w:type="table" w:default="1" w:styleId="8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152"/>
    <w:autoRedefine/>
    <w:qFormat/>
    <w:uiPriority w:val="0"/>
    <w:pPr>
      <w:widowControl/>
      <w:snapToGrid w:val="0"/>
      <w:spacing w:before="60" w:after="160" w:line="259" w:lineRule="auto"/>
      <w:ind w:right="113"/>
    </w:pPr>
    <w:rPr>
      <w:kern w:val="0"/>
      <w:sz w:val="18"/>
      <w:szCs w:val="20"/>
    </w:rPr>
  </w:style>
  <w:style w:type="paragraph" w:styleId="3">
    <w:name w:val="List Bullet 5"/>
    <w:basedOn w:val="1"/>
    <w:autoRedefine/>
    <w:qFormat/>
    <w:locked/>
    <w:uiPriority w:val="0"/>
    <w:pPr>
      <w:tabs>
        <w:tab w:val="left" w:pos="1260"/>
      </w:tabs>
      <w:ind w:left="1260" w:hanging="720"/>
    </w:pPr>
  </w:style>
  <w:style w:type="paragraph" w:styleId="4">
    <w:name w:val="macro"/>
    <w:link w:val="1786"/>
    <w:autoRedefine/>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eastAsia="宋体" w:cs="Times New Roman"/>
      <w:kern w:val="2"/>
      <w:sz w:val="24"/>
      <w:lang w:val="en-US" w:eastAsia="zh-CN" w:bidi="ar-SA"/>
    </w:rPr>
  </w:style>
  <w:style w:type="paragraph" w:styleId="8">
    <w:name w:val="Normal Indent"/>
    <w:basedOn w:val="1"/>
    <w:link w:val="178"/>
    <w:autoRedefine/>
    <w:qFormat/>
    <w:locked/>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0"/>
      <w:lang w:val="en-US" w:eastAsia="zh-CN" w:bidi="ar"/>
    </w:rPr>
  </w:style>
  <w:style w:type="paragraph" w:styleId="15">
    <w:name w:val="List 3"/>
    <w:basedOn w:val="1"/>
    <w:autoRedefine/>
    <w:qFormat/>
    <w:locked/>
    <w:uiPriority w:val="0"/>
    <w:pPr>
      <w:spacing w:before="60"/>
      <w:ind w:left="1260" w:hanging="420"/>
    </w:pPr>
    <w:rPr>
      <w:rFonts w:ascii="Arial" w:hAnsi="Arial" w:eastAsia="仿宋_GB2312"/>
      <w:kern w:val="0"/>
      <w:sz w:val="24"/>
      <w:szCs w:val="20"/>
    </w:rPr>
  </w:style>
  <w:style w:type="paragraph" w:styleId="16">
    <w:name w:val="toc 7"/>
    <w:basedOn w:val="1"/>
    <w:next w:val="1"/>
    <w:autoRedefine/>
    <w:qFormat/>
    <w:locked/>
    <w:uiPriority w:val="0"/>
    <w:pPr>
      <w:ind w:left="1260"/>
      <w:jc w:val="left"/>
    </w:pPr>
    <w:rPr>
      <w:szCs w:val="21"/>
    </w:rPr>
  </w:style>
  <w:style w:type="paragraph" w:styleId="17">
    <w:name w:val="List Number 2"/>
    <w:basedOn w:val="1"/>
    <w:autoRedefine/>
    <w:qFormat/>
    <w:locked/>
    <w:uiPriority w:val="0"/>
    <w:pPr>
      <w:tabs>
        <w:tab w:val="left" w:pos="360"/>
      </w:tabs>
      <w:ind w:left="360" w:hanging="360"/>
    </w:pPr>
  </w:style>
  <w:style w:type="paragraph" w:styleId="18">
    <w:name w:val="table of authorities"/>
    <w:basedOn w:val="1"/>
    <w:next w:val="1"/>
    <w:autoRedefine/>
    <w:qFormat/>
    <w:locked/>
    <w:uiPriority w:val="0"/>
    <w:pPr>
      <w:ind w:left="210" w:hanging="210"/>
      <w:jc w:val="left"/>
    </w:pPr>
  </w:style>
  <w:style w:type="paragraph" w:styleId="19">
    <w:name w:val="Note Heading"/>
    <w:basedOn w:val="1"/>
    <w:next w:val="1"/>
    <w:link w:val="577"/>
    <w:autoRedefine/>
    <w:qFormat/>
    <w:locked/>
    <w:uiPriority w:val="0"/>
    <w:pPr>
      <w:jc w:val="center"/>
    </w:pPr>
  </w:style>
  <w:style w:type="paragraph" w:styleId="20">
    <w:name w:val="List Bullet 4"/>
    <w:basedOn w:val="1"/>
    <w:autoRedefine/>
    <w:qFormat/>
    <w:locked/>
    <w:uiPriority w:val="0"/>
    <w:pPr>
      <w:tabs>
        <w:tab w:val="left" w:pos="435"/>
      </w:tabs>
      <w:ind w:left="435" w:hanging="435"/>
    </w:pPr>
  </w:style>
  <w:style w:type="paragraph" w:styleId="21">
    <w:name w:val="index 8"/>
    <w:basedOn w:val="1"/>
    <w:next w:val="1"/>
    <w:autoRedefine/>
    <w:qFormat/>
    <w:locked/>
    <w:uiPriority w:val="0"/>
    <w:pPr>
      <w:spacing w:line="360" w:lineRule="auto"/>
      <w:ind w:left="1400" w:leftChars="1400" w:firstLine="456" w:firstLineChars="190"/>
    </w:pPr>
    <w:rPr>
      <w:sz w:val="24"/>
      <w:szCs w:val="20"/>
    </w:rPr>
  </w:style>
  <w:style w:type="paragraph" w:styleId="22">
    <w:name w:val="E-mail Signature"/>
    <w:basedOn w:val="1"/>
    <w:link w:val="801"/>
    <w:autoRedefine/>
    <w:qFormat/>
    <w:locked/>
    <w:uiPriority w:val="0"/>
    <w:pPr>
      <w:spacing w:before="60"/>
      <w:ind w:firstLine="482"/>
    </w:pPr>
    <w:rPr>
      <w:rFonts w:ascii="Arial" w:hAnsi="Arial" w:eastAsia="仿宋_GB2312"/>
      <w:kern w:val="0"/>
      <w:sz w:val="24"/>
      <w:szCs w:val="20"/>
    </w:rPr>
  </w:style>
  <w:style w:type="paragraph" w:styleId="23">
    <w:name w:val="List Number"/>
    <w:basedOn w:val="1"/>
    <w:autoRedefine/>
    <w:qFormat/>
    <w:locked/>
    <w:uiPriority w:val="0"/>
    <w:pPr>
      <w:tabs>
        <w:tab w:val="left" w:pos="360"/>
      </w:tabs>
      <w:ind w:left="360" w:hanging="360" w:hangingChars="200"/>
    </w:pPr>
  </w:style>
  <w:style w:type="paragraph" w:styleId="24">
    <w:name w:val="caption"/>
    <w:basedOn w:val="1"/>
    <w:next w:val="1"/>
    <w:link w:val="212"/>
    <w:autoRedefine/>
    <w:qFormat/>
    <w:locked/>
    <w:uiPriority w:val="35"/>
    <w:pPr>
      <w:keepNext/>
      <w:widowControl/>
      <w:adjustRightInd w:val="0"/>
      <w:snapToGrid w:val="0"/>
      <w:spacing w:line="500" w:lineRule="exact"/>
      <w:jc w:val="center"/>
    </w:pPr>
    <w:rPr>
      <w:rFonts w:ascii="宋体" w:hAnsi="宋体"/>
      <w:b/>
      <w:kern w:val="0"/>
      <w:szCs w:val="21"/>
      <w:lang w:val="zh-CN"/>
    </w:rPr>
  </w:style>
  <w:style w:type="paragraph" w:styleId="25">
    <w:name w:val="index 5"/>
    <w:basedOn w:val="1"/>
    <w:next w:val="1"/>
    <w:autoRedefine/>
    <w:qFormat/>
    <w:locked/>
    <w:uiPriority w:val="0"/>
    <w:pPr>
      <w:spacing w:line="360" w:lineRule="auto"/>
      <w:ind w:left="800" w:leftChars="800" w:firstLine="456" w:firstLineChars="190"/>
    </w:pPr>
    <w:rPr>
      <w:sz w:val="24"/>
      <w:szCs w:val="20"/>
    </w:rPr>
  </w:style>
  <w:style w:type="paragraph" w:styleId="26">
    <w:name w:val="List Bullet"/>
    <w:basedOn w:val="1"/>
    <w:autoRedefine/>
    <w:qFormat/>
    <w:locked/>
    <w:uiPriority w:val="0"/>
    <w:pPr>
      <w:tabs>
        <w:tab w:val="left" w:pos="1140"/>
      </w:tabs>
      <w:ind w:left="1140" w:hanging="720"/>
    </w:pPr>
  </w:style>
  <w:style w:type="paragraph" w:styleId="27">
    <w:name w:val="envelope address"/>
    <w:basedOn w:val="1"/>
    <w:autoRedefine/>
    <w:qFormat/>
    <w:locked/>
    <w:uiPriority w:val="0"/>
    <w:pPr>
      <w:framePr w:w="7920" w:h="1980" w:hRule="exact" w:hSpace="180" w:wrap="auto" w:vAnchor="margin" w:hAnchor="page" w:xAlign="center" w:yAlign="bottom"/>
      <w:widowControl/>
      <w:overflowPunct w:val="0"/>
      <w:autoSpaceDE w:val="0"/>
      <w:autoSpaceDN w:val="0"/>
      <w:adjustRightInd w:val="0"/>
      <w:spacing w:line="264" w:lineRule="auto"/>
      <w:ind w:left="2880"/>
      <w:jc w:val="left"/>
      <w:textAlignment w:val="baseline"/>
    </w:pPr>
    <w:rPr>
      <w:rFonts w:ascii="Arial" w:hAnsi="Arial"/>
      <w:kern w:val="0"/>
      <w:sz w:val="22"/>
      <w:szCs w:val="20"/>
      <w:lang w:val="en-GB"/>
    </w:rPr>
  </w:style>
  <w:style w:type="paragraph" w:styleId="28">
    <w:name w:val="Document Map"/>
    <w:basedOn w:val="1"/>
    <w:link w:val="194"/>
    <w:autoRedefine/>
    <w:qFormat/>
    <w:locked/>
    <w:uiPriority w:val="0"/>
    <w:pPr>
      <w:shd w:val="clear" w:color="auto" w:fill="000080"/>
    </w:pPr>
    <w:rPr>
      <w:szCs w:val="20"/>
    </w:rPr>
  </w:style>
  <w:style w:type="paragraph" w:styleId="29">
    <w:name w:val="toa heading"/>
    <w:basedOn w:val="1"/>
    <w:next w:val="1"/>
    <w:autoRedefine/>
    <w:qFormat/>
    <w:locked/>
    <w:uiPriority w:val="0"/>
    <w:pPr>
      <w:spacing w:before="120" w:after="120"/>
      <w:jc w:val="left"/>
    </w:pPr>
    <w:rPr>
      <w:u w:val="single"/>
    </w:rPr>
  </w:style>
  <w:style w:type="paragraph" w:styleId="30">
    <w:name w:val="annotation text"/>
    <w:basedOn w:val="1"/>
    <w:link w:val="153"/>
    <w:autoRedefine/>
    <w:qFormat/>
    <w:uiPriority w:val="99"/>
    <w:pPr>
      <w:jc w:val="left"/>
    </w:pPr>
    <w:rPr>
      <w:kern w:val="0"/>
      <w:sz w:val="24"/>
      <w:szCs w:val="20"/>
    </w:rPr>
  </w:style>
  <w:style w:type="paragraph" w:styleId="31">
    <w:name w:val="index 6"/>
    <w:basedOn w:val="1"/>
    <w:next w:val="1"/>
    <w:autoRedefine/>
    <w:qFormat/>
    <w:locked/>
    <w:uiPriority w:val="0"/>
    <w:pPr>
      <w:spacing w:line="360" w:lineRule="auto"/>
      <w:ind w:left="1000" w:leftChars="1000" w:firstLine="456" w:firstLineChars="190"/>
    </w:pPr>
    <w:rPr>
      <w:sz w:val="24"/>
      <w:szCs w:val="20"/>
    </w:rPr>
  </w:style>
  <w:style w:type="paragraph" w:styleId="32">
    <w:name w:val="Salutation"/>
    <w:basedOn w:val="1"/>
    <w:next w:val="1"/>
    <w:link w:val="800"/>
    <w:autoRedefine/>
    <w:qFormat/>
    <w:locked/>
    <w:uiPriority w:val="0"/>
    <w:pPr>
      <w:spacing w:before="60"/>
      <w:ind w:firstLine="482"/>
    </w:pPr>
    <w:rPr>
      <w:rFonts w:ascii="Arial" w:hAnsi="Arial" w:eastAsia="仿宋_GB2312"/>
      <w:kern w:val="0"/>
      <w:sz w:val="24"/>
      <w:szCs w:val="20"/>
    </w:rPr>
  </w:style>
  <w:style w:type="paragraph" w:styleId="33">
    <w:name w:val="Body Text 3"/>
    <w:basedOn w:val="1"/>
    <w:link w:val="181"/>
    <w:autoRedefine/>
    <w:qFormat/>
    <w:locked/>
    <w:uiPriority w:val="0"/>
    <w:pPr>
      <w:jc w:val="center"/>
    </w:pPr>
    <w:rPr>
      <w:szCs w:val="20"/>
    </w:rPr>
  </w:style>
  <w:style w:type="paragraph" w:styleId="34">
    <w:name w:val="Closing"/>
    <w:basedOn w:val="1"/>
    <w:link w:val="803"/>
    <w:autoRedefine/>
    <w:qFormat/>
    <w:locked/>
    <w:uiPriority w:val="0"/>
    <w:pPr>
      <w:spacing w:before="60"/>
      <w:ind w:left="4320" w:firstLine="482"/>
    </w:pPr>
    <w:rPr>
      <w:rFonts w:ascii="Arial" w:hAnsi="Arial" w:eastAsia="仿宋_GB2312"/>
      <w:kern w:val="0"/>
      <w:sz w:val="24"/>
      <w:szCs w:val="20"/>
    </w:rPr>
  </w:style>
  <w:style w:type="paragraph" w:styleId="35">
    <w:name w:val="List Bullet 3"/>
    <w:basedOn w:val="1"/>
    <w:autoRedefine/>
    <w:qFormat/>
    <w:locked/>
    <w:uiPriority w:val="0"/>
    <w:pPr>
      <w:spacing w:before="50" w:line="500" w:lineRule="exact"/>
      <w:ind w:left="180"/>
    </w:pPr>
    <w:rPr>
      <w:spacing w:val="6"/>
      <w:sz w:val="28"/>
      <w:szCs w:val="20"/>
    </w:rPr>
  </w:style>
  <w:style w:type="paragraph" w:styleId="36">
    <w:name w:val="Body Text Indent"/>
    <w:basedOn w:val="1"/>
    <w:link w:val="161"/>
    <w:autoRedefine/>
    <w:qFormat/>
    <w:uiPriority w:val="0"/>
    <w:pPr>
      <w:spacing w:after="120"/>
      <w:ind w:left="420" w:leftChars="200"/>
    </w:pPr>
    <w:rPr>
      <w:kern w:val="0"/>
      <w:sz w:val="24"/>
      <w:szCs w:val="20"/>
    </w:rPr>
  </w:style>
  <w:style w:type="paragraph" w:styleId="37">
    <w:name w:val="List Number 3"/>
    <w:basedOn w:val="1"/>
    <w:autoRedefine/>
    <w:qFormat/>
    <w:locked/>
    <w:uiPriority w:val="0"/>
    <w:pPr>
      <w:tabs>
        <w:tab w:val="left" w:pos="1200"/>
        <w:tab w:val="left" w:pos="3240"/>
      </w:tabs>
      <w:ind w:left="1200" w:hanging="360"/>
    </w:pPr>
  </w:style>
  <w:style w:type="paragraph" w:styleId="38">
    <w:name w:val="List 2"/>
    <w:basedOn w:val="1"/>
    <w:autoRedefine/>
    <w:qFormat/>
    <w:locked/>
    <w:uiPriority w:val="99"/>
    <w:pPr>
      <w:ind w:left="100" w:leftChars="200" w:hanging="200" w:hangingChars="200"/>
    </w:pPr>
  </w:style>
  <w:style w:type="paragraph" w:styleId="39">
    <w:name w:val="List Continue"/>
    <w:basedOn w:val="1"/>
    <w:autoRedefine/>
    <w:qFormat/>
    <w:locked/>
    <w:uiPriority w:val="0"/>
    <w:pPr>
      <w:spacing w:before="60" w:after="120"/>
      <w:ind w:left="420" w:firstLine="482"/>
    </w:pPr>
    <w:rPr>
      <w:rFonts w:ascii="Arial" w:hAnsi="Arial" w:eastAsia="仿宋_GB2312"/>
      <w:kern w:val="0"/>
      <w:sz w:val="24"/>
      <w:szCs w:val="20"/>
    </w:rPr>
  </w:style>
  <w:style w:type="paragraph" w:styleId="40">
    <w:name w:val="Block Text"/>
    <w:basedOn w:val="1"/>
    <w:autoRedefine/>
    <w:qFormat/>
    <w:locked/>
    <w:uiPriority w:val="0"/>
    <w:pPr>
      <w:spacing w:before="120"/>
      <w:ind w:left="113" w:right="113"/>
    </w:pPr>
    <w:rPr>
      <w:kern w:val="24"/>
      <w:szCs w:val="20"/>
    </w:rPr>
  </w:style>
  <w:style w:type="paragraph" w:styleId="41">
    <w:name w:val="List Bullet 2"/>
    <w:basedOn w:val="1"/>
    <w:autoRedefine/>
    <w:qFormat/>
    <w:locked/>
    <w:uiPriority w:val="0"/>
    <w:pPr>
      <w:widowControl/>
      <w:overflowPunct w:val="0"/>
      <w:autoSpaceDE w:val="0"/>
      <w:autoSpaceDN w:val="0"/>
      <w:adjustRightInd w:val="0"/>
      <w:spacing w:line="264" w:lineRule="auto"/>
      <w:ind w:left="720" w:hanging="360"/>
      <w:jc w:val="left"/>
      <w:textAlignment w:val="baseline"/>
    </w:pPr>
    <w:rPr>
      <w:rFonts w:ascii="Book Antiqua" w:hAnsi="Book Antiqua"/>
      <w:kern w:val="0"/>
      <w:sz w:val="22"/>
      <w:szCs w:val="20"/>
      <w:lang w:val="en-GB"/>
    </w:rPr>
  </w:style>
  <w:style w:type="paragraph" w:styleId="42">
    <w:name w:val="HTML Address"/>
    <w:basedOn w:val="1"/>
    <w:link w:val="799"/>
    <w:autoRedefine/>
    <w:qFormat/>
    <w:locked/>
    <w:uiPriority w:val="0"/>
    <w:pPr>
      <w:spacing w:before="60"/>
      <w:ind w:firstLine="482"/>
    </w:pPr>
    <w:rPr>
      <w:rFonts w:ascii="Arial" w:hAnsi="Arial" w:eastAsia="仿宋_GB2312"/>
      <w:i/>
      <w:iCs/>
      <w:kern w:val="0"/>
      <w:sz w:val="24"/>
      <w:szCs w:val="20"/>
    </w:rPr>
  </w:style>
  <w:style w:type="paragraph" w:styleId="43">
    <w:name w:val="index 4"/>
    <w:basedOn w:val="1"/>
    <w:next w:val="1"/>
    <w:autoRedefine/>
    <w:qFormat/>
    <w:locked/>
    <w:uiPriority w:val="0"/>
    <w:pPr>
      <w:spacing w:line="360" w:lineRule="auto"/>
      <w:ind w:left="600" w:leftChars="600" w:firstLine="456" w:firstLineChars="190"/>
    </w:pPr>
    <w:rPr>
      <w:sz w:val="24"/>
      <w:szCs w:val="20"/>
    </w:rPr>
  </w:style>
  <w:style w:type="paragraph" w:styleId="44">
    <w:name w:val="toc 5"/>
    <w:basedOn w:val="1"/>
    <w:next w:val="1"/>
    <w:autoRedefine/>
    <w:qFormat/>
    <w:locked/>
    <w:uiPriority w:val="39"/>
    <w:pPr>
      <w:ind w:left="840"/>
      <w:jc w:val="left"/>
    </w:pPr>
    <w:rPr>
      <w:sz w:val="18"/>
      <w:szCs w:val="18"/>
    </w:rPr>
  </w:style>
  <w:style w:type="paragraph" w:styleId="45">
    <w:name w:val="toc 3"/>
    <w:basedOn w:val="1"/>
    <w:next w:val="1"/>
    <w:autoRedefine/>
    <w:qFormat/>
    <w:locked/>
    <w:uiPriority w:val="0"/>
    <w:pPr>
      <w:ind w:left="840" w:leftChars="400"/>
    </w:pPr>
    <w:rPr>
      <w:szCs w:val="20"/>
    </w:rPr>
  </w:style>
  <w:style w:type="paragraph" w:styleId="46">
    <w:name w:val="Plain Text"/>
    <w:basedOn w:val="1"/>
    <w:link w:val="198"/>
    <w:autoRedefine/>
    <w:qFormat/>
    <w:locked/>
    <w:uiPriority w:val="0"/>
    <w:rPr>
      <w:rFonts w:ascii="宋体" w:hAnsi="Courier New" w:cs="Courier New"/>
      <w:szCs w:val="21"/>
    </w:rPr>
  </w:style>
  <w:style w:type="paragraph" w:styleId="47">
    <w:name w:val="List Number 4"/>
    <w:basedOn w:val="1"/>
    <w:autoRedefine/>
    <w:qFormat/>
    <w:locked/>
    <w:uiPriority w:val="0"/>
    <w:pPr>
      <w:tabs>
        <w:tab w:val="left" w:pos="432"/>
      </w:tabs>
      <w:ind w:left="432" w:hanging="432"/>
    </w:pPr>
  </w:style>
  <w:style w:type="paragraph" w:styleId="48">
    <w:name w:val="toc 8"/>
    <w:basedOn w:val="1"/>
    <w:next w:val="1"/>
    <w:autoRedefine/>
    <w:qFormat/>
    <w:locked/>
    <w:uiPriority w:val="39"/>
    <w:pPr>
      <w:ind w:left="1470"/>
      <w:jc w:val="left"/>
    </w:pPr>
    <w:rPr>
      <w:sz w:val="18"/>
      <w:szCs w:val="18"/>
    </w:rPr>
  </w:style>
  <w:style w:type="paragraph" w:styleId="49">
    <w:name w:val="index 3"/>
    <w:basedOn w:val="1"/>
    <w:next w:val="1"/>
    <w:autoRedefine/>
    <w:qFormat/>
    <w:locked/>
    <w:uiPriority w:val="0"/>
    <w:pPr>
      <w:spacing w:line="360" w:lineRule="auto"/>
      <w:ind w:left="400" w:leftChars="400" w:firstLine="456" w:firstLineChars="190"/>
    </w:pPr>
    <w:rPr>
      <w:sz w:val="24"/>
      <w:szCs w:val="20"/>
    </w:rPr>
  </w:style>
  <w:style w:type="paragraph" w:styleId="50">
    <w:name w:val="Date"/>
    <w:basedOn w:val="1"/>
    <w:next w:val="1"/>
    <w:link w:val="148"/>
    <w:autoRedefine/>
    <w:qFormat/>
    <w:uiPriority w:val="0"/>
    <w:pPr>
      <w:ind w:left="100" w:leftChars="2500"/>
    </w:pPr>
    <w:rPr>
      <w:kern w:val="0"/>
      <w:sz w:val="24"/>
      <w:szCs w:val="20"/>
    </w:rPr>
  </w:style>
  <w:style w:type="paragraph" w:styleId="51">
    <w:name w:val="Body Text Indent 2"/>
    <w:basedOn w:val="1"/>
    <w:link w:val="177"/>
    <w:autoRedefine/>
    <w:qFormat/>
    <w:locked/>
    <w:uiPriority w:val="0"/>
    <w:pPr>
      <w:spacing w:after="120" w:line="480" w:lineRule="auto"/>
      <w:ind w:left="420" w:leftChars="200"/>
    </w:pPr>
  </w:style>
  <w:style w:type="paragraph" w:styleId="52">
    <w:name w:val="endnote text"/>
    <w:basedOn w:val="1"/>
    <w:link w:val="1172"/>
    <w:autoRedefine/>
    <w:unhideWhenUsed/>
    <w:qFormat/>
    <w:locked/>
    <w:uiPriority w:val="99"/>
    <w:pPr>
      <w:snapToGrid w:val="0"/>
      <w:spacing w:line="500" w:lineRule="exact"/>
      <w:ind w:firstLine="200" w:firstLineChars="200"/>
      <w:jc w:val="left"/>
    </w:pPr>
    <w:rPr>
      <w:rFonts w:ascii="仿宋_GB2312" w:hAnsi="仿宋_GB2312" w:eastAsia="仿宋_GB2312"/>
      <w:sz w:val="28"/>
      <w:szCs w:val="21"/>
      <w:lang w:val="zh-CN"/>
    </w:rPr>
  </w:style>
  <w:style w:type="paragraph" w:styleId="53">
    <w:name w:val="List Continue 5"/>
    <w:basedOn w:val="1"/>
    <w:autoRedefine/>
    <w:qFormat/>
    <w:locked/>
    <w:uiPriority w:val="0"/>
    <w:pPr>
      <w:spacing w:before="60" w:after="120"/>
      <w:ind w:left="2100" w:firstLine="482"/>
    </w:pPr>
    <w:rPr>
      <w:rFonts w:ascii="Arial" w:hAnsi="Arial" w:eastAsia="仿宋_GB2312"/>
      <w:kern w:val="0"/>
      <w:sz w:val="24"/>
      <w:szCs w:val="20"/>
    </w:rPr>
  </w:style>
  <w:style w:type="paragraph" w:styleId="54">
    <w:name w:val="Balloon Text"/>
    <w:basedOn w:val="1"/>
    <w:link w:val="157"/>
    <w:autoRedefine/>
    <w:qFormat/>
    <w:uiPriority w:val="0"/>
    <w:rPr>
      <w:kern w:val="0"/>
      <w:sz w:val="18"/>
      <w:szCs w:val="20"/>
    </w:rPr>
  </w:style>
  <w:style w:type="paragraph" w:styleId="55">
    <w:name w:val="footer"/>
    <w:basedOn w:val="1"/>
    <w:link w:val="147"/>
    <w:autoRedefine/>
    <w:qFormat/>
    <w:uiPriority w:val="99"/>
    <w:pPr>
      <w:tabs>
        <w:tab w:val="center" w:pos="4153"/>
        <w:tab w:val="right" w:pos="8306"/>
      </w:tabs>
      <w:snapToGrid w:val="0"/>
      <w:jc w:val="left"/>
    </w:pPr>
    <w:rPr>
      <w:kern w:val="0"/>
      <w:sz w:val="18"/>
      <w:szCs w:val="20"/>
    </w:rPr>
  </w:style>
  <w:style w:type="paragraph" w:styleId="56">
    <w:name w:val="envelope return"/>
    <w:basedOn w:val="1"/>
    <w:autoRedefine/>
    <w:qFormat/>
    <w:locked/>
    <w:uiPriority w:val="0"/>
    <w:pPr>
      <w:snapToGrid w:val="0"/>
      <w:spacing w:before="60"/>
      <w:ind w:firstLine="482"/>
    </w:pPr>
    <w:rPr>
      <w:rFonts w:ascii="Arial" w:hAnsi="Arial" w:eastAsia="仿宋_GB2312" w:cs="Arial"/>
      <w:kern w:val="0"/>
      <w:sz w:val="24"/>
      <w:szCs w:val="20"/>
    </w:rPr>
  </w:style>
  <w:style w:type="paragraph" w:styleId="57">
    <w:name w:val="header"/>
    <w:basedOn w:val="1"/>
    <w:link w:val="159"/>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58">
    <w:name w:val="Signature"/>
    <w:basedOn w:val="1"/>
    <w:link w:val="804"/>
    <w:autoRedefine/>
    <w:qFormat/>
    <w:locked/>
    <w:uiPriority w:val="0"/>
    <w:pPr>
      <w:spacing w:before="60"/>
      <w:ind w:left="4320" w:firstLine="482"/>
    </w:pPr>
    <w:rPr>
      <w:rFonts w:ascii="Arial" w:hAnsi="Arial" w:eastAsia="仿宋_GB2312"/>
      <w:kern w:val="0"/>
      <w:sz w:val="24"/>
      <w:szCs w:val="20"/>
    </w:rPr>
  </w:style>
  <w:style w:type="paragraph" w:styleId="59">
    <w:name w:val="toc 1"/>
    <w:basedOn w:val="1"/>
    <w:next w:val="1"/>
    <w:autoRedefine/>
    <w:qFormat/>
    <w:locked/>
    <w:uiPriority w:val="0"/>
    <w:pPr>
      <w:spacing w:line="400" w:lineRule="exact"/>
      <w:jc w:val="center"/>
    </w:pPr>
    <w:rPr>
      <w:rFonts w:ascii="宋体" w:hAnsi="宋体" w:eastAsia="仿宋_GB2312"/>
      <w:b/>
      <w:szCs w:val="21"/>
    </w:rPr>
  </w:style>
  <w:style w:type="paragraph" w:styleId="60">
    <w:name w:val="List Continue 4"/>
    <w:basedOn w:val="1"/>
    <w:autoRedefine/>
    <w:qFormat/>
    <w:locked/>
    <w:uiPriority w:val="0"/>
    <w:pPr>
      <w:spacing w:before="60" w:after="120"/>
      <w:ind w:left="1680" w:firstLine="482"/>
    </w:pPr>
    <w:rPr>
      <w:rFonts w:ascii="Arial" w:hAnsi="Arial" w:eastAsia="仿宋_GB2312"/>
      <w:kern w:val="0"/>
      <w:sz w:val="24"/>
      <w:szCs w:val="20"/>
    </w:rPr>
  </w:style>
  <w:style w:type="paragraph" w:styleId="61">
    <w:name w:val="toc 4"/>
    <w:basedOn w:val="1"/>
    <w:next w:val="1"/>
    <w:autoRedefine/>
    <w:qFormat/>
    <w:locked/>
    <w:uiPriority w:val="0"/>
    <w:pPr>
      <w:ind w:left="630"/>
      <w:jc w:val="left"/>
    </w:pPr>
    <w:rPr>
      <w:szCs w:val="21"/>
    </w:rPr>
  </w:style>
  <w:style w:type="paragraph" w:styleId="62">
    <w:name w:val="index heading"/>
    <w:basedOn w:val="1"/>
    <w:next w:val="63"/>
    <w:autoRedefine/>
    <w:qFormat/>
    <w:locked/>
    <w:uiPriority w:val="0"/>
  </w:style>
  <w:style w:type="paragraph" w:styleId="63">
    <w:name w:val="index 1"/>
    <w:basedOn w:val="1"/>
    <w:next w:val="1"/>
    <w:autoRedefine/>
    <w:qFormat/>
    <w:locked/>
    <w:uiPriority w:val="0"/>
    <w:pPr>
      <w:spacing w:line="400" w:lineRule="exact"/>
      <w:ind w:firstLine="461" w:firstLineChars="192"/>
    </w:pPr>
    <w:rPr>
      <w:rFonts w:ascii="宋体"/>
      <w:bCs/>
      <w:color w:val="000000"/>
      <w:sz w:val="24"/>
    </w:rPr>
  </w:style>
  <w:style w:type="paragraph" w:styleId="64">
    <w:name w:val="Subtitle"/>
    <w:basedOn w:val="1"/>
    <w:link w:val="805"/>
    <w:autoRedefine/>
    <w:qFormat/>
    <w:locked/>
    <w:uiPriority w:val="0"/>
    <w:pPr>
      <w:spacing w:before="240" w:after="60" w:line="312" w:lineRule="auto"/>
      <w:ind w:firstLine="482"/>
      <w:jc w:val="center"/>
      <w:outlineLvl w:val="1"/>
    </w:pPr>
    <w:rPr>
      <w:rFonts w:ascii="Arial" w:hAnsi="Arial" w:eastAsia="仿宋_GB2312"/>
      <w:b/>
      <w:bCs/>
      <w:kern w:val="28"/>
      <w:sz w:val="32"/>
      <w:szCs w:val="32"/>
    </w:rPr>
  </w:style>
  <w:style w:type="paragraph" w:styleId="65">
    <w:name w:val="List Number 5"/>
    <w:basedOn w:val="1"/>
    <w:autoRedefine/>
    <w:qFormat/>
    <w:locked/>
    <w:uiPriority w:val="0"/>
    <w:pPr>
      <w:tabs>
        <w:tab w:val="left" w:pos="2040"/>
      </w:tabs>
      <w:ind w:left="2040" w:hanging="360"/>
    </w:pPr>
    <w:rPr>
      <w:szCs w:val="20"/>
    </w:rPr>
  </w:style>
  <w:style w:type="paragraph" w:styleId="66">
    <w:name w:val="List"/>
    <w:basedOn w:val="1"/>
    <w:autoRedefine/>
    <w:qFormat/>
    <w:locked/>
    <w:uiPriority w:val="0"/>
    <w:pPr>
      <w:spacing w:line="320" w:lineRule="exact"/>
      <w:jc w:val="center"/>
    </w:pPr>
    <w:rPr>
      <w:rFonts w:ascii="宋体" w:eastAsia="仿宋_GB2312"/>
      <w:sz w:val="28"/>
    </w:rPr>
  </w:style>
  <w:style w:type="paragraph" w:styleId="67">
    <w:name w:val="footnote text"/>
    <w:basedOn w:val="1"/>
    <w:next w:val="1"/>
    <w:link w:val="390"/>
    <w:autoRedefine/>
    <w:qFormat/>
    <w:locked/>
    <w:uiPriority w:val="0"/>
    <w:pPr>
      <w:autoSpaceDE w:val="0"/>
      <w:autoSpaceDN w:val="0"/>
      <w:adjustRightInd w:val="0"/>
      <w:jc w:val="left"/>
    </w:pPr>
    <w:rPr>
      <w:kern w:val="0"/>
      <w:sz w:val="20"/>
    </w:rPr>
  </w:style>
  <w:style w:type="paragraph" w:styleId="68">
    <w:name w:val="toc 6"/>
    <w:basedOn w:val="1"/>
    <w:next w:val="1"/>
    <w:autoRedefine/>
    <w:qFormat/>
    <w:locked/>
    <w:uiPriority w:val="39"/>
    <w:pPr>
      <w:ind w:left="1050"/>
      <w:jc w:val="left"/>
    </w:pPr>
    <w:rPr>
      <w:sz w:val="18"/>
      <w:szCs w:val="18"/>
    </w:rPr>
  </w:style>
  <w:style w:type="paragraph" w:styleId="69">
    <w:name w:val="List 5"/>
    <w:basedOn w:val="1"/>
    <w:autoRedefine/>
    <w:qFormat/>
    <w:locked/>
    <w:uiPriority w:val="0"/>
    <w:pPr>
      <w:spacing w:before="60"/>
      <w:ind w:left="2100" w:hanging="420"/>
    </w:pPr>
    <w:rPr>
      <w:rFonts w:ascii="Arial" w:hAnsi="Arial" w:eastAsia="仿宋_GB2312"/>
      <w:kern w:val="0"/>
      <w:sz w:val="24"/>
      <w:szCs w:val="20"/>
    </w:rPr>
  </w:style>
  <w:style w:type="paragraph" w:styleId="70">
    <w:name w:val="Body Text Indent 3"/>
    <w:basedOn w:val="1"/>
    <w:link w:val="175"/>
    <w:autoRedefine/>
    <w:qFormat/>
    <w:locked/>
    <w:uiPriority w:val="0"/>
    <w:pPr>
      <w:spacing w:after="120"/>
      <w:ind w:left="420" w:leftChars="200"/>
    </w:pPr>
    <w:rPr>
      <w:sz w:val="16"/>
      <w:szCs w:val="16"/>
    </w:rPr>
  </w:style>
  <w:style w:type="paragraph" w:styleId="71">
    <w:name w:val="index 7"/>
    <w:basedOn w:val="1"/>
    <w:next w:val="1"/>
    <w:autoRedefine/>
    <w:qFormat/>
    <w:locked/>
    <w:uiPriority w:val="0"/>
    <w:pPr>
      <w:spacing w:line="360" w:lineRule="auto"/>
      <w:ind w:left="1200" w:leftChars="1200" w:firstLine="456" w:firstLineChars="190"/>
    </w:pPr>
    <w:rPr>
      <w:sz w:val="24"/>
      <w:szCs w:val="20"/>
    </w:rPr>
  </w:style>
  <w:style w:type="paragraph" w:styleId="72">
    <w:name w:val="index 9"/>
    <w:basedOn w:val="1"/>
    <w:next w:val="1"/>
    <w:autoRedefine/>
    <w:qFormat/>
    <w:locked/>
    <w:uiPriority w:val="0"/>
    <w:pPr>
      <w:spacing w:line="360" w:lineRule="auto"/>
      <w:ind w:left="1600" w:leftChars="1600" w:firstLine="456" w:firstLineChars="190"/>
    </w:pPr>
    <w:rPr>
      <w:sz w:val="24"/>
      <w:szCs w:val="20"/>
    </w:rPr>
  </w:style>
  <w:style w:type="paragraph" w:styleId="73">
    <w:name w:val="table of figures"/>
    <w:basedOn w:val="1"/>
    <w:next w:val="1"/>
    <w:autoRedefine/>
    <w:qFormat/>
    <w:locked/>
    <w:uiPriority w:val="0"/>
    <w:pPr>
      <w:spacing w:after="120" w:line="500" w:lineRule="exact"/>
      <w:jc w:val="center"/>
    </w:pPr>
    <w:rPr>
      <w:rFonts w:ascii="仿宋_GB2312" w:eastAsia="仿宋_GB2312"/>
      <w:sz w:val="28"/>
    </w:rPr>
  </w:style>
  <w:style w:type="paragraph" w:styleId="74">
    <w:name w:val="toc 2"/>
    <w:basedOn w:val="1"/>
    <w:next w:val="1"/>
    <w:autoRedefine/>
    <w:qFormat/>
    <w:locked/>
    <w:uiPriority w:val="0"/>
    <w:pPr>
      <w:spacing w:line="360" w:lineRule="exact"/>
      <w:jc w:val="center"/>
    </w:pPr>
  </w:style>
  <w:style w:type="paragraph" w:styleId="75">
    <w:name w:val="toc 9"/>
    <w:basedOn w:val="1"/>
    <w:next w:val="1"/>
    <w:autoRedefine/>
    <w:qFormat/>
    <w:locked/>
    <w:uiPriority w:val="0"/>
    <w:pPr>
      <w:ind w:left="1680"/>
      <w:jc w:val="left"/>
    </w:pPr>
    <w:rPr>
      <w:sz w:val="18"/>
      <w:szCs w:val="18"/>
    </w:rPr>
  </w:style>
  <w:style w:type="paragraph" w:styleId="76">
    <w:name w:val="Body Text 2"/>
    <w:basedOn w:val="1"/>
    <w:link w:val="180"/>
    <w:autoRedefine/>
    <w:qFormat/>
    <w:locked/>
    <w:uiPriority w:val="0"/>
    <w:pPr>
      <w:spacing w:line="320" w:lineRule="exact"/>
    </w:pPr>
    <w:rPr>
      <w:rFonts w:ascii="宋体"/>
      <w:sz w:val="28"/>
      <w:szCs w:val="20"/>
    </w:rPr>
  </w:style>
  <w:style w:type="paragraph" w:styleId="77">
    <w:name w:val="List 4"/>
    <w:basedOn w:val="1"/>
    <w:autoRedefine/>
    <w:qFormat/>
    <w:locked/>
    <w:uiPriority w:val="0"/>
    <w:pPr>
      <w:spacing w:before="60"/>
      <w:ind w:left="1680" w:hanging="420"/>
    </w:pPr>
    <w:rPr>
      <w:rFonts w:ascii="Arial" w:hAnsi="Arial" w:eastAsia="仿宋_GB2312"/>
      <w:kern w:val="0"/>
      <w:sz w:val="24"/>
      <w:szCs w:val="20"/>
    </w:rPr>
  </w:style>
  <w:style w:type="paragraph" w:styleId="78">
    <w:name w:val="List Continue 2"/>
    <w:basedOn w:val="1"/>
    <w:autoRedefine/>
    <w:qFormat/>
    <w:locked/>
    <w:uiPriority w:val="0"/>
    <w:pPr>
      <w:spacing w:before="60" w:after="120"/>
      <w:ind w:left="840" w:firstLine="482"/>
    </w:pPr>
    <w:rPr>
      <w:rFonts w:ascii="Arial" w:hAnsi="Arial" w:eastAsia="仿宋_GB2312"/>
      <w:kern w:val="0"/>
      <w:sz w:val="24"/>
      <w:szCs w:val="20"/>
    </w:rPr>
  </w:style>
  <w:style w:type="paragraph" w:styleId="79">
    <w:name w:val="Message Header"/>
    <w:basedOn w:val="1"/>
    <w:link w:val="807"/>
    <w:autoRedefine/>
    <w:qFormat/>
    <w:locked/>
    <w:uiPriority w:val="0"/>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Arial" w:hAnsi="Arial" w:eastAsia="仿宋_GB2312"/>
      <w:kern w:val="0"/>
      <w:sz w:val="24"/>
      <w:szCs w:val="20"/>
    </w:rPr>
  </w:style>
  <w:style w:type="paragraph" w:styleId="80">
    <w:name w:val="HTML Preformatted"/>
    <w:basedOn w:val="1"/>
    <w:link w:val="241"/>
    <w:autoRedefine/>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lang w:val="zh-CN"/>
    </w:rPr>
  </w:style>
  <w:style w:type="paragraph" w:styleId="81">
    <w:name w:val="Normal (Web)"/>
    <w:basedOn w:val="1"/>
    <w:link w:val="150"/>
    <w:autoRedefine/>
    <w:qFormat/>
    <w:uiPriority w:val="0"/>
    <w:pPr>
      <w:widowControl/>
      <w:spacing w:before="100" w:beforeAutospacing="1" w:after="100" w:afterAutospacing="1"/>
      <w:jc w:val="left"/>
    </w:pPr>
    <w:rPr>
      <w:rFonts w:ascii="宋体" w:hAnsi="宋体"/>
      <w:kern w:val="0"/>
      <w:sz w:val="24"/>
      <w:szCs w:val="20"/>
    </w:rPr>
  </w:style>
  <w:style w:type="paragraph" w:styleId="82">
    <w:name w:val="List Continue 3"/>
    <w:basedOn w:val="1"/>
    <w:autoRedefine/>
    <w:qFormat/>
    <w:locked/>
    <w:uiPriority w:val="0"/>
    <w:pPr>
      <w:spacing w:before="60" w:after="120"/>
      <w:ind w:left="1260" w:firstLine="482"/>
    </w:pPr>
    <w:rPr>
      <w:rFonts w:ascii="Arial" w:hAnsi="Arial" w:eastAsia="仿宋_GB2312"/>
      <w:kern w:val="0"/>
      <w:sz w:val="24"/>
      <w:szCs w:val="20"/>
    </w:rPr>
  </w:style>
  <w:style w:type="paragraph" w:styleId="83">
    <w:name w:val="index 2"/>
    <w:basedOn w:val="1"/>
    <w:next w:val="1"/>
    <w:autoRedefine/>
    <w:qFormat/>
    <w:locked/>
    <w:uiPriority w:val="0"/>
    <w:pPr>
      <w:spacing w:line="360" w:lineRule="auto"/>
      <w:ind w:left="200" w:leftChars="200" w:firstLine="456" w:firstLineChars="190"/>
    </w:pPr>
    <w:rPr>
      <w:sz w:val="24"/>
      <w:szCs w:val="20"/>
    </w:rPr>
  </w:style>
  <w:style w:type="paragraph" w:styleId="84">
    <w:name w:val="Title"/>
    <w:basedOn w:val="1"/>
    <w:link w:val="314"/>
    <w:autoRedefine/>
    <w:qFormat/>
    <w:locked/>
    <w:uiPriority w:val="0"/>
    <w:pPr>
      <w:widowControl/>
      <w:spacing w:before="120" w:after="120" w:line="360" w:lineRule="auto"/>
      <w:jc w:val="center"/>
      <w:outlineLvl w:val="0"/>
    </w:pPr>
    <w:rPr>
      <w:rFonts w:ascii="Arial" w:hAnsi="Arial" w:eastAsia="黑体" w:cs="Arial"/>
      <w:b/>
      <w:bCs/>
      <w:sz w:val="32"/>
      <w:szCs w:val="32"/>
    </w:rPr>
  </w:style>
  <w:style w:type="paragraph" w:styleId="85">
    <w:name w:val="annotation subject"/>
    <w:basedOn w:val="30"/>
    <w:next w:val="30"/>
    <w:link w:val="158"/>
    <w:autoRedefine/>
    <w:qFormat/>
    <w:uiPriority w:val="99"/>
    <w:rPr>
      <w:b/>
    </w:rPr>
  </w:style>
  <w:style w:type="paragraph" w:styleId="86">
    <w:name w:val="Body Text First Indent 2"/>
    <w:basedOn w:val="36"/>
    <w:autoRedefine/>
    <w:qFormat/>
    <w:locked/>
    <w:uiPriority w:val="0"/>
    <w:pPr>
      <w:ind w:firstLine="200" w:firstLineChars="200"/>
    </w:pPr>
    <w:rPr>
      <w:sz w:val="21"/>
    </w:rPr>
  </w:style>
  <w:style w:type="table" w:styleId="88">
    <w:name w:val="Table Grid"/>
    <w:basedOn w:val="8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9">
    <w:name w:val="Table Theme"/>
    <w:basedOn w:val="87"/>
    <w:autoRedefine/>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Colorful 1"/>
    <w:basedOn w:val="87"/>
    <w:autoRedefine/>
    <w:qFormat/>
    <w:locked/>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1">
    <w:name w:val="Table Colorful 2"/>
    <w:basedOn w:val="87"/>
    <w:autoRedefine/>
    <w:qFormat/>
    <w:locked/>
    <w:uiPriority w:val="0"/>
    <w:pPr>
      <w:widowControl w:val="0"/>
      <w:spacing w:line="500" w:lineRule="exact"/>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2">
    <w:name w:val="Table Colorful 3"/>
    <w:basedOn w:val="87"/>
    <w:autoRedefine/>
    <w:qFormat/>
    <w:locked/>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3">
    <w:name w:val="Table Elegant"/>
    <w:basedOn w:val="87"/>
    <w:autoRedefine/>
    <w:qFormat/>
    <w:locked/>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4">
    <w:name w:val="Table Classic 1"/>
    <w:basedOn w:val="87"/>
    <w:autoRedefine/>
    <w:qFormat/>
    <w:locked/>
    <w:uiPriority w:val="0"/>
    <w:pPr>
      <w:widowControl w:val="0"/>
      <w:adjustRightInd w:val="0"/>
      <w:spacing w:line="312" w:lineRule="atLeast"/>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5">
    <w:name w:val="Table Classic 2"/>
    <w:basedOn w:val="87"/>
    <w:autoRedefine/>
    <w:qFormat/>
    <w:locked/>
    <w:uiPriority w:val="0"/>
    <w:pPr>
      <w:widowControl w:val="0"/>
      <w:spacing w:line="500" w:lineRule="exact"/>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6">
    <w:name w:val="Table Classic 3"/>
    <w:basedOn w:val="87"/>
    <w:autoRedefine/>
    <w:qFormat/>
    <w:locked/>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7">
    <w:name w:val="Table Classic 4"/>
    <w:basedOn w:val="87"/>
    <w:autoRedefine/>
    <w:qFormat/>
    <w:locked/>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8">
    <w:name w:val="Table Simple 1"/>
    <w:basedOn w:val="87"/>
    <w:autoRedefine/>
    <w:qFormat/>
    <w:locked/>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9">
    <w:name w:val="Table Simple 2"/>
    <w:basedOn w:val="87"/>
    <w:autoRedefine/>
    <w:qFormat/>
    <w:locked/>
    <w:uiPriority w:val="0"/>
    <w:pPr>
      <w:widowControl w:val="0"/>
      <w:spacing w:line="500" w:lineRule="exact"/>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0">
    <w:name w:val="Table Simple 3"/>
    <w:basedOn w:val="87"/>
    <w:autoRedefine/>
    <w:qFormat/>
    <w:locked/>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1">
    <w:name w:val="Table Subtle 1"/>
    <w:basedOn w:val="87"/>
    <w:autoRedefine/>
    <w:qFormat/>
    <w:locked/>
    <w:uiPriority w:val="0"/>
    <w:pPr>
      <w:widowControl w:val="0"/>
      <w:spacing w:line="500" w:lineRule="exact"/>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Subtle 2"/>
    <w:basedOn w:val="87"/>
    <w:autoRedefine/>
    <w:qFormat/>
    <w:locked/>
    <w:uiPriority w:val="0"/>
    <w:pPr>
      <w:widowControl w:val="0"/>
      <w:spacing w:line="500" w:lineRule="exact"/>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List 1"/>
    <w:basedOn w:val="87"/>
    <w:autoRedefine/>
    <w:qFormat/>
    <w:locked/>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4">
    <w:name w:val="Table List 2"/>
    <w:basedOn w:val="87"/>
    <w:autoRedefine/>
    <w:qFormat/>
    <w:locked/>
    <w:uiPriority w:val="0"/>
    <w:pPr>
      <w:widowControl w:val="0"/>
      <w:spacing w:line="500" w:lineRule="exact"/>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5">
    <w:name w:val="Table List 3"/>
    <w:basedOn w:val="87"/>
    <w:autoRedefine/>
    <w:qFormat/>
    <w:locked/>
    <w:uiPriority w:val="0"/>
    <w:pPr>
      <w:widowControl w:val="0"/>
      <w:spacing w:line="500" w:lineRule="exact"/>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6">
    <w:name w:val="Table List 4"/>
    <w:basedOn w:val="87"/>
    <w:autoRedefine/>
    <w:qFormat/>
    <w:locked/>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07">
    <w:name w:val="Table List 5"/>
    <w:basedOn w:val="87"/>
    <w:autoRedefine/>
    <w:qFormat/>
    <w:locked/>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08">
    <w:name w:val="Table List 6"/>
    <w:basedOn w:val="87"/>
    <w:autoRedefine/>
    <w:qFormat/>
    <w:locked/>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09">
    <w:name w:val="Table List 7"/>
    <w:basedOn w:val="87"/>
    <w:autoRedefine/>
    <w:qFormat/>
    <w:locked/>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0">
    <w:name w:val="Table List 8"/>
    <w:basedOn w:val="87"/>
    <w:autoRedefine/>
    <w:qFormat/>
    <w:locked/>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1">
    <w:name w:val="Table Contemporary"/>
    <w:basedOn w:val="87"/>
    <w:autoRedefine/>
    <w:qFormat/>
    <w:locked/>
    <w:uiPriority w:val="0"/>
    <w:pPr>
      <w:widowControl w:val="0"/>
      <w:spacing w:line="500" w:lineRule="exact"/>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2">
    <w:name w:val="Table Columns 1"/>
    <w:basedOn w:val="87"/>
    <w:autoRedefine/>
    <w:qFormat/>
    <w:locked/>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3">
    <w:name w:val="Table Columns 2"/>
    <w:basedOn w:val="87"/>
    <w:autoRedefine/>
    <w:qFormat/>
    <w:locked/>
    <w:uiPriority w:val="0"/>
    <w:pPr>
      <w:widowControl w:val="0"/>
      <w:spacing w:line="500" w:lineRule="exact"/>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4">
    <w:name w:val="Table Columns 3"/>
    <w:basedOn w:val="87"/>
    <w:autoRedefine/>
    <w:qFormat/>
    <w:locked/>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5">
    <w:name w:val="Table Columns 4"/>
    <w:basedOn w:val="87"/>
    <w:autoRedefine/>
    <w:qFormat/>
    <w:locked/>
    <w:uiPriority w:val="0"/>
    <w:pPr>
      <w:widowControl w:val="0"/>
      <w:spacing w:line="500" w:lineRule="exact"/>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6">
    <w:name w:val="Table Columns 5"/>
    <w:basedOn w:val="87"/>
    <w:autoRedefine/>
    <w:qFormat/>
    <w:locked/>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7">
    <w:name w:val="Table Grid 1"/>
    <w:basedOn w:val="87"/>
    <w:autoRedefine/>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2"/>
    <w:basedOn w:val="87"/>
    <w:autoRedefine/>
    <w:qFormat/>
    <w:locked/>
    <w:uiPriority w:val="0"/>
    <w:pPr>
      <w:widowControl w:val="0"/>
      <w:spacing w:line="500" w:lineRule="exact"/>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9">
    <w:name w:val="Table Grid 3"/>
    <w:basedOn w:val="87"/>
    <w:autoRedefine/>
    <w:qFormat/>
    <w:locked/>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0">
    <w:name w:val="Table Grid 4"/>
    <w:basedOn w:val="87"/>
    <w:autoRedefine/>
    <w:qFormat/>
    <w:locked/>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1">
    <w:name w:val="Table Grid 5"/>
    <w:basedOn w:val="87"/>
    <w:autoRedefine/>
    <w:qFormat/>
    <w:locked/>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6"/>
    <w:basedOn w:val="87"/>
    <w:autoRedefine/>
    <w:qFormat/>
    <w:locked/>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7"/>
    <w:basedOn w:val="87"/>
    <w:autoRedefine/>
    <w:qFormat/>
    <w:locked/>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8"/>
    <w:basedOn w:val="87"/>
    <w:autoRedefine/>
    <w:qFormat/>
    <w:locked/>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5">
    <w:name w:val="Table Web 1"/>
    <w:basedOn w:val="87"/>
    <w:autoRedefine/>
    <w:qFormat/>
    <w:locked/>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6">
    <w:name w:val="Table Web 2"/>
    <w:basedOn w:val="87"/>
    <w:autoRedefine/>
    <w:qFormat/>
    <w:locked/>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7">
    <w:name w:val="Table Web 3"/>
    <w:basedOn w:val="87"/>
    <w:autoRedefine/>
    <w:qFormat/>
    <w:locked/>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8">
    <w:name w:val="Table Professional"/>
    <w:basedOn w:val="87"/>
    <w:autoRedefine/>
    <w:qFormat/>
    <w:locked/>
    <w:uiPriority w:val="0"/>
    <w:pPr>
      <w:widowControl w:val="0"/>
      <w:spacing w:line="50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30">
    <w:name w:val="Strong"/>
    <w:autoRedefine/>
    <w:qFormat/>
    <w:locked/>
    <w:uiPriority w:val="22"/>
    <w:rPr>
      <w:b/>
      <w:bCs/>
    </w:rPr>
  </w:style>
  <w:style w:type="character" w:styleId="131">
    <w:name w:val="endnote reference"/>
    <w:autoRedefine/>
    <w:unhideWhenUsed/>
    <w:qFormat/>
    <w:locked/>
    <w:uiPriority w:val="99"/>
    <w:rPr>
      <w:vertAlign w:val="superscript"/>
    </w:rPr>
  </w:style>
  <w:style w:type="character" w:styleId="132">
    <w:name w:val="page number"/>
    <w:basedOn w:val="129"/>
    <w:autoRedefine/>
    <w:qFormat/>
    <w:locked/>
    <w:uiPriority w:val="0"/>
  </w:style>
  <w:style w:type="character" w:styleId="133">
    <w:name w:val="FollowedHyperlink"/>
    <w:autoRedefine/>
    <w:qFormat/>
    <w:locked/>
    <w:uiPriority w:val="99"/>
    <w:rPr>
      <w:color w:val="800080"/>
      <w:u w:val="single"/>
    </w:rPr>
  </w:style>
  <w:style w:type="character" w:styleId="134">
    <w:name w:val="Emphasis"/>
    <w:autoRedefine/>
    <w:qFormat/>
    <w:locked/>
    <w:uiPriority w:val="20"/>
    <w:rPr>
      <w:i/>
    </w:rPr>
  </w:style>
  <w:style w:type="character" w:styleId="135">
    <w:name w:val="line number"/>
    <w:autoRedefine/>
    <w:unhideWhenUsed/>
    <w:qFormat/>
    <w:locked/>
    <w:uiPriority w:val="0"/>
  </w:style>
  <w:style w:type="character" w:styleId="136">
    <w:name w:val="HTML Definition"/>
    <w:autoRedefine/>
    <w:qFormat/>
    <w:locked/>
    <w:uiPriority w:val="0"/>
    <w:rPr>
      <w:rFonts w:ascii="宋体" w:hAnsi="宋体" w:eastAsia="宋体"/>
      <w:i/>
      <w:iCs/>
      <w:kern w:val="2"/>
      <w:sz w:val="18"/>
      <w:szCs w:val="18"/>
      <w:lang w:val="en-US" w:eastAsia="zh-CN" w:bidi="ar-SA"/>
    </w:rPr>
  </w:style>
  <w:style w:type="character" w:styleId="137">
    <w:name w:val="HTML Typewriter"/>
    <w:autoRedefine/>
    <w:qFormat/>
    <w:locked/>
    <w:uiPriority w:val="0"/>
    <w:rPr>
      <w:rFonts w:ascii="Courier New" w:hAnsi="Courier New"/>
      <w:sz w:val="20"/>
      <w:szCs w:val="20"/>
    </w:rPr>
  </w:style>
  <w:style w:type="character" w:styleId="138">
    <w:name w:val="HTML Acronym"/>
    <w:autoRedefine/>
    <w:qFormat/>
    <w:locked/>
    <w:uiPriority w:val="0"/>
    <w:rPr>
      <w:rFonts w:ascii="宋体" w:hAnsi="宋体" w:eastAsia="宋体"/>
      <w:kern w:val="2"/>
      <w:sz w:val="18"/>
      <w:szCs w:val="18"/>
      <w:lang w:val="en-US" w:eastAsia="zh-CN" w:bidi="ar-SA"/>
    </w:rPr>
  </w:style>
  <w:style w:type="character" w:styleId="139">
    <w:name w:val="HTML Variable"/>
    <w:autoRedefine/>
    <w:qFormat/>
    <w:locked/>
    <w:uiPriority w:val="0"/>
    <w:rPr>
      <w:rFonts w:ascii="宋体" w:hAnsi="宋体" w:eastAsia="宋体"/>
      <w:i/>
      <w:iCs/>
      <w:kern w:val="2"/>
      <w:sz w:val="18"/>
      <w:szCs w:val="18"/>
      <w:lang w:val="en-US" w:eastAsia="zh-CN" w:bidi="ar-SA"/>
    </w:rPr>
  </w:style>
  <w:style w:type="character" w:styleId="140">
    <w:name w:val="Hyperlink"/>
    <w:autoRedefine/>
    <w:qFormat/>
    <w:locked/>
    <w:uiPriority w:val="99"/>
    <w:rPr>
      <w:color w:val="136EC2"/>
      <w:u w:val="single"/>
    </w:rPr>
  </w:style>
  <w:style w:type="character" w:styleId="141">
    <w:name w:val="HTML Code"/>
    <w:autoRedefine/>
    <w:qFormat/>
    <w:locked/>
    <w:uiPriority w:val="0"/>
    <w:rPr>
      <w:rFonts w:ascii="黑体" w:hAnsi="Courier New" w:eastAsia="黑体" w:cs="Courier New"/>
      <w:sz w:val="24"/>
      <w:szCs w:val="24"/>
    </w:rPr>
  </w:style>
  <w:style w:type="character" w:styleId="142">
    <w:name w:val="annotation reference"/>
    <w:basedOn w:val="129"/>
    <w:autoRedefine/>
    <w:qFormat/>
    <w:uiPriority w:val="99"/>
    <w:rPr>
      <w:sz w:val="21"/>
    </w:rPr>
  </w:style>
  <w:style w:type="character" w:styleId="143">
    <w:name w:val="HTML Cite"/>
    <w:autoRedefine/>
    <w:qFormat/>
    <w:locked/>
    <w:uiPriority w:val="0"/>
    <w:rPr>
      <w:rFonts w:ascii="宋体" w:hAnsi="宋体" w:eastAsia="宋体"/>
      <w:i/>
      <w:iCs/>
      <w:kern w:val="2"/>
      <w:sz w:val="18"/>
      <w:szCs w:val="18"/>
      <w:lang w:val="en-US" w:eastAsia="zh-CN" w:bidi="ar-SA"/>
    </w:rPr>
  </w:style>
  <w:style w:type="character" w:styleId="144">
    <w:name w:val="footnote reference"/>
    <w:autoRedefine/>
    <w:qFormat/>
    <w:locked/>
    <w:uiPriority w:val="0"/>
    <w:rPr>
      <w:vertAlign w:val="superscript"/>
    </w:rPr>
  </w:style>
  <w:style w:type="character" w:styleId="145">
    <w:name w:val="HTML Keyboard"/>
    <w:autoRedefine/>
    <w:qFormat/>
    <w:locked/>
    <w:uiPriority w:val="0"/>
    <w:rPr>
      <w:rFonts w:ascii="Courier New" w:hAnsi="Courier New" w:eastAsia="宋体" w:cs="Courier New"/>
      <w:kern w:val="2"/>
      <w:sz w:val="20"/>
      <w:szCs w:val="20"/>
      <w:lang w:val="en-US" w:eastAsia="zh-CN" w:bidi="ar-SA"/>
    </w:rPr>
  </w:style>
  <w:style w:type="character" w:styleId="146">
    <w:name w:val="HTML Sample"/>
    <w:autoRedefine/>
    <w:qFormat/>
    <w:locked/>
    <w:uiPriority w:val="0"/>
    <w:rPr>
      <w:rFonts w:ascii="Courier New" w:hAnsi="Courier New"/>
    </w:rPr>
  </w:style>
  <w:style w:type="character" w:customStyle="1" w:styleId="147">
    <w:name w:val="页脚 Char1"/>
    <w:link w:val="55"/>
    <w:autoRedefine/>
    <w:qFormat/>
    <w:locked/>
    <w:uiPriority w:val="99"/>
    <w:rPr>
      <w:sz w:val="18"/>
    </w:rPr>
  </w:style>
  <w:style w:type="character" w:customStyle="1" w:styleId="148">
    <w:name w:val="日期 Char1"/>
    <w:link w:val="50"/>
    <w:autoRedefine/>
    <w:qFormat/>
    <w:locked/>
    <w:uiPriority w:val="99"/>
    <w:rPr>
      <w:rFonts w:ascii="Times New Roman" w:hAnsi="Times New Roman" w:eastAsia="宋体"/>
      <w:sz w:val="24"/>
    </w:rPr>
  </w:style>
  <w:style w:type="character" w:customStyle="1" w:styleId="149">
    <w:name w:val="页脚 字符"/>
    <w:basedOn w:val="129"/>
    <w:autoRedefine/>
    <w:qFormat/>
    <w:uiPriority w:val="99"/>
  </w:style>
  <w:style w:type="character" w:customStyle="1" w:styleId="150">
    <w:name w:val="普通(网站) Char1"/>
    <w:link w:val="81"/>
    <w:autoRedefine/>
    <w:qFormat/>
    <w:locked/>
    <w:uiPriority w:val="0"/>
    <w:rPr>
      <w:rFonts w:ascii="宋体" w:hAnsi="宋体" w:eastAsia="宋体"/>
      <w:sz w:val="24"/>
    </w:rPr>
  </w:style>
  <w:style w:type="character" w:customStyle="1" w:styleId="151">
    <w:name w:val="正文文本 字符1"/>
    <w:autoRedefine/>
    <w:semiHidden/>
    <w:qFormat/>
    <w:uiPriority w:val="0"/>
    <w:rPr>
      <w:rFonts w:ascii="Times New Roman" w:hAnsi="Times New Roman" w:eastAsia="宋体"/>
      <w:sz w:val="24"/>
    </w:rPr>
  </w:style>
  <w:style w:type="character" w:customStyle="1" w:styleId="152">
    <w:name w:val="正文文本 Char2"/>
    <w:link w:val="2"/>
    <w:autoRedefine/>
    <w:qFormat/>
    <w:locked/>
    <w:uiPriority w:val="0"/>
    <w:rPr>
      <w:sz w:val="18"/>
    </w:rPr>
  </w:style>
  <w:style w:type="character" w:customStyle="1" w:styleId="153">
    <w:name w:val="批注文字 Char2"/>
    <w:link w:val="30"/>
    <w:autoRedefine/>
    <w:qFormat/>
    <w:locked/>
    <w:uiPriority w:val="0"/>
    <w:rPr>
      <w:rFonts w:ascii="Times New Roman" w:hAnsi="Times New Roman" w:eastAsia="宋体"/>
      <w:sz w:val="24"/>
    </w:rPr>
  </w:style>
  <w:style w:type="character" w:customStyle="1" w:styleId="154">
    <w:name w:val="表格 Char"/>
    <w:link w:val="155"/>
    <w:autoRedefine/>
    <w:qFormat/>
    <w:locked/>
    <w:uiPriority w:val="0"/>
    <w:rPr>
      <w:rFonts w:ascii="宋体"/>
      <w:sz w:val="21"/>
    </w:rPr>
  </w:style>
  <w:style w:type="paragraph" w:customStyle="1" w:styleId="155">
    <w:name w:val="表格"/>
    <w:basedOn w:val="1"/>
    <w:next w:val="1"/>
    <w:link w:val="154"/>
    <w:autoRedefine/>
    <w:qFormat/>
    <w:uiPriority w:val="0"/>
    <w:pPr>
      <w:adjustRightInd w:val="0"/>
      <w:snapToGrid w:val="0"/>
      <w:spacing w:beforeLines="10" w:afterLines="10" w:line="259" w:lineRule="auto"/>
      <w:jc w:val="center"/>
    </w:pPr>
    <w:rPr>
      <w:rFonts w:ascii="宋体"/>
      <w:kern w:val="0"/>
      <w:szCs w:val="20"/>
    </w:rPr>
  </w:style>
  <w:style w:type="character" w:customStyle="1" w:styleId="156">
    <w:name w:val="日期 字符"/>
    <w:autoRedefine/>
    <w:qFormat/>
    <w:uiPriority w:val="0"/>
    <w:rPr>
      <w:rFonts w:ascii="Times New Roman" w:hAnsi="Times New Roman" w:eastAsia="宋体"/>
      <w:sz w:val="24"/>
    </w:rPr>
  </w:style>
  <w:style w:type="character" w:customStyle="1" w:styleId="157">
    <w:name w:val="批注框文本 Char8"/>
    <w:link w:val="54"/>
    <w:autoRedefine/>
    <w:qFormat/>
    <w:locked/>
    <w:uiPriority w:val="0"/>
    <w:rPr>
      <w:rFonts w:ascii="Times New Roman" w:hAnsi="Times New Roman" w:eastAsia="宋体"/>
      <w:sz w:val="18"/>
    </w:rPr>
  </w:style>
  <w:style w:type="character" w:customStyle="1" w:styleId="158">
    <w:name w:val="批注主题 Char2"/>
    <w:link w:val="85"/>
    <w:autoRedefine/>
    <w:qFormat/>
    <w:locked/>
    <w:uiPriority w:val="99"/>
    <w:rPr>
      <w:rFonts w:ascii="Times New Roman" w:hAnsi="Times New Roman" w:eastAsia="宋体"/>
      <w:b/>
      <w:kern w:val="2"/>
      <w:sz w:val="24"/>
    </w:rPr>
  </w:style>
  <w:style w:type="character" w:customStyle="1" w:styleId="159">
    <w:name w:val="页眉 Char"/>
    <w:link w:val="57"/>
    <w:autoRedefine/>
    <w:qFormat/>
    <w:locked/>
    <w:uiPriority w:val="0"/>
    <w:rPr>
      <w:sz w:val="18"/>
    </w:rPr>
  </w:style>
  <w:style w:type="character" w:customStyle="1" w:styleId="160">
    <w:name w:val="批注文字 字符1"/>
    <w:autoRedefine/>
    <w:semiHidden/>
    <w:qFormat/>
    <w:uiPriority w:val="0"/>
    <w:rPr>
      <w:rFonts w:ascii="Times New Roman" w:hAnsi="Times New Roman" w:eastAsia="宋体"/>
      <w:sz w:val="24"/>
    </w:rPr>
  </w:style>
  <w:style w:type="character" w:customStyle="1" w:styleId="161">
    <w:name w:val="正文文本缩进 Char1"/>
    <w:link w:val="36"/>
    <w:autoRedefine/>
    <w:qFormat/>
    <w:locked/>
    <w:uiPriority w:val="0"/>
    <w:rPr>
      <w:rFonts w:ascii="Times New Roman" w:hAnsi="Times New Roman" w:eastAsia="宋体"/>
      <w:sz w:val="24"/>
    </w:rPr>
  </w:style>
  <w:style w:type="paragraph" w:customStyle="1" w:styleId="16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64">
    <w:name w:val="表格标题"/>
    <w:basedOn w:val="1"/>
    <w:autoRedefine/>
    <w:qFormat/>
    <w:uiPriority w:val="0"/>
    <w:pPr>
      <w:widowControl/>
      <w:adjustRightInd w:val="0"/>
      <w:spacing w:before="120" w:line="400" w:lineRule="exact"/>
      <w:jc w:val="center"/>
      <w:textAlignment w:val="baseline"/>
    </w:pPr>
    <w:rPr>
      <w:rFonts w:ascii="宋体" w:hAnsi="宋体" w:eastAsia="文鼎CS中宋" w:cs="宋体"/>
      <w:spacing w:val="8"/>
      <w:kern w:val="0"/>
      <w:sz w:val="24"/>
    </w:rPr>
  </w:style>
  <w:style w:type="paragraph" w:customStyle="1" w:styleId="165">
    <w:name w:val="图表文字"/>
    <w:basedOn w:val="1"/>
    <w:link w:val="166"/>
    <w:autoRedefine/>
    <w:qFormat/>
    <w:uiPriority w:val="0"/>
    <w:pPr>
      <w:jc w:val="center"/>
    </w:pPr>
    <w:rPr>
      <w:rFonts w:ascii="仿宋_GB2312" w:hAnsi="仿宋_GB2312" w:eastAsia="仿宋_GB2312"/>
      <w:kern w:val="0"/>
      <w:szCs w:val="20"/>
      <w:lang w:val="zh-CN"/>
    </w:rPr>
  </w:style>
  <w:style w:type="character" w:customStyle="1" w:styleId="166">
    <w:name w:val="图表文字 Char"/>
    <w:link w:val="165"/>
    <w:autoRedefine/>
    <w:qFormat/>
    <w:uiPriority w:val="0"/>
    <w:rPr>
      <w:rFonts w:ascii="仿宋_GB2312" w:hAnsi="仿宋_GB2312" w:eastAsia="仿宋_GB2312"/>
      <w:sz w:val="21"/>
      <w:lang w:val="zh-CN" w:eastAsia="zh-CN"/>
    </w:rPr>
  </w:style>
  <w:style w:type="table" w:customStyle="1" w:styleId="167">
    <w:name w:val="maoli1"/>
    <w:basedOn w:val="87"/>
    <w:autoRedefine/>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68">
    <w:name w:val="表格的文字"/>
    <w:basedOn w:val="165"/>
    <w:link w:val="170"/>
    <w:autoRedefine/>
    <w:qFormat/>
    <w:uiPriority w:val="0"/>
    <w:pPr>
      <w:widowControl/>
      <w:spacing w:line="300" w:lineRule="exact"/>
    </w:pPr>
    <w:rPr>
      <w:rFonts w:hAnsi="Times New Roman"/>
      <w:bCs/>
      <w:kern w:val="2"/>
      <w:lang w:val="en-US"/>
    </w:rPr>
  </w:style>
  <w:style w:type="paragraph" w:customStyle="1" w:styleId="169">
    <w:name w:val="低行距图表文字"/>
    <w:basedOn w:val="165"/>
    <w:autoRedefine/>
    <w:qFormat/>
    <w:uiPriority w:val="0"/>
    <w:pPr>
      <w:spacing w:line="240" w:lineRule="exact"/>
    </w:pPr>
    <w:rPr>
      <w:kern w:val="2"/>
      <w:szCs w:val="21"/>
      <w:lang w:val="en-US"/>
    </w:rPr>
  </w:style>
  <w:style w:type="character" w:customStyle="1" w:styleId="170">
    <w:name w:val="表格的文字 Char"/>
    <w:link w:val="168"/>
    <w:autoRedefine/>
    <w:qFormat/>
    <w:uiPriority w:val="0"/>
    <w:rPr>
      <w:rFonts w:ascii="仿宋_GB2312" w:eastAsia="仿宋_GB2312"/>
      <w:bCs/>
      <w:kern w:val="2"/>
      <w:sz w:val="21"/>
    </w:rPr>
  </w:style>
  <w:style w:type="character" w:customStyle="1" w:styleId="171">
    <w:name w:val="标题 2 Char1"/>
    <w:link w:val="6"/>
    <w:autoRedefine/>
    <w:qFormat/>
    <w:uiPriority w:val="0"/>
    <w:rPr>
      <w:rFonts w:ascii="宋体"/>
      <w:kern w:val="2"/>
      <w:sz w:val="28"/>
    </w:rPr>
  </w:style>
  <w:style w:type="character" w:customStyle="1" w:styleId="172">
    <w:name w:val="标题 3 Char1"/>
    <w:link w:val="7"/>
    <w:autoRedefine/>
    <w:qFormat/>
    <w:uiPriority w:val="9"/>
    <w:rPr>
      <w:rFonts w:ascii="Arial" w:hAnsi="Arial" w:eastAsia="黑体"/>
      <w:sz w:val="28"/>
      <w:szCs w:val="28"/>
    </w:rPr>
  </w:style>
  <w:style w:type="character" w:customStyle="1" w:styleId="173">
    <w:name w:val="标题 4 Char1"/>
    <w:link w:val="9"/>
    <w:autoRedefine/>
    <w:qFormat/>
    <w:uiPriority w:val="0"/>
    <w:rPr>
      <w:rFonts w:ascii="Arial" w:hAnsi="Arial" w:eastAsia="黑体"/>
      <w:b/>
      <w:bCs/>
      <w:kern w:val="2"/>
      <w:sz w:val="28"/>
      <w:szCs w:val="28"/>
    </w:rPr>
  </w:style>
  <w:style w:type="character" w:customStyle="1" w:styleId="174">
    <w:name w:val="普通(网站) Char"/>
    <w:autoRedefine/>
    <w:qFormat/>
    <w:locked/>
    <w:uiPriority w:val="0"/>
    <w:rPr>
      <w:rFonts w:ascii="宋体" w:hAnsi="宋体" w:eastAsia="宋体"/>
      <w:sz w:val="24"/>
    </w:rPr>
  </w:style>
  <w:style w:type="character" w:customStyle="1" w:styleId="175">
    <w:name w:val="正文文本缩进 3 Char1"/>
    <w:link w:val="70"/>
    <w:autoRedefine/>
    <w:qFormat/>
    <w:uiPriority w:val="0"/>
    <w:rPr>
      <w:kern w:val="2"/>
      <w:sz w:val="16"/>
      <w:szCs w:val="16"/>
    </w:rPr>
  </w:style>
  <w:style w:type="paragraph" w:customStyle="1" w:styleId="176">
    <w:name w:val="Char Char1 Char"/>
    <w:basedOn w:val="1"/>
    <w:autoRedefine/>
    <w:qFormat/>
    <w:uiPriority w:val="0"/>
    <w:rPr>
      <w:rFonts w:ascii="Calibri" w:hAnsi="Calibri"/>
    </w:rPr>
  </w:style>
  <w:style w:type="character" w:customStyle="1" w:styleId="177">
    <w:name w:val="正文文本缩进 2 Char1"/>
    <w:link w:val="51"/>
    <w:autoRedefine/>
    <w:qFormat/>
    <w:uiPriority w:val="0"/>
    <w:rPr>
      <w:kern w:val="2"/>
      <w:sz w:val="21"/>
      <w:szCs w:val="24"/>
    </w:rPr>
  </w:style>
  <w:style w:type="character" w:customStyle="1" w:styleId="178">
    <w:name w:val="正文缩进 Char2"/>
    <w:link w:val="8"/>
    <w:autoRedefine/>
    <w:qFormat/>
    <w:uiPriority w:val="0"/>
    <w:rPr>
      <w:kern w:val="2"/>
      <w:sz w:val="21"/>
    </w:rPr>
  </w:style>
  <w:style w:type="paragraph" w:customStyle="1" w:styleId="179">
    <w:name w:val="默认段落字体 Para Char Char Char Char"/>
    <w:basedOn w:val="1"/>
    <w:autoRedefine/>
    <w:qFormat/>
    <w:uiPriority w:val="0"/>
    <w:rPr>
      <w:sz w:val="24"/>
    </w:rPr>
  </w:style>
  <w:style w:type="character" w:customStyle="1" w:styleId="180">
    <w:name w:val="正文文本 2 Char1"/>
    <w:link w:val="76"/>
    <w:autoRedefine/>
    <w:qFormat/>
    <w:uiPriority w:val="0"/>
    <w:rPr>
      <w:rFonts w:ascii="宋体"/>
      <w:kern w:val="2"/>
      <w:sz w:val="28"/>
    </w:rPr>
  </w:style>
  <w:style w:type="character" w:customStyle="1" w:styleId="181">
    <w:name w:val="正文文本 3 Char1"/>
    <w:link w:val="33"/>
    <w:autoRedefine/>
    <w:qFormat/>
    <w:uiPriority w:val="0"/>
    <w:rPr>
      <w:kern w:val="2"/>
      <w:sz w:val="21"/>
    </w:rPr>
  </w:style>
  <w:style w:type="paragraph" w:customStyle="1" w:styleId="182">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83">
    <w:name w:val="表格文字"/>
    <w:basedOn w:val="1"/>
    <w:link w:val="209"/>
    <w:autoRedefine/>
    <w:qFormat/>
    <w:uiPriority w:val="0"/>
    <w:pPr>
      <w:spacing w:line="360" w:lineRule="exact"/>
      <w:jc w:val="center"/>
    </w:pPr>
    <w:rPr>
      <w:sz w:val="24"/>
    </w:rPr>
  </w:style>
  <w:style w:type="paragraph" w:customStyle="1" w:styleId="184">
    <w:name w:val="表标题"/>
    <w:basedOn w:val="36"/>
    <w:link w:val="207"/>
    <w:autoRedefine/>
    <w:qFormat/>
    <w:uiPriority w:val="0"/>
    <w:pPr>
      <w:spacing w:after="0" w:line="500" w:lineRule="exact"/>
      <w:ind w:left="0" w:leftChars="0"/>
      <w:jc w:val="center"/>
    </w:pPr>
    <w:rPr>
      <w:b/>
      <w:kern w:val="2"/>
    </w:rPr>
  </w:style>
  <w:style w:type="paragraph" w:customStyle="1" w:styleId="185">
    <w:name w:val="图文框"/>
    <w:basedOn w:val="1"/>
    <w:link w:val="276"/>
    <w:autoRedefine/>
    <w:qFormat/>
    <w:uiPriority w:val="0"/>
    <w:pPr>
      <w:jc w:val="center"/>
    </w:pPr>
    <w:rPr>
      <w:rFonts w:ascii="仿宋_GB2312" w:hAnsi="宋体" w:eastAsia="仿宋_GB2312"/>
      <w:bCs/>
      <w:szCs w:val="21"/>
    </w:rPr>
  </w:style>
  <w:style w:type="paragraph" w:customStyle="1" w:styleId="186">
    <w:name w:val="图文字"/>
    <w:basedOn w:val="1"/>
    <w:autoRedefine/>
    <w:qFormat/>
    <w:uiPriority w:val="0"/>
    <w:pPr>
      <w:spacing w:line="400" w:lineRule="exact"/>
    </w:pPr>
    <w:rPr>
      <w:rFonts w:eastAsia="仿宋_GB2312"/>
      <w:b/>
      <w:sz w:val="24"/>
    </w:rPr>
  </w:style>
  <w:style w:type="paragraph" w:customStyle="1" w:styleId="187">
    <w:name w:val="标题4"/>
    <w:basedOn w:val="9"/>
    <w:next w:val="1"/>
    <w:autoRedefine/>
    <w:qFormat/>
    <w:uiPriority w:val="0"/>
    <w:pPr>
      <w:adjustRightInd w:val="0"/>
      <w:spacing w:line="360" w:lineRule="auto"/>
      <w:textAlignment w:val="baseline"/>
    </w:pPr>
    <w:rPr>
      <w:b w:val="0"/>
      <w:bCs w:val="0"/>
      <w:sz w:val="24"/>
    </w:rPr>
  </w:style>
  <w:style w:type="paragraph" w:customStyle="1" w:styleId="188">
    <w:name w:val="图标题"/>
    <w:basedOn w:val="1"/>
    <w:autoRedefine/>
    <w:qFormat/>
    <w:uiPriority w:val="0"/>
    <w:pPr>
      <w:framePr w:hSpace="181" w:vSpace="181" w:wrap="around" w:vAnchor="text" w:hAnchor="text" w:y="1"/>
      <w:spacing w:line="260" w:lineRule="exact"/>
      <w:jc w:val="center"/>
    </w:pPr>
    <w:rPr>
      <w:rFonts w:ascii="仿宋_GB2312" w:eastAsia="仿宋_GB2312"/>
      <w:b/>
      <w:bCs/>
      <w:sz w:val="24"/>
      <w:szCs w:val="20"/>
    </w:rPr>
  </w:style>
  <w:style w:type="paragraph" w:customStyle="1" w:styleId="189">
    <w:name w:val="Date1"/>
    <w:basedOn w:val="1"/>
    <w:next w:val="1"/>
    <w:autoRedefine/>
    <w:qFormat/>
    <w:uiPriority w:val="0"/>
    <w:pPr>
      <w:adjustRightInd w:val="0"/>
      <w:textAlignment w:val="baseline"/>
    </w:pPr>
    <w:rPr>
      <w:szCs w:val="20"/>
    </w:rPr>
  </w:style>
  <w:style w:type="character" w:customStyle="1" w:styleId="190">
    <w:name w:val="postbody1"/>
    <w:autoRedefine/>
    <w:qFormat/>
    <w:uiPriority w:val="0"/>
    <w:rPr>
      <w:sz w:val="18"/>
      <w:szCs w:val="18"/>
    </w:rPr>
  </w:style>
  <w:style w:type="paragraph" w:customStyle="1" w:styleId="191">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character" w:customStyle="1" w:styleId="192">
    <w:name w:val="正文 Char"/>
    <w:autoRedefine/>
    <w:qFormat/>
    <w:uiPriority w:val="0"/>
    <w:rPr>
      <w:rFonts w:ascii="仿宋_GB2312" w:hAnsi="宋体" w:eastAsia="仿宋_GB2312"/>
      <w:color w:val="000000"/>
      <w:kern w:val="2"/>
      <w:sz w:val="28"/>
      <w:szCs w:val="24"/>
      <w:lang w:val="en-US" w:eastAsia="zh-CN" w:bidi="ar-SA"/>
    </w:rPr>
  </w:style>
  <w:style w:type="paragraph" w:customStyle="1" w:styleId="193">
    <w:name w:val="表头"/>
    <w:basedOn w:val="184"/>
    <w:link w:val="204"/>
    <w:autoRedefine/>
    <w:qFormat/>
    <w:uiPriority w:val="0"/>
    <w:rPr>
      <w:rFonts w:ascii="仿宋_GB2312" w:eastAsia="仿宋_GB2312"/>
    </w:rPr>
  </w:style>
  <w:style w:type="character" w:customStyle="1" w:styleId="194">
    <w:name w:val="文档结构图 Char1"/>
    <w:link w:val="28"/>
    <w:autoRedefine/>
    <w:qFormat/>
    <w:uiPriority w:val="0"/>
    <w:rPr>
      <w:kern w:val="2"/>
      <w:sz w:val="21"/>
      <w:shd w:val="clear" w:color="auto" w:fill="000080"/>
    </w:rPr>
  </w:style>
  <w:style w:type="character" w:customStyle="1" w:styleId="195">
    <w:name w:val="正文（首行缩进两字） Char Char1"/>
    <w:autoRedefine/>
    <w:qFormat/>
    <w:uiPriority w:val="0"/>
    <w:rPr>
      <w:rFonts w:ascii="仿宋_GB2312" w:eastAsia="仿宋_GB2312"/>
      <w:kern w:val="2"/>
      <w:sz w:val="28"/>
      <w:szCs w:val="24"/>
      <w:lang w:val="en-US" w:eastAsia="zh-CN" w:bidi="ar-SA"/>
    </w:rPr>
  </w:style>
  <w:style w:type="character" w:customStyle="1" w:styleId="196">
    <w:name w:val="正文缩进 Char1"/>
    <w:autoRedefine/>
    <w:qFormat/>
    <w:uiPriority w:val="0"/>
    <w:rPr>
      <w:rFonts w:ascii="仿宋_GB2312" w:eastAsia="仿宋_GB2312"/>
      <w:kern w:val="2"/>
      <w:sz w:val="28"/>
      <w:szCs w:val="24"/>
      <w:lang w:val="en-US" w:eastAsia="zh-CN" w:bidi="ar-SA"/>
    </w:rPr>
  </w:style>
  <w:style w:type="paragraph" w:customStyle="1" w:styleId="197">
    <w:name w:val="正文缩进2"/>
    <w:basedOn w:val="1"/>
    <w:autoRedefine/>
    <w:qFormat/>
    <w:uiPriority w:val="0"/>
    <w:pPr>
      <w:adjustRightInd w:val="0"/>
      <w:ind w:firstLine="420" w:firstLineChars="200"/>
      <w:textAlignment w:val="baseline"/>
    </w:pPr>
    <w:rPr>
      <w:rFonts w:hint="eastAsia" w:hAnsi="宋体"/>
      <w:sz w:val="24"/>
      <w:szCs w:val="20"/>
    </w:rPr>
  </w:style>
  <w:style w:type="character" w:customStyle="1" w:styleId="198">
    <w:name w:val="纯文本 Char"/>
    <w:link w:val="46"/>
    <w:autoRedefine/>
    <w:qFormat/>
    <w:uiPriority w:val="0"/>
    <w:rPr>
      <w:rFonts w:ascii="宋体" w:hAnsi="Courier New" w:cs="Courier New"/>
      <w:kern w:val="2"/>
      <w:sz w:val="21"/>
      <w:szCs w:val="21"/>
    </w:rPr>
  </w:style>
  <w:style w:type="paragraph" w:customStyle="1" w:styleId="199">
    <w:name w:val="表文字"/>
    <w:basedOn w:val="81"/>
    <w:autoRedefine/>
    <w:qFormat/>
    <w:uiPriority w:val="0"/>
    <w:pPr>
      <w:spacing w:before="0" w:beforeAutospacing="0" w:after="0" w:afterAutospacing="0"/>
      <w:jc w:val="center"/>
    </w:pPr>
    <w:rPr>
      <w:sz w:val="21"/>
      <w:szCs w:val="21"/>
    </w:rPr>
  </w:style>
  <w:style w:type="paragraph" w:customStyle="1" w:styleId="200">
    <w:name w:val="表格内容"/>
    <w:basedOn w:val="1"/>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201">
    <w:name w:val="Char"/>
    <w:basedOn w:val="1"/>
    <w:autoRedefine/>
    <w:qFormat/>
    <w:uiPriority w:val="0"/>
    <w:rPr>
      <w:sz w:val="24"/>
    </w:rPr>
  </w:style>
  <w:style w:type="paragraph" w:customStyle="1" w:styleId="202">
    <w:name w:val="表蕊"/>
    <w:basedOn w:val="1"/>
    <w:link w:val="203"/>
    <w:autoRedefine/>
    <w:qFormat/>
    <w:uiPriority w:val="0"/>
    <w:pPr>
      <w:adjustRightInd w:val="0"/>
      <w:spacing w:line="320" w:lineRule="atLeast"/>
      <w:jc w:val="left"/>
      <w:textAlignment w:val="baseline"/>
    </w:pPr>
    <w:rPr>
      <w:rFonts w:eastAsia="楷体_GB2312"/>
      <w:spacing w:val="-10"/>
      <w:kern w:val="0"/>
      <w:szCs w:val="20"/>
    </w:rPr>
  </w:style>
  <w:style w:type="character" w:customStyle="1" w:styleId="203">
    <w:name w:val="表蕊 Char1"/>
    <w:link w:val="202"/>
    <w:autoRedefine/>
    <w:qFormat/>
    <w:uiPriority w:val="0"/>
    <w:rPr>
      <w:rFonts w:eastAsia="楷体_GB2312"/>
      <w:spacing w:val="-10"/>
      <w:sz w:val="21"/>
    </w:rPr>
  </w:style>
  <w:style w:type="character" w:customStyle="1" w:styleId="204">
    <w:name w:val="表头 Char"/>
    <w:link w:val="193"/>
    <w:autoRedefine/>
    <w:qFormat/>
    <w:uiPriority w:val="0"/>
    <w:rPr>
      <w:rFonts w:ascii="仿宋_GB2312" w:eastAsia="仿宋_GB2312"/>
      <w:b/>
      <w:kern w:val="2"/>
      <w:sz w:val="24"/>
    </w:rPr>
  </w:style>
  <w:style w:type="paragraph" w:customStyle="1" w:styleId="205">
    <w:name w:val="Body Text 21"/>
    <w:basedOn w:val="1"/>
    <w:autoRedefine/>
    <w:qFormat/>
    <w:uiPriority w:val="0"/>
    <w:pPr>
      <w:textAlignment w:val="baseline"/>
    </w:pPr>
    <w:rPr>
      <w:color w:val="000000"/>
      <w:sz w:val="24"/>
      <w:szCs w:val="20"/>
    </w:rPr>
  </w:style>
  <w:style w:type="character" w:customStyle="1" w:styleId="206">
    <w:name w:val="nine-11"/>
    <w:autoRedefine/>
    <w:qFormat/>
    <w:uiPriority w:val="0"/>
    <w:rPr>
      <w:rFonts w:hint="default"/>
      <w:sz w:val="18"/>
      <w:szCs w:val="18"/>
    </w:rPr>
  </w:style>
  <w:style w:type="character" w:customStyle="1" w:styleId="207">
    <w:name w:val="表标题 Char"/>
    <w:link w:val="184"/>
    <w:autoRedefine/>
    <w:qFormat/>
    <w:locked/>
    <w:uiPriority w:val="0"/>
    <w:rPr>
      <w:b/>
      <w:kern w:val="2"/>
      <w:sz w:val="24"/>
    </w:rPr>
  </w:style>
  <w:style w:type="paragraph" w:customStyle="1" w:styleId="208">
    <w:name w:val="首行缩进"/>
    <w:basedOn w:val="1"/>
    <w:link w:val="334"/>
    <w:autoRedefine/>
    <w:qFormat/>
    <w:uiPriority w:val="0"/>
    <w:pPr>
      <w:adjustRightInd w:val="0"/>
      <w:spacing w:line="360" w:lineRule="auto"/>
      <w:ind w:firstLine="480" w:firstLineChars="200"/>
      <w:textAlignment w:val="baseline"/>
    </w:pPr>
    <w:rPr>
      <w:sz w:val="24"/>
    </w:rPr>
  </w:style>
  <w:style w:type="character" w:customStyle="1" w:styleId="209">
    <w:name w:val="表格文字 Char"/>
    <w:link w:val="183"/>
    <w:autoRedefine/>
    <w:qFormat/>
    <w:locked/>
    <w:uiPriority w:val="0"/>
    <w:rPr>
      <w:kern w:val="2"/>
      <w:sz w:val="24"/>
      <w:szCs w:val="24"/>
    </w:rPr>
  </w:style>
  <w:style w:type="paragraph" w:customStyle="1" w:styleId="210">
    <w:name w:val="表格 1"/>
    <w:basedOn w:val="1"/>
    <w:link w:val="211"/>
    <w:autoRedefine/>
    <w:qFormat/>
    <w:uiPriority w:val="0"/>
    <w:pPr>
      <w:spacing w:line="320" w:lineRule="exact"/>
      <w:jc w:val="center"/>
    </w:pPr>
    <w:rPr>
      <w:rFonts w:ascii="仿宋_GB2312" w:hAnsi="仿宋_GB2312" w:eastAsia="仿宋_GB2312"/>
      <w:szCs w:val="21"/>
      <w:lang w:val="zh-CN"/>
    </w:rPr>
  </w:style>
  <w:style w:type="character" w:customStyle="1" w:styleId="211">
    <w:name w:val="表格 1 Char"/>
    <w:link w:val="210"/>
    <w:autoRedefine/>
    <w:qFormat/>
    <w:uiPriority w:val="0"/>
    <w:rPr>
      <w:rFonts w:ascii="仿宋_GB2312" w:hAnsi="仿宋_GB2312" w:eastAsia="仿宋_GB2312"/>
      <w:kern w:val="2"/>
      <w:sz w:val="21"/>
      <w:szCs w:val="21"/>
      <w:lang w:val="zh-CN" w:eastAsia="zh-CN"/>
    </w:rPr>
  </w:style>
  <w:style w:type="character" w:customStyle="1" w:styleId="212">
    <w:name w:val="题注 Char4"/>
    <w:link w:val="24"/>
    <w:autoRedefine/>
    <w:qFormat/>
    <w:uiPriority w:val="0"/>
    <w:rPr>
      <w:rFonts w:ascii="宋体" w:hAnsi="宋体"/>
      <w:b/>
      <w:sz w:val="21"/>
      <w:szCs w:val="21"/>
      <w:lang w:val="zh-CN"/>
    </w:rPr>
  </w:style>
  <w:style w:type="paragraph" w:customStyle="1" w:styleId="213">
    <w:name w:val="表注"/>
    <w:basedOn w:val="8"/>
    <w:link w:val="2063"/>
    <w:autoRedefine/>
    <w:qFormat/>
    <w:uiPriority w:val="0"/>
    <w:pPr>
      <w:ind w:firstLine="0" w:firstLineChars="0"/>
      <w:jc w:val="left"/>
    </w:pPr>
    <w:rPr>
      <w:rFonts w:ascii="仿宋_GB2312" w:eastAsia="仿宋_GB2312"/>
      <w:sz w:val="18"/>
      <w:szCs w:val="18"/>
      <w:lang w:val="en-GB"/>
    </w:rPr>
  </w:style>
  <w:style w:type="paragraph" w:customStyle="1" w:styleId="214">
    <w:name w:val="报告表正文"/>
    <w:basedOn w:val="1"/>
    <w:autoRedefine/>
    <w:qFormat/>
    <w:uiPriority w:val="0"/>
    <w:pPr>
      <w:numPr>
        <w:ilvl w:val="1"/>
        <w:numId w:val="1"/>
      </w:numPr>
      <w:tabs>
        <w:tab w:val="clear" w:pos="1437"/>
      </w:tabs>
      <w:adjustRightInd w:val="0"/>
      <w:spacing w:line="312" w:lineRule="auto"/>
      <w:ind w:left="113" w:right="113" w:firstLine="482"/>
    </w:pPr>
    <w:rPr>
      <w:rFonts w:ascii="宋体" w:hAnsi="宋体"/>
      <w:kern w:val="0"/>
      <w:sz w:val="24"/>
      <w:szCs w:val="20"/>
    </w:rPr>
  </w:style>
  <w:style w:type="paragraph" w:customStyle="1" w:styleId="215">
    <w:name w:val="样式1"/>
    <w:basedOn w:val="1"/>
    <w:link w:val="216"/>
    <w:autoRedefine/>
    <w:qFormat/>
    <w:uiPriority w:val="0"/>
    <w:pPr>
      <w:spacing w:line="360" w:lineRule="auto"/>
      <w:ind w:firstLine="510"/>
    </w:pPr>
    <w:rPr>
      <w:sz w:val="24"/>
      <w:szCs w:val="20"/>
    </w:rPr>
  </w:style>
  <w:style w:type="character" w:customStyle="1" w:styleId="216">
    <w:name w:val="样式1 Char"/>
    <w:link w:val="215"/>
    <w:autoRedefine/>
    <w:qFormat/>
    <w:uiPriority w:val="0"/>
    <w:rPr>
      <w:kern w:val="2"/>
      <w:sz w:val="24"/>
    </w:rPr>
  </w:style>
  <w:style w:type="character" w:customStyle="1" w:styleId="217">
    <w:name w:val="unnamed1"/>
    <w:autoRedefine/>
    <w:qFormat/>
    <w:uiPriority w:val="0"/>
  </w:style>
  <w:style w:type="character" w:customStyle="1" w:styleId="218">
    <w:name w:val="font31"/>
    <w:autoRedefine/>
    <w:qFormat/>
    <w:uiPriority w:val="0"/>
    <w:rPr>
      <w:rFonts w:hint="default" w:ascii="Times New Roman" w:hAnsi="Times New Roman" w:cs="Times New Roman"/>
      <w:color w:val="000000"/>
      <w:sz w:val="21"/>
      <w:szCs w:val="21"/>
      <w:u w:val="none"/>
    </w:rPr>
  </w:style>
  <w:style w:type="character" w:customStyle="1" w:styleId="219">
    <w:name w:val="font21"/>
    <w:autoRedefine/>
    <w:qFormat/>
    <w:uiPriority w:val="0"/>
    <w:rPr>
      <w:rFonts w:hint="default" w:ascii="Times New Roman" w:hAnsi="Times New Roman" w:cs="Times New Roman"/>
      <w:color w:val="000000"/>
      <w:sz w:val="21"/>
      <w:szCs w:val="21"/>
      <w:u w:val="none"/>
      <w:vertAlign w:val="superscript"/>
    </w:rPr>
  </w:style>
  <w:style w:type="character" w:customStyle="1" w:styleId="220">
    <w:name w:val="font11"/>
    <w:autoRedefine/>
    <w:qFormat/>
    <w:uiPriority w:val="0"/>
    <w:rPr>
      <w:rFonts w:hint="default" w:ascii="Times New Roman" w:hAnsi="Times New Roman" w:cs="Times New Roman"/>
      <w:color w:val="000000"/>
      <w:sz w:val="21"/>
      <w:szCs w:val="21"/>
      <w:u w:val="none"/>
      <w:vertAlign w:val="subscript"/>
    </w:rPr>
  </w:style>
  <w:style w:type="paragraph" w:customStyle="1" w:styleId="221">
    <w:name w:val="列表段落1"/>
    <w:basedOn w:val="1"/>
    <w:autoRedefine/>
    <w:qFormat/>
    <w:uiPriority w:val="34"/>
    <w:pPr>
      <w:ind w:firstLine="420" w:firstLineChars="200"/>
    </w:pPr>
    <w:rPr>
      <w:szCs w:val="20"/>
    </w:rPr>
  </w:style>
  <w:style w:type="paragraph" w:customStyle="1" w:styleId="222">
    <w:name w:val="Table Paragraph"/>
    <w:basedOn w:val="1"/>
    <w:autoRedefine/>
    <w:qFormat/>
    <w:uiPriority w:val="1"/>
    <w:pPr>
      <w:widowControl/>
      <w:jc w:val="left"/>
    </w:pPr>
    <w:rPr>
      <w:rFonts w:ascii="Calibri" w:hAnsi="Calibri"/>
      <w:kern w:val="0"/>
      <w:sz w:val="22"/>
      <w:szCs w:val="22"/>
      <w:lang w:eastAsia="en-US"/>
    </w:rPr>
  </w:style>
  <w:style w:type="character" w:customStyle="1" w:styleId="223">
    <w:name w:val="Char2"/>
    <w:autoRedefine/>
    <w:qFormat/>
    <w:uiPriority w:val="0"/>
    <w:rPr>
      <w:rFonts w:ascii="黑体" w:eastAsia="黑体"/>
      <w:kern w:val="44"/>
      <w:sz w:val="44"/>
      <w:lang w:val="en-US" w:eastAsia="zh-CN" w:bidi="ar-SA"/>
    </w:rPr>
  </w:style>
  <w:style w:type="table" w:customStyle="1" w:styleId="224">
    <w:name w:val="表格样式1"/>
    <w:basedOn w:val="89"/>
    <w:autoRedefine/>
    <w:qFormat/>
    <w:uiPriority w:val="0"/>
    <w:pPr>
      <w:jc w:val="center"/>
    </w:pPr>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tcPr>
        <w:tcBorders>
          <w:tl2br w:val="nil"/>
          <w:tr2bl w:val="nil"/>
        </w:tcBorders>
      </w:tcPr>
    </w:tblStylePr>
    <w:tblStylePr w:type="swCell">
      <w:tcPr>
        <w:tcBorders>
          <w:tl2br w:val="nil"/>
          <w:tr2bl w:val="nil"/>
        </w:tcBorders>
      </w:tcPr>
    </w:tblStylePr>
  </w:style>
  <w:style w:type="character" w:customStyle="1" w:styleId="225">
    <w:name w:val="图表文字 字符"/>
    <w:autoRedefine/>
    <w:qFormat/>
    <w:uiPriority w:val="0"/>
    <w:rPr>
      <w:rFonts w:ascii="Times New Roman" w:hAnsi="Times New Roman" w:eastAsia="仿宋_GB2312"/>
      <w:szCs w:val="21"/>
    </w:rPr>
  </w:style>
  <w:style w:type="paragraph" w:customStyle="1" w:styleId="226">
    <w:name w:val="表格式"/>
    <w:basedOn w:val="66"/>
    <w:autoRedefine/>
    <w:qFormat/>
    <w:uiPriority w:val="0"/>
    <w:pPr>
      <w:spacing w:line="400" w:lineRule="exact"/>
    </w:pPr>
    <w:rPr>
      <w:rFonts w:eastAsia="宋体"/>
      <w:sz w:val="21"/>
      <w:szCs w:val="20"/>
    </w:rPr>
  </w:style>
  <w:style w:type="character" w:customStyle="1" w:styleId="227">
    <w:name w:val="正文文本 Char1"/>
    <w:autoRedefine/>
    <w:qFormat/>
    <w:uiPriority w:val="99"/>
    <w:rPr>
      <w:rFonts w:ascii="Times New Roman" w:hAnsi="Times New Roman" w:eastAsia="宋体" w:cs="Times New Roman"/>
      <w:szCs w:val="20"/>
    </w:rPr>
  </w:style>
  <w:style w:type="paragraph" w:customStyle="1" w:styleId="228">
    <w:name w:val="1 Char Char Char Char Char Char Char Char Char Char Char Char Char Char Char Char Char Char Char"/>
    <w:basedOn w:val="1"/>
    <w:autoRedefine/>
    <w:qFormat/>
    <w:uiPriority w:val="0"/>
    <w:pPr>
      <w:adjustRightInd w:val="0"/>
      <w:spacing w:line="360" w:lineRule="auto"/>
    </w:pPr>
    <w:rPr>
      <w:kern w:val="0"/>
      <w:sz w:val="24"/>
      <w:szCs w:val="20"/>
    </w:rPr>
  </w:style>
  <w:style w:type="table" w:customStyle="1" w:styleId="229">
    <w:name w:val="网格型1"/>
    <w:basedOn w:val="87"/>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0">
    <w:name w:val="标题 1 Char1"/>
    <w:link w:val="5"/>
    <w:autoRedefine/>
    <w:qFormat/>
    <w:uiPriority w:val="0"/>
    <w:rPr>
      <w:rFonts w:eastAsia="黑体"/>
      <w:b/>
      <w:bCs/>
      <w:color w:val="000000"/>
      <w:kern w:val="44"/>
      <w:sz w:val="30"/>
      <w:szCs w:val="30"/>
    </w:rPr>
  </w:style>
  <w:style w:type="table" w:customStyle="1" w:styleId="231">
    <w:name w:val="黄桥表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2">
    <w:name w:val="表格03"/>
    <w:basedOn w:val="1"/>
    <w:autoRedefine/>
    <w:qFormat/>
    <w:uiPriority w:val="0"/>
    <w:pPr>
      <w:spacing w:line="400" w:lineRule="exact"/>
      <w:jc w:val="center"/>
    </w:pPr>
    <w:rPr>
      <w:color w:val="000000"/>
      <w:sz w:val="24"/>
      <w:szCs w:val="21"/>
    </w:rPr>
  </w:style>
  <w:style w:type="paragraph" w:customStyle="1" w:styleId="233">
    <w:name w:val="默认段落字体 Para Char Char Char Char Char Char Char Char Char Char Char Char Char"/>
    <w:basedOn w:val="1"/>
    <w:autoRedefine/>
    <w:qFormat/>
    <w:uiPriority w:val="0"/>
  </w:style>
  <w:style w:type="paragraph" w:customStyle="1" w:styleId="234">
    <w:name w:val="纯文本1"/>
    <w:basedOn w:val="1"/>
    <w:autoRedefine/>
    <w:qFormat/>
    <w:uiPriority w:val="0"/>
    <w:pPr>
      <w:autoSpaceDE w:val="0"/>
      <w:autoSpaceDN w:val="0"/>
      <w:adjustRightInd w:val="0"/>
      <w:textAlignment w:val="baseline"/>
    </w:pPr>
    <w:rPr>
      <w:rFonts w:ascii="宋体" w:hAnsi="Tms Rmn"/>
      <w:kern w:val="0"/>
      <w:szCs w:val="20"/>
    </w:rPr>
  </w:style>
  <w:style w:type="paragraph" w:customStyle="1" w:styleId="235">
    <w:name w:val="Char1"/>
    <w:basedOn w:val="1"/>
    <w:autoRedefine/>
    <w:qFormat/>
    <w:uiPriority w:val="0"/>
    <w:pPr>
      <w:spacing w:line="240" w:lineRule="exact"/>
      <w:ind w:firstLine="200" w:firstLineChars="200"/>
      <w:jc w:val="left"/>
    </w:pPr>
    <w:rPr>
      <w:sz w:val="28"/>
      <w:szCs w:val="28"/>
    </w:rPr>
  </w:style>
  <w:style w:type="paragraph" w:customStyle="1" w:styleId="236">
    <w:name w:val="报告书表格"/>
    <w:basedOn w:val="1"/>
    <w:link w:val="243"/>
    <w:autoRedefine/>
    <w:qFormat/>
    <w:uiPriority w:val="0"/>
    <w:pPr>
      <w:adjustRightInd w:val="0"/>
      <w:spacing w:line="320" w:lineRule="exact"/>
      <w:jc w:val="center"/>
      <w:textAlignment w:val="baseline"/>
    </w:pPr>
    <w:rPr>
      <w:rFonts w:ascii="楷体_GB2312" w:hAnsi="宋体" w:eastAsia="楷体_GB2312"/>
      <w:color w:val="0000FF"/>
      <w:kern w:val="0"/>
      <w:sz w:val="20"/>
      <w:szCs w:val="21"/>
      <w:lang w:val="zh-CN"/>
    </w:rPr>
  </w:style>
  <w:style w:type="character" w:customStyle="1" w:styleId="237">
    <w:name w:val="批注文字 Char1"/>
    <w:autoRedefine/>
    <w:qFormat/>
    <w:uiPriority w:val="99"/>
    <w:rPr>
      <w:rFonts w:ascii="Times New Roman" w:hAnsi="Times New Roman" w:eastAsia="宋体" w:cs="Times New Roman"/>
      <w:szCs w:val="20"/>
    </w:rPr>
  </w:style>
  <w:style w:type="character" w:customStyle="1" w:styleId="238">
    <w:name w:val="批注主题 Char1"/>
    <w:autoRedefine/>
    <w:qFormat/>
    <w:uiPriority w:val="99"/>
    <w:rPr>
      <w:rFonts w:ascii="Times New Roman" w:hAnsi="Times New Roman" w:eastAsia="宋体" w:cs="Times New Roman"/>
      <w:b/>
      <w:bCs/>
      <w:szCs w:val="20"/>
    </w:rPr>
  </w:style>
  <w:style w:type="character" w:customStyle="1" w:styleId="239">
    <w:name w:val="批注框文本 Char1"/>
    <w:autoRedefine/>
    <w:qFormat/>
    <w:uiPriority w:val="0"/>
    <w:rPr>
      <w:rFonts w:ascii="Times New Roman" w:hAnsi="Times New Roman" w:eastAsia="宋体" w:cs="Times New Roman"/>
      <w:sz w:val="18"/>
      <w:szCs w:val="18"/>
    </w:rPr>
  </w:style>
  <w:style w:type="paragraph" w:customStyle="1" w:styleId="240">
    <w:name w:val="正文居中"/>
    <w:basedOn w:val="59"/>
    <w:autoRedefine/>
    <w:qFormat/>
    <w:uiPriority w:val="0"/>
    <w:pPr>
      <w:tabs>
        <w:tab w:val="right" w:leader="dot" w:pos="8040"/>
      </w:tabs>
      <w:adjustRightInd w:val="0"/>
      <w:spacing w:line="360" w:lineRule="auto"/>
    </w:pPr>
    <w:rPr>
      <w:rFonts w:hAnsi="Arial" w:eastAsia="楷体_GB2312"/>
      <w:b w:val="0"/>
      <w:bCs/>
      <w:caps/>
      <w:color w:val="000000"/>
      <w:sz w:val="28"/>
      <w:szCs w:val="28"/>
    </w:rPr>
  </w:style>
  <w:style w:type="character" w:customStyle="1" w:styleId="241">
    <w:name w:val="HTML 预设格式 Char1"/>
    <w:link w:val="80"/>
    <w:autoRedefine/>
    <w:qFormat/>
    <w:uiPriority w:val="99"/>
    <w:rPr>
      <w:rFonts w:ascii="黑体" w:hAnsi="Courier New" w:eastAsia="黑体"/>
      <w:lang w:val="zh-CN" w:eastAsia="zh-CN"/>
    </w:rPr>
  </w:style>
  <w:style w:type="character" w:customStyle="1" w:styleId="242">
    <w:name w:val="HTML 预设格式 Char"/>
    <w:autoRedefine/>
    <w:qFormat/>
    <w:uiPriority w:val="0"/>
    <w:rPr>
      <w:rFonts w:ascii="Courier New" w:hAnsi="Courier New" w:cs="Courier New"/>
      <w:kern w:val="2"/>
    </w:rPr>
  </w:style>
  <w:style w:type="character" w:customStyle="1" w:styleId="243">
    <w:name w:val="报告书表格 Char"/>
    <w:link w:val="236"/>
    <w:autoRedefine/>
    <w:qFormat/>
    <w:uiPriority w:val="0"/>
    <w:rPr>
      <w:rFonts w:ascii="楷体_GB2312" w:hAnsi="宋体" w:eastAsia="楷体_GB2312"/>
      <w:color w:val="0000FF"/>
      <w:szCs w:val="21"/>
      <w:lang w:val="zh-CN" w:eastAsia="zh-CN"/>
    </w:rPr>
  </w:style>
  <w:style w:type="paragraph" w:customStyle="1" w:styleId="244">
    <w:name w:val="Char Char Char Char Char Char Char Char Char Char Char Char Char Char Char Char Char Char Char Char Char Char Char Char Char Char Char Char Char Char2 Char Char Char Char Char Char Char"/>
    <w:basedOn w:val="1"/>
    <w:autoRedefine/>
    <w:qFormat/>
    <w:uiPriority w:val="0"/>
    <w:rPr>
      <w:sz w:val="24"/>
    </w:rPr>
  </w:style>
  <w:style w:type="paragraph" w:customStyle="1" w:styleId="245">
    <w:name w:val="五号字表格"/>
    <w:basedOn w:val="1"/>
    <w:autoRedefine/>
    <w:qFormat/>
    <w:uiPriority w:val="0"/>
    <w:pPr>
      <w:adjustRightInd w:val="0"/>
      <w:jc w:val="center"/>
      <w:textAlignment w:val="baseline"/>
    </w:pPr>
    <w:rPr>
      <w:rFonts w:ascii="宋体"/>
      <w:kern w:val="0"/>
      <w:szCs w:val="20"/>
    </w:rPr>
  </w:style>
  <w:style w:type="paragraph" w:customStyle="1" w:styleId="246">
    <w:name w:val="样式3"/>
    <w:basedOn w:val="9"/>
    <w:autoRedefine/>
    <w:qFormat/>
    <w:uiPriority w:val="0"/>
    <w:pPr>
      <w:spacing w:before="0" w:after="0" w:line="336" w:lineRule="auto"/>
      <w:ind w:hanging="200" w:hangingChars="200"/>
    </w:pPr>
    <w:rPr>
      <w:rFonts w:ascii="幼圆" w:hAnsi="幼圆" w:eastAsia="Arial" w:cs="幼圆"/>
      <w:b w:val="0"/>
      <w:bCs w:val="0"/>
      <w:kern w:val="0"/>
      <w:szCs w:val="20"/>
      <w:lang w:val="zh-CN"/>
    </w:rPr>
  </w:style>
  <w:style w:type="character" w:customStyle="1" w:styleId="247">
    <w:name w:val="apple-converted-space"/>
    <w:autoRedefine/>
    <w:qFormat/>
    <w:uiPriority w:val="99"/>
    <w:rPr>
      <w:rFonts w:cs="Times New Roman"/>
    </w:rPr>
  </w:style>
  <w:style w:type="character" w:customStyle="1" w:styleId="248">
    <w:name w:val="@他1"/>
    <w:autoRedefine/>
    <w:semiHidden/>
    <w:unhideWhenUsed/>
    <w:qFormat/>
    <w:uiPriority w:val="99"/>
    <w:rPr>
      <w:color w:val="2B579A"/>
      <w:shd w:val="clear" w:color="auto" w:fill="E6E6E6"/>
    </w:rPr>
  </w:style>
  <w:style w:type="table" w:customStyle="1" w:styleId="249">
    <w:name w:val="网格型11"/>
    <w:basedOn w:val="8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0">
    <w:name w:val="网格型2"/>
    <w:basedOn w:val="87"/>
    <w:autoRedefine/>
    <w:qFormat/>
    <w:uiPriority w:val="0"/>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1">
    <w:name w:val="黄桥表1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2">
    <w:name w:val="网格型 11"/>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3">
    <w:name w:val="网格型12"/>
    <w:basedOn w:val="8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4">
    <w:name w:val="网格型3"/>
    <w:basedOn w:val="87"/>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
    <w:name w:val="黄桥表12"/>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6">
    <w:name w:val="网格型 12"/>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7">
    <w:name w:val="黄桥表2"/>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58">
    <w:name w:val="正文缩进3"/>
    <w:basedOn w:val="1"/>
    <w:autoRedefine/>
    <w:qFormat/>
    <w:uiPriority w:val="0"/>
    <w:pPr>
      <w:adjustRightInd w:val="0"/>
      <w:ind w:firstLine="420" w:firstLineChars="200"/>
      <w:textAlignment w:val="baseline"/>
    </w:pPr>
    <w:rPr>
      <w:rFonts w:hint="eastAsia" w:hAnsi="宋体"/>
      <w:sz w:val="24"/>
      <w:szCs w:val="20"/>
    </w:rPr>
  </w:style>
  <w:style w:type="paragraph" w:customStyle="1" w:styleId="259">
    <w:name w:val="纯文本2"/>
    <w:basedOn w:val="1"/>
    <w:autoRedefine/>
    <w:qFormat/>
    <w:uiPriority w:val="0"/>
    <w:pPr>
      <w:autoSpaceDE w:val="0"/>
      <w:autoSpaceDN w:val="0"/>
      <w:adjustRightInd w:val="0"/>
      <w:textAlignment w:val="baseline"/>
    </w:pPr>
    <w:rPr>
      <w:rFonts w:ascii="宋体" w:hAnsi="Tms Rmn"/>
      <w:kern w:val="0"/>
      <w:szCs w:val="20"/>
    </w:rPr>
  </w:style>
  <w:style w:type="paragraph" w:customStyle="1" w:styleId="260">
    <w:name w:val="Char Char Char Char Char Char Char Char Char Char Char Char Char Char Char Char Char Char Char Char Char Char Char Char Char Char Char Char Char Char2 Char Char Char Char Char Char Char1"/>
    <w:basedOn w:val="1"/>
    <w:autoRedefine/>
    <w:qFormat/>
    <w:uiPriority w:val="0"/>
    <w:rPr>
      <w:sz w:val="24"/>
    </w:rPr>
  </w:style>
  <w:style w:type="table" w:customStyle="1" w:styleId="261">
    <w:name w:val="网格型4"/>
    <w:basedOn w:val="87"/>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2">
    <w:name w:val="font111"/>
    <w:autoRedefine/>
    <w:qFormat/>
    <w:uiPriority w:val="0"/>
    <w:rPr>
      <w:rFonts w:hint="eastAsia" w:ascii="宋体" w:hAnsi="宋体" w:eastAsia="宋体"/>
      <w:color w:val="auto"/>
      <w:sz w:val="20"/>
      <w:szCs w:val="20"/>
      <w:u w:val="none"/>
    </w:rPr>
  </w:style>
  <w:style w:type="table" w:customStyle="1" w:styleId="263">
    <w:name w:val="网格型 111"/>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264">
    <w:name w:val="题注 Char1"/>
    <w:autoRedefine/>
    <w:qFormat/>
    <w:uiPriority w:val="0"/>
    <w:rPr>
      <w:rFonts w:ascii="Arial" w:hAnsi="Arial" w:eastAsia="黑体" w:cs="Arial"/>
      <w:sz w:val="20"/>
      <w:szCs w:val="20"/>
    </w:rPr>
  </w:style>
  <w:style w:type="character" w:customStyle="1" w:styleId="265">
    <w:name w:val="标题 1 Char"/>
    <w:autoRedefine/>
    <w:qFormat/>
    <w:uiPriority w:val="0"/>
    <w:rPr>
      <w:kern w:val="2"/>
      <w:sz w:val="32"/>
    </w:rPr>
  </w:style>
  <w:style w:type="character" w:customStyle="1" w:styleId="266">
    <w:name w:val="标题 2 Char"/>
    <w:autoRedefine/>
    <w:qFormat/>
    <w:uiPriority w:val="0"/>
    <w:rPr>
      <w:rFonts w:ascii="宋体"/>
      <w:kern w:val="2"/>
      <w:sz w:val="28"/>
    </w:rPr>
  </w:style>
  <w:style w:type="character" w:customStyle="1" w:styleId="267">
    <w:name w:val="标题 3 Char"/>
    <w:autoRedefine/>
    <w:qFormat/>
    <w:uiPriority w:val="0"/>
    <w:rPr>
      <w:rFonts w:ascii="Arial" w:hAnsi="Arial" w:eastAsia="黑体"/>
      <w:sz w:val="28"/>
      <w:szCs w:val="28"/>
      <w:lang w:val="en-US" w:eastAsia="zh-CN" w:bidi="ar-SA"/>
    </w:rPr>
  </w:style>
  <w:style w:type="character" w:customStyle="1" w:styleId="268">
    <w:name w:val="标题 4 Char"/>
    <w:autoRedefine/>
    <w:qFormat/>
    <w:uiPriority w:val="0"/>
    <w:rPr>
      <w:rFonts w:ascii="Arial" w:hAnsi="Arial" w:eastAsia="黑体"/>
      <w:b/>
      <w:bCs/>
      <w:kern w:val="2"/>
      <w:sz w:val="28"/>
      <w:szCs w:val="28"/>
      <w:lang w:val="en-US" w:eastAsia="zh-CN" w:bidi="ar-SA"/>
    </w:rPr>
  </w:style>
  <w:style w:type="character" w:customStyle="1" w:styleId="269">
    <w:name w:val="正文文本 2 Char"/>
    <w:autoRedefine/>
    <w:qFormat/>
    <w:uiPriority w:val="0"/>
    <w:rPr>
      <w:rFonts w:ascii="宋体"/>
      <w:kern w:val="2"/>
      <w:sz w:val="28"/>
    </w:rPr>
  </w:style>
  <w:style w:type="character" w:customStyle="1" w:styleId="270">
    <w:name w:val="页脚 Char"/>
    <w:autoRedefine/>
    <w:qFormat/>
    <w:uiPriority w:val="99"/>
    <w:rPr>
      <w:rFonts w:eastAsia="宋体"/>
      <w:kern w:val="2"/>
      <w:sz w:val="18"/>
      <w:szCs w:val="18"/>
      <w:lang w:val="en-US" w:eastAsia="zh-CN" w:bidi="ar-SA"/>
    </w:rPr>
  </w:style>
  <w:style w:type="character" w:customStyle="1" w:styleId="271">
    <w:name w:val="正文文本缩进 Char"/>
    <w:autoRedefine/>
    <w:qFormat/>
    <w:uiPriority w:val="0"/>
    <w:rPr>
      <w:rFonts w:ascii="宋体"/>
      <w:kern w:val="2"/>
      <w:sz w:val="28"/>
    </w:rPr>
  </w:style>
  <w:style w:type="character" w:customStyle="1" w:styleId="272">
    <w:name w:val="正文文本 Char"/>
    <w:autoRedefine/>
    <w:qFormat/>
    <w:uiPriority w:val="0"/>
    <w:rPr>
      <w:rFonts w:ascii="宋体"/>
      <w:kern w:val="2"/>
      <w:sz w:val="24"/>
    </w:rPr>
  </w:style>
  <w:style w:type="character" w:customStyle="1" w:styleId="273">
    <w:name w:val="正文文本 3 Char"/>
    <w:autoRedefine/>
    <w:qFormat/>
    <w:uiPriority w:val="0"/>
    <w:rPr>
      <w:kern w:val="2"/>
      <w:sz w:val="21"/>
    </w:rPr>
  </w:style>
  <w:style w:type="character" w:customStyle="1" w:styleId="274">
    <w:name w:val="正文文本缩进 2 Char"/>
    <w:autoRedefine/>
    <w:qFormat/>
    <w:uiPriority w:val="0"/>
    <w:rPr>
      <w:rFonts w:ascii="宋体"/>
      <w:kern w:val="2"/>
      <w:sz w:val="24"/>
    </w:rPr>
  </w:style>
  <w:style w:type="character" w:customStyle="1" w:styleId="275">
    <w:name w:val="正文文本缩进 3 Char"/>
    <w:autoRedefine/>
    <w:qFormat/>
    <w:uiPriority w:val="0"/>
    <w:rPr>
      <w:rFonts w:ascii="宋体"/>
      <w:kern w:val="2"/>
      <w:sz w:val="24"/>
    </w:rPr>
  </w:style>
  <w:style w:type="character" w:customStyle="1" w:styleId="276">
    <w:name w:val="图文框 Char"/>
    <w:link w:val="185"/>
    <w:autoRedefine/>
    <w:qFormat/>
    <w:uiPriority w:val="0"/>
    <w:rPr>
      <w:rFonts w:ascii="仿宋_GB2312" w:hAnsi="宋体" w:eastAsia="仿宋_GB2312"/>
      <w:bCs/>
      <w:kern w:val="2"/>
      <w:sz w:val="21"/>
      <w:szCs w:val="21"/>
    </w:rPr>
  </w:style>
  <w:style w:type="table" w:customStyle="1" w:styleId="277">
    <w:name w:val="网格型-中对齐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8">
    <w:name w:val="文档结构图 Char"/>
    <w:autoRedefine/>
    <w:qFormat/>
    <w:uiPriority w:val="0"/>
    <w:rPr>
      <w:kern w:val="2"/>
      <w:sz w:val="21"/>
      <w:shd w:val="clear" w:color="auto" w:fill="000080"/>
    </w:rPr>
  </w:style>
  <w:style w:type="character" w:customStyle="1" w:styleId="279">
    <w:name w:val="日期 Char"/>
    <w:autoRedefine/>
    <w:qFormat/>
    <w:uiPriority w:val="0"/>
    <w:rPr>
      <w:kern w:val="2"/>
      <w:sz w:val="24"/>
    </w:rPr>
  </w:style>
  <w:style w:type="paragraph" w:customStyle="1" w:styleId="280">
    <w:name w:val="正文缩进4"/>
    <w:basedOn w:val="1"/>
    <w:link w:val="468"/>
    <w:autoRedefine/>
    <w:qFormat/>
    <w:uiPriority w:val="0"/>
    <w:pPr>
      <w:adjustRightInd w:val="0"/>
      <w:ind w:firstLine="420" w:firstLineChars="200"/>
      <w:textAlignment w:val="baseline"/>
    </w:pPr>
    <w:rPr>
      <w:rFonts w:hint="eastAsia" w:hAnsi="宋体"/>
      <w:sz w:val="24"/>
      <w:szCs w:val="20"/>
    </w:rPr>
  </w:style>
  <w:style w:type="paragraph" w:customStyle="1" w:styleId="281">
    <w:name w:val="Char4"/>
    <w:basedOn w:val="1"/>
    <w:autoRedefine/>
    <w:qFormat/>
    <w:uiPriority w:val="0"/>
    <w:rPr>
      <w:sz w:val="24"/>
    </w:rPr>
  </w:style>
  <w:style w:type="paragraph" w:customStyle="1" w:styleId="282">
    <w:name w:val="纯文本3"/>
    <w:basedOn w:val="1"/>
    <w:autoRedefine/>
    <w:qFormat/>
    <w:uiPriority w:val="0"/>
    <w:pPr>
      <w:autoSpaceDE w:val="0"/>
      <w:autoSpaceDN w:val="0"/>
      <w:adjustRightInd w:val="0"/>
      <w:textAlignment w:val="baseline"/>
    </w:pPr>
    <w:rPr>
      <w:rFonts w:ascii="宋体" w:hAnsi="Tms Rmn"/>
      <w:kern w:val="0"/>
      <w:szCs w:val="20"/>
    </w:rPr>
  </w:style>
  <w:style w:type="paragraph" w:customStyle="1" w:styleId="283">
    <w:name w:val="Char Char Char Char Char Char Char Char Char Char Char Char Char Char Char Char Char Char Char Char Char Char Char Char Char Char Char Char Char Char2 Char Char Char Char Char Char Char2"/>
    <w:basedOn w:val="1"/>
    <w:autoRedefine/>
    <w:qFormat/>
    <w:uiPriority w:val="0"/>
    <w:rPr>
      <w:sz w:val="24"/>
    </w:rPr>
  </w:style>
  <w:style w:type="paragraph" w:customStyle="1" w:styleId="284">
    <w:name w:val="正文1"/>
    <w:link w:val="1474"/>
    <w:autoRedefine/>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285">
    <w:name w:val="正文左悬挂"/>
    <w:basedOn w:val="1"/>
    <w:autoRedefine/>
    <w:qFormat/>
    <w:uiPriority w:val="0"/>
    <w:pPr>
      <w:spacing w:line="360" w:lineRule="auto"/>
      <w:ind w:firstLine="480" w:firstLineChars="200"/>
    </w:pPr>
    <w:rPr>
      <w:sz w:val="24"/>
    </w:rPr>
  </w:style>
  <w:style w:type="paragraph" w:customStyle="1" w:styleId="286">
    <w:name w:val="Char Char Char Char"/>
    <w:basedOn w:val="1"/>
    <w:autoRedefine/>
    <w:qFormat/>
    <w:uiPriority w:val="0"/>
    <w:pPr>
      <w:snapToGrid w:val="0"/>
      <w:spacing w:line="360" w:lineRule="auto"/>
      <w:ind w:firstLine="200" w:firstLineChars="200"/>
    </w:pPr>
    <w:rPr>
      <w:rFonts w:eastAsia="仿宋_GB2312"/>
      <w:sz w:val="24"/>
    </w:rPr>
  </w:style>
  <w:style w:type="paragraph" w:customStyle="1" w:styleId="287">
    <w:name w:val="默认段落字体 Para Char"/>
    <w:basedOn w:val="1"/>
    <w:autoRedefine/>
    <w:qFormat/>
    <w:uiPriority w:val="0"/>
  </w:style>
  <w:style w:type="paragraph" w:customStyle="1" w:styleId="288">
    <w:name w:val="表格文字2"/>
    <w:basedOn w:val="1"/>
    <w:autoRedefine/>
    <w:qFormat/>
    <w:uiPriority w:val="0"/>
    <w:pPr>
      <w:adjustRightInd w:val="0"/>
      <w:snapToGrid w:val="0"/>
      <w:jc w:val="center"/>
      <w:textAlignment w:val="baseline"/>
    </w:pPr>
    <w:rPr>
      <w:rFonts w:ascii="Arial" w:hAnsi="Arial"/>
      <w:sz w:val="24"/>
    </w:rPr>
  </w:style>
  <w:style w:type="paragraph" w:customStyle="1" w:styleId="289">
    <w:name w:val="（）"/>
    <w:basedOn w:val="1"/>
    <w:autoRedefine/>
    <w:qFormat/>
    <w:uiPriority w:val="0"/>
    <w:pPr>
      <w:ind w:firstLine="600" w:firstLineChars="200"/>
    </w:pPr>
    <w:rPr>
      <w:sz w:val="30"/>
      <w:szCs w:val="20"/>
    </w:rPr>
  </w:style>
  <w:style w:type="paragraph" w:customStyle="1" w:styleId="290">
    <w:name w:val="表格正文"/>
    <w:basedOn w:val="1"/>
    <w:autoRedefine/>
    <w:qFormat/>
    <w:uiPriority w:val="0"/>
    <w:pPr>
      <w:spacing w:line="360" w:lineRule="exact"/>
      <w:jc w:val="center"/>
    </w:pPr>
    <w:rPr>
      <w:kern w:val="0"/>
      <w:szCs w:val="20"/>
    </w:rPr>
  </w:style>
  <w:style w:type="paragraph" w:customStyle="1" w:styleId="291">
    <w:name w:val="标题正4"/>
    <w:basedOn w:val="1"/>
    <w:autoRedefine/>
    <w:qFormat/>
    <w:uiPriority w:val="0"/>
    <w:pPr>
      <w:spacing w:line="320" w:lineRule="exact"/>
      <w:jc w:val="center"/>
    </w:pPr>
    <w:rPr>
      <w:rFonts w:ascii="宋体" w:hAnsi="宋体"/>
      <w:szCs w:val="21"/>
    </w:rPr>
  </w:style>
  <w:style w:type="paragraph" w:customStyle="1" w:styleId="292">
    <w:name w:val="报告表格"/>
    <w:basedOn w:val="1"/>
    <w:link w:val="997"/>
    <w:autoRedefine/>
    <w:qFormat/>
    <w:uiPriority w:val="0"/>
    <w:pPr>
      <w:autoSpaceDE w:val="0"/>
      <w:autoSpaceDN w:val="0"/>
      <w:adjustRightInd w:val="0"/>
      <w:spacing w:line="280" w:lineRule="exact"/>
      <w:jc w:val="center"/>
      <w:textAlignment w:val="bottom"/>
    </w:pPr>
    <w:rPr>
      <w:rFonts w:ascii="宋体" w:hAnsi="宋体"/>
      <w:kern w:val="0"/>
      <w:szCs w:val="21"/>
    </w:rPr>
  </w:style>
  <w:style w:type="paragraph" w:customStyle="1" w:styleId="293">
    <w:name w:val="国林"/>
    <w:basedOn w:val="1"/>
    <w:autoRedefine/>
    <w:qFormat/>
    <w:uiPriority w:val="0"/>
    <w:rPr>
      <w:rFonts w:ascii="仿宋_GB2312"/>
      <w:sz w:val="28"/>
      <w:szCs w:val="20"/>
    </w:rPr>
  </w:style>
  <w:style w:type="paragraph" w:customStyle="1" w:styleId="294">
    <w:name w:val="样式 标题 2 + 宋体"/>
    <w:basedOn w:val="6"/>
    <w:autoRedefine/>
    <w:qFormat/>
    <w:uiPriority w:val="0"/>
    <w:pPr>
      <w:keepLines/>
      <w:spacing w:before="120" w:after="120" w:line="413" w:lineRule="auto"/>
      <w:jc w:val="left"/>
    </w:pPr>
    <w:rPr>
      <w:rFonts w:hAnsi="宋体"/>
      <w:b/>
      <w:bCs/>
      <w:kern w:val="0"/>
      <w:sz w:val="30"/>
      <w:szCs w:val="32"/>
      <w:lang w:val="zh-CN"/>
    </w:rPr>
  </w:style>
  <w:style w:type="paragraph" w:customStyle="1" w:styleId="295">
    <w:name w:val="正文文本缩进1"/>
    <w:basedOn w:val="1"/>
    <w:autoRedefine/>
    <w:qFormat/>
    <w:uiPriority w:val="0"/>
    <w:pPr>
      <w:adjustRightInd w:val="0"/>
      <w:spacing w:after="120" w:line="360" w:lineRule="auto"/>
      <w:ind w:left="420" w:leftChars="200" w:firstLine="200" w:firstLineChars="200"/>
      <w:textAlignment w:val="baseline"/>
    </w:pPr>
    <w:rPr>
      <w:sz w:val="24"/>
    </w:rPr>
  </w:style>
  <w:style w:type="paragraph" w:customStyle="1" w:styleId="296">
    <w:name w:val="普通 (Web)"/>
    <w:basedOn w:val="1"/>
    <w:next w:val="1"/>
    <w:autoRedefine/>
    <w:qFormat/>
    <w:uiPriority w:val="0"/>
    <w:pPr>
      <w:autoSpaceDE w:val="0"/>
      <w:autoSpaceDN w:val="0"/>
      <w:adjustRightInd w:val="0"/>
      <w:spacing w:before="100" w:after="100"/>
      <w:jc w:val="left"/>
    </w:pPr>
    <w:rPr>
      <w:rFonts w:ascii="宋体"/>
      <w:kern w:val="0"/>
      <w:sz w:val="24"/>
    </w:rPr>
  </w:style>
  <w:style w:type="paragraph" w:customStyle="1" w:styleId="297">
    <w:name w:val="Char Char1"/>
    <w:basedOn w:val="1"/>
    <w:autoRedefine/>
    <w:qFormat/>
    <w:uiPriority w:val="0"/>
    <w:rPr>
      <w:sz w:val="24"/>
    </w:rPr>
  </w:style>
  <w:style w:type="paragraph" w:customStyle="1" w:styleId="298">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299">
    <w:name w:val="reader-word-layer reader-word-s4-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0">
    <w:name w:val="zw1"/>
    <w:autoRedefine/>
    <w:qFormat/>
    <w:uiPriority w:val="0"/>
    <w:rPr>
      <w:rFonts w:hint="eastAsia" w:ascii="宋体" w:hAnsi="宋体" w:eastAsia="宋体"/>
      <w:sz w:val="22"/>
      <w:szCs w:val="22"/>
    </w:rPr>
  </w:style>
  <w:style w:type="paragraph" w:customStyle="1" w:styleId="301">
    <w:name w:val="Char Char4 Char Char Char Char"/>
    <w:basedOn w:val="1"/>
    <w:autoRedefine/>
    <w:qFormat/>
    <w:uiPriority w:val="0"/>
    <w:pPr>
      <w:spacing w:line="360" w:lineRule="auto"/>
      <w:ind w:firstLine="200" w:firstLineChars="200"/>
    </w:pPr>
    <w:rPr>
      <w:rFonts w:ascii="宋体" w:hAnsi="宋体" w:cs="宋体"/>
      <w:sz w:val="24"/>
    </w:rPr>
  </w:style>
  <w:style w:type="paragraph" w:customStyle="1" w:styleId="302">
    <w:name w:val="列出段落12"/>
    <w:basedOn w:val="1"/>
    <w:autoRedefine/>
    <w:unhideWhenUsed/>
    <w:qFormat/>
    <w:uiPriority w:val="0"/>
    <w:pPr>
      <w:ind w:firstLine="420" w:firstLineChars="200"/>
    </w:pPr>
    <w:rPr>
      <w:rFonts w:hint="eastAsia" w:ascii="Calibri" w:hAnsi="Calibri" w:cs="黑体"/>
      <w:szCs w:val="22"/>
    </w:rPr>
  </w:style>
  <w:style w:type="character" w:customStyle="1" w:styleId="303">
    <w:name w:val="unnamed11"/>
    <w:autoRedefine/>
    <w:qFormat/>
    <w:uiPriority w:val="0"/>
    <w:rPr>
      <w:b/>
      <w:bCs/>
      <w:color w:val="3366CC"/>
      <w:sz w:val="21"/>
      <w:szCs w:val="21"/>
    </w:rPr>
  </w:style>
  <w:style w:type="paragraph" w:customStyle="1" w:styleId="304">
    <w:name w:val="正文01"/>
    <w:basedOn w:val="1"/>
    <w:link w:val="969"/>
    <w:autoRedefine/>
    <w:qFormat/>
    <w:uiPriority w:val="0"/>
    <w:pPr>
      <w:spacing w:before="60" w:line="460" w:lineRule="exact"/>
      <w:ind w:firstLine="200" w:firstLineChars="200"/>
    </w:pPr>
    <w:rPr>
      <w:rFonts w:ascii="Arial" w:hAnsi="Arial"/>
      <w:kern w:val="0"/>
      <w:sz w:val="24"/>
    </w:rPr>
  </w:style>
  <w:style w:type="paragraph" w:customStyle="1" w:styleId="305">
    <w:name w:val="Char11"/>
    <w:basedOn w:val="1"/>
    <w:autoRedefine/>
    <w:qFormat/>
    <w:uiPriority w:val="0"/>
    <w:pPr>
      <w:snapToGrid w:val="0"/>
      <w:spacing w:line="360" w:lineRule="auto"/>
      <w:ind w:firstLine="200" w:firstLineChars="200"/>
    </w:pPr>
    <w:rPr>
      <w:rFonts w:eastAsia="仿宋_GB2312"/>
      <w:sz w:val="24"/>
    </w:rPr>
  </w:style>
  <w:style w:type="character" w:customStyle="1" w:styleId="306">
    <w:name w:val="tw4winInternal"/>
    <w:autoRedefine/>
    <w:qFormat/>
    <w:uiPriority w:val="0"/>
    <w:rPr>
      <w:color w:val="FF0000"/>
      <w:lang w:val="en-US" w:eastAsia="zh-CN"/>
    </w:rPr>
  </w:style>
  <w:style w:type="table" w:customStyle="1" w:styleId="307">
    <w:name w:val="网格型-中对齐2"/>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8">
    <w:name w:val="Char Char Char3 Char Char Char Char Char Char"/>
    <w:basedOn w:val="1"/>
    <w:next w:val="1"/>
    <w:autoRedefine/>
    <w:qFormat/>
    <w:uiPriority w:val="0"/>
    <w:pPr>
      <w:spacing w:line="360" w:lineRule="auto"/>
      <w:ind w:firstLine="200" w:firstLineChars="200"/>
    </w:pPr>
    <w:rPr>
      <w:rFonts w:ascii="宋体" w:hAnsi="宋体" w:cs="宋体"/>
      <w:sz w:val="24"/>
    </w:rPr>
  </w:style>
  <w:style w:type="paragraph" w:customStyle="1" w:styleId="309">
    <w:name w:val="样式17"/>
    <w:basedOn w:val="1"/>
    <w:link w:val="310"/>
    <w:autoRedefine/>
    <w:qFormat/>
    <w:uiPriority w:val="99"/>
    <w:pPr>
      <w:spacing w:line="400" w:lineRule="exact"/>
      <w:ind w:firstLine="200" w:firstLineChars="200"/>
    </w:pPr>
    <w:rPr>
      <w:spacing w:val="20"/>
      <w:sz w:val="24"/>
      <w:szCs w:val="20"/>
    </w:rPr>
  </w:style>
  <w:style w:type="character" w:customStyle="1" w:styleId="310">
    <w:name w:val="样式17 Char"/>
    <w:link w:val="309"/>
    <w:autoRedefine/>
    <w:qFormat/>
    <w:uiPriority w:val="99"/>
    <w:rPr>
      <w:spacing w:val="20"/>
      <w:kern w:val="2"/>
      <w:sz w:val="24"/>
    </w:rPr>
  </w:style>
  <w:style w:type="table" w:customStyle="1" w:styleId="311">
    <w:name w:val="网格型模版1"/>
    <w:basedOn w:val="8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12">
    <w:name w:val="表格1"/>
    <w:basedOn w:val="1"/>
    <w:link w:val="1531"/>
    <w:autoRedefine/>
    <w:qFormat/>
    <w:uiPriority w:val="0"/>
    <w:pPr>
      <w:widowControl/>
      <w:adjustRightInd w:val="0"/>
      <w:spacing w:line="360" w:lineRule="auto"/>
      <w:jc w:val="center"/>
      <w:textAlignment w:val="baseline"/>
    </w:pPr>
    <w:rPr>
      <w:rFonts w:ascii="宋体" w:hAnsi="宋体" w:cs="宋体"/>
      <w:kern w:val="0"/>
      <w:sz w:val="28"/>
    </w:rPr>
  </w:style>
  <w:style w:type="paragraph" w:customStyle="1" w:styleId="313">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hint="eastAsia" w:ascii="宋体" w:hAnsi="宋体" w:cs="宋体"/>
      <w:color w:val="000000"/>
      <w:kern w:val="0"/>
      <w:sz w:val="28"/>
      <w:szCs w:val="21"/>
    </w:rPr>
  </w:style>
  <w:style w:type="character" w:customStyle="1" w:styleId="314">
    <w:name w:val="标题 Char2"/>
    <w:link w:val="84"/>
    <w:autoRedefine/>
    <w:qFormat/>
    <w:uiPriority w:val="0"/>
    <w:rPr>
      <w:rFonts w:ascii="Arial" w:hAnsi="Arial" w:eastAsia="黑体" w:cs="Arial"/>
      <w:b/>
      <w:bCs/>
      <w:kern w:val="2"/>
      <w:sz w:val="32"/>
      <w:szCs w:val="32"/>
    </w:rPr>
  </w:style>
  <w:style w:type="character" w:customStyle="1" w:styleId="315">
    <w:name w:val="grame"/>
    <w:basedOn w:val="129"/>
    <w:autoRedefine/>
    <w:qFormat/>
    <w:uiPriority w:val="0"/>
  </w:style>
  <w:style w:type="paragraph" w:customStyle="1" w:styleId="316">
    <w:name w:val="正文文本首行缩进1"/>
    <w:basedOn w:val="2"/>
    <w:link w:val="317"/>
    <w:autoRedefine/>
    <w:qFormat/>
    <w:locked/>
    <w:uiPriority w:val="0"/>
    <w:pPr>
      <w:snapToGrid/>
      <w:spacing w:before="0" w:after="120" w:line="240" w:lineRule="auto"/>
      <w:ind w:right="0" w:firstLine="420" w:firstLineChars="100"/>
      <w:jc w:val="left"/>
    </w:pPr>
    <w:rPr>
      <w:rFonts w:ascii="宋体" w:hAnsi="宋体"/>
      <w:sz w:val="24"/>
      <w:szCs w:val="24"/>
    </w:rPr>
  </w:style>
  <w:style w:type="character" w:customStyle="1" w:styleId="317">
    <w:name w:val="正文文本首行缩进 字符"/>
    <w:link w:val="316"/>
    <w:autoRedefine/>
    <w:qFormat/>
    <w:uiPriority w:val="0"/>
    <w:rPr>
      <w:rFonts w:ascii="宋体" w:hAnsi="宋体"/>
      <w:sz w:val="24"/>
      <w:szCs w:val="24"/>
    </w:rPr>
  </w:style>
  <w:style w:type="table" w:customStyle="1" w:styleId="318">
    <w:name w:val="环评格式1"/>
    <w:basedOn w:val="87"/>
    <w:autoRedefine/>
    <w:qFormat/>
    <w:uiPriority w:val="0"/>
    <w:pPr>
      <w:jc w:val="center"/>
    </w:pPr>
    <w:rPr>
      <w:rFonts w:eastAsia="楷体_GB2312"/>
      <w:sz w:val="21"/>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vAlign w:val="center"/>
    </w:tcPr>
  </w:style>
  <w:style w:type="paragraph" w:customStyle="1" w:styleId="319">
    <w:name w:val="Char Char Char3 Char Char Char Char Char Char Char Char Char Char Char Char Char Char Char Char Char Char Char Char Char4 Char"/>
    <w:basedOn w:val="1"/>
    <w:next w:val="1"/>
    <w:autoRedefine/>
    <w:qFormat/>
    <w:uiPriority w:val="0"/>
    <w:pPr>
      <w:spacing w:line="360" w:lineRule="auto"/>
      <w:ind w:firstLine="200" w:firstLineChars="200"/>
    </w:pPr>
    <w:rPr>
      <w:rFonts w:ascii="宋体" w:hAnsi="宋体" w:cs="宋体"/>
      <w:sz w:val="24"/>
    </w:rPr>
  </w:style>
  <w:style w:type="paragraph" w:customStyle="1" w:styleId="320">
    <w:name w:val="1正文段落"/>
    <w:basedOn w:val="1"/>
    <w:link w:val="1481"/>
    <w:autoRedefine/>
    <w:qFormat/>
    <w:uiPriority w:val="0"/>
    <w:pPr>
      <w:spacing w:line="360" w:lineRule="auto"/>
      <w:ind w:firstLine="200" w:firstLineChars="200"/>
      <w:jc w:val="left"/>
    </w:pPr>
    <w:rPr>
      <w:snapToGrid w:val="0"/>
      <w:kern w:val="0"/>
      <w:sz w:val="24"/>
    </w:rPr>
  </w:style>
  <w:style w:type="paragraph" w:customStyle="1" w:styleId="321">
    <w:name w:val="我的样式（正文）"/>
    <w:basedOn w:val="1"/>
    <w:autoRedefine/>
    <w:qFormat/>
    <w:uiPriority w:val="0"/>
    <w:pPr>
      <w:spacing w:line="440" w:lineRule="exact"/>
    </w:pPr>
    <w:rPr>
      <w:rFonts w:ascii="宋体"/>
      <w:sz w:val="28"/>
      <w:szCs w:val="20"/>
    </w:rPr>
  </w:style>
  <w:style w:type="paragraph" w:customStyle="1" w:styleId="322">
    <w:name w:val="Char Char Char Char Char Char Char"/>
    <w:basedOn w:val="1"/>
    <w:autoRedefine/>
    <w:qFormat/>
    <w:uiPriority w:val="0"/>
    <w:rPr>
      <w:sz w:val="24"/>
    </w:rPr>
  </w:style>
  <w:style w:type="paragraph" w:customStyle="1" w:styleId="323">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24">
    <w:name w:val="z-窗体顶端1"/>
    <w:basedOn w:val="1"/>
    <w:next w:val="1"/>
    <w:link w:val="325"/>
    <w:autoRedefine/>
    <w:unhideWhenUsed/>
    <w:qFormat/>
    <w:uiPriority w:val="99"/>
    <w:pPr>
      <w:widowControl/>
      <w:pBdr>
        <w:bottom w:val="single" w:color="auto" w:sz="6" w:space="1"/>
      </w:pBdr>
      <w:jc w:val="center"/>
    </w:pPr>
    <w:rPr>
      <w:rFonts w:ascii="Arial" w:hAnsi="Arial"/>
      <w:vanish/>
      <w:kern w:val="0"/>
      <w:sz w:val="16"/>
      <w:szCs w:val="16"/>
    </w:rPr>
  </w:style>
  <w:style w:type="character" w:customStyle="1" w:styleId="325">
    <w:name w:val="z-窗体顶端 Char"/>
    <w:link w:val="324"/>
    <w:autoRedefine/>
    <w:qFormat/>
    <w:uiPriority w:val="99"/>
    <w:rPr>
      <w:rFonts w:ascii="Arial" w:hAnsi="Arial"/>
      <w:vanish/>
      <w:sz w:val="16"/>
      <w:szCs w:val="16"/>
    </w:rPr>
  </w:style>
  <w:style w:type="paragraph" w:customStyle="1" w:styleId="326">
    <w:name w:val="z-窗体底端1"/>
    <w:basedOn w:val="1"/>
    <w:next w:val="1"/>
    <w:link w:val="327"/>
    <w:autoRedefine/>
    <w:unhideWhenUsed/>
    <w:qFormat/>
    <w:uiPriority w:val="99"/>
    <w:pPr>
      <w:widowControl/>
      <w:pBdr>
        <w:top w:val="single" w:color="auto" w:sz="6" w:space="1"/>
      </w:pBdr>
      <w:jc w:val="center"/>
    </w:pPr>
    <w:rPr>
      <w:rFonts w:ascii="Arial" w:hAnsi="Arial"/>
      <w:vanish/>
      <w:kern w:val="0"/>
      <w:sz w:val="16"/>
      <w:szCs w:val="16"/>
    </w:rPr>
  </w:style>
  <w:style w:type="character" w:customStyle="1" w:styleId="327">
    <w:name w:val="z-窗体底端 Char"/>
    <w:link w:val="326"/>
    <w:autoRedefine/>
    <w:qFormat/>
    <w:uiPriority w:val="99"/>
    <w:rPr>
      <w:rFonts w:ascii="Arial" w:hAnsi="Arial"/>
      <w:vanish/>
      <w:sz w:val="16"/>
      <w:szCs w:val="16"/>
    </w:rPr>
  </w:style>
  <w:style w:type="character" w:customStyle="1" w:styleId="328">
    <w:name w:val="infodetail"/>
    <w:autoRedefine/>
    <w:qFormat/>
    <w:uiPriority w:val="0"/>
  </w:style>
  <w:style w:type="character" w:customStyle="1" w:styleId="329">
    <w:name w:val="文本框文字设置 Char"/>
    <w:link w:val="330"/>
    <w:autoRedefine/>
    <w:qFormat/>
    <w:uiPriority w:val="0"/>
    <w:rPr>
      <w:rFonts w:ascii="仿宋_GB2312" w:eastAsia="仿宋_GB2312"/>
      <w:kern w:val="2"/>
      <w:sz w:val="21"/>
      <w:szCs w:val="24"/>
    </w:rPr>
  </w:style>
  <w:style w:type="paragraph" w:customStyle="1" w:styleId="330">
    <w:name w:val="文本框文字设置"/>
    <w:basedOn w:val="1"/>
    <w:link w:val="329"/>
    <w:autoRedefine/>
    <w:qFormat/>
    <w:uiPriority w:val="0"/>
    <w:pPr>
      <w:spacing w:line="300" w:lineRule="exact"/>
      <w:jc w:val="center"/>
    </w:pPr>
    <w:rPr>
      <w:rFonts w:ascii="仿宋_GB2312" w:eastAsia="仿宋_GB2312"/>
    </w:rPr>
  </w:style>
  <w:style w:type="paragraph" w:customStyle="1" w:styleId="331">
    <w:name w:val="Char Char Char Char Char Char Char1"/>
    <w:basedOn w:val="1"/>
    <w:autoRedefine/>
    <w:qFormat/>
    <w:uiPriority w:val="0"/>
    <w:rPr>
      <w:rFonts w:ascii="Arial" w:eastAsia="楷体_GB2312"/>
      <w:spacing w:val="-6"/>
      <w:kern w:val="0"/>
      <w:sz w:val="28"/>
      <w:szCs w:val="20"/>
    </w:rPr>
  </w:style>
  <w:style w:type="paragraph" w:customStyle="1" w:styleId="332">
    <w:name w:val="Char1 Char Char Char Char Char 字元 字元"/>
    <w:basedOn w:val="1"/>
    <w:autoRedefine/>
    <w:qFormat/>
    <w:uiPriority w:val="0"/>
    <w:rPr>
      <w:szCs w:val="21"/>
    </w:rPr>
  </w:style>
  <w:style w:type="table" w:customStyle="1" w:styleId="333">
    <w:name w:val="maoli"/>
    <w:basedOn w:val="87"/>
    <w:autoRedefine/>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334">
    <w:name w:val="首行缩进 Char Char"/>
    <w:link w:val="208"/>
    <w:autoRedefine/>
    <w:qFormat/>
    <w:uiPriority w:val="0"/>
    <w:rPr>
      <w:kern w:val="2"/>
      <w:sz w:val="24"/>
      <w:szCs w:val="24"/>
    </w:rPr>
  </w:style>
  <w:style w:type="paragraph" w:customStyle="1" w:styleId="335">
    <w:name w:val="表格居中"/>
    <w:basedOn w:val="155"/>
    <w:autoRedefine/>
    <w:qFormat/>
    <w:uiPriority w:val="0"/>
    <w:pPr>
      <w:adjustRightInd/>
      <w:snapToGrid/>
      <w:spacing w:beforeLines="0" w:afterLines="0" w:line="240" w:lineRule="auto"/>
    </w:pPr>
    <w:rPr>
      <w:rFonts w:ascii="Times New Roman"/>
      <w:kern w:val="2"/>
      <w:szCs w:val="24"/>
    </w:rPr>
  </w:style>
  <w:style w:type="paragraph" w:customStyle="1" w:styleId="336">
    <w:name w:val="1表格"/>
    <w:basedOn w:val="1"/>
    <w:autoRedefine/>
    <w:qFormat/>
    <w:uiPriority w:val="0"/>
    <w:pPr>
      <w:adjustRightInd w:val="0"/>
      <w:snapToGrid w:val="0"/>
      <w:jc w:val="center"/>
      <w:textAlignment w:val="baseline"/>
    </w:pPr>
    <w:rPr>
      <w:rFonts w:ascii="宋体" w:hAnsi="宋体" w:cs="宋体"/>
      <w:spacing w:val="4"/>
      <w:sz w:val="24"/>
    </w:rPr>
  </w:style>
  <w:style w:type="paragraph" w:customStyle="1" w:styleId="337">
    <w:name w:val="样式 五号 首行缩进:  2 字符1"/>
    <w:basedOn w:val="1"/>
    <w:autoRedefine/>
    <w:qFormat/>
    <w:uiPriority w:val="0"/>
    <w:pPr>
      <w:spacing w:line="240" w:lineRule="atLeast"/>
      <w:jc w:val="center"/>
    </w:pPr>
    <w:rPr>
      <w:rFonts w:ascii="仿宋_GB2312" w:hAnsi="仿宋_GB2312" w:eastAsia="仿宋_GB2312" w:cs="宋体"/>
      <w:color w:val="000000"/>
      <w:kern w:val="0"/>
      <w:szCs w:val="20"/>
    </w:rPr>
  </w:style>
  <w:style w:type="character" w:customStyle="1" w:styleId="338">
    <w:name w:val="XYF1 Char Char"/>
    <w:link w:val="339"/>
    <w:autoRedefine/>
    <w:qFormat/>
    <w:locked/>
    <w:uiPriority w:val="0"/>
    <w:rPr>
      <w:rFonts w:ascii="Tahoma" w:hAnsi="Tahoma" w:cs="Tahoma"/>
      <w:sz w:val="24"/>
      <w:szCs w:val="24"/>
      <w:lang w:eastAsia="en-US"/>
    </w:rPr>
  </w:style>
  <w:style w:type="paragraph" w:customStyle="1" w:styleId="339">
    <w:name w:val="XYF1"/>
    <w:basedOn w:val="1"/>
    <w:link w:val="338"/>
    <w:autoRedefine/>
    <w:qFormat/>
    <w:uiPriority w:val="0"/>
    <w:pPr>
      <w:tabs>
        <w:tab w:val="left" w:pos="1080"/>
      </w:tabs>
      <w:spacing w:line="440" w:lineRule="exact"/>
      <w:ind w:firstLine="195" w:firstLineChars="195"/>
    </w:pPr>
    <w:rPr>
      <w:rFonts w:ascii="Tahoma" w:hAnsi="Tahoma" w:cs="Tahoma"/>
      <w:kern w:val="0"/>
      <w:sz w:val="24"/>
      <w:lang w:eastAsia="en-US"/>
    </w:rPr>
  </w:style>
  <w:style w:type="table" w:customStyle="1" w:styleId="340">
    <w:name w:val="网格型模版2"/>
    <w:basedOn w:val="8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1">
    <w:name w:val="网格型 13"/>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42">
    <w:name w:val="环评格式11"/>
    <w:basedOn w:val="87"/>
    <w:autoRedefine/>
    <w:qFormat/>
    <w:uiPriority w:val="0"/>
    <w:pPr>
      <w:jc w:val="center"/>
    </w:pPr>
    <w:rPr>
      <w:rFonts w:eastAsia="楷体_GB2312"/>
      <w:sz w:val="21"/>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vAlign w:val="center"/>
    </w:tcPr>
  </w:style>
  <w:style w:type="table" w:customStyle="1" w:styleId="343">
    <w:name w:val="网格型51"/>
    <w:basedOn w:val="87"/>
    <w:autoRedefine/>
    <w:qFormat/>
    <w:uiPriority w:val="0"/>
    <w:pPr>
      <w:spacing w:line="500" w:lineRule="exact"/>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paragraph" w:customStyle="1" w:styleId="344">
    <w:name w:val="样式-正文cx"/>
    <w:basedOn w:val="1"/>
    <w:link w:val="345"/>
    <w:autoRedefine/>
    <w:qFormat/>
    <w:uiPriority w:val="0"/>
    <w:pPr>
      <w:spacing w:line="500" w:lineRule="exact"/>
      <w:ind w:firstLine="560" w:firstLineChars="200"/>
    </w:pPr>
    <w:rPr>
      <w:rFonts w:eastAsia="仿宋"/>
      <w:bCs/>
      <w:color w:val="0000FF"/>
      <w:sz w:val="28"/>
      <w:szCs w:val="28"/>
      <w:lang w:val="zh-CN"/>
    </w:rPr>
  </w:style>
  <w:style w:type="character" w:customStyle="1" w:styleId="345">
    <w:name w:val="样式-正文cx Char"/>
    <w:link w:val="344"/>
    <w:autoRedefine/>
    <w:qFormat/>
    <w:uiPriority w:val="0"/>
    <w:rPr>
      <w:rFonts w:eastAsia="仿宋"/>
      <w:bCs/>
      <w:color w:val="0000FF"/>
      <w:kern w:val="2"/>
      <w:sz w:val="28"/>
      <w:szCs w:val="28"/>
      <w:lang w:val="zh-CN" w:eastAsia="zh-CN"/>
    </w:rPr>
  </w:style>
  <w:style w:type="character" w:customStyle="1" w:styleId="346">
    <w:name w:val="正文缩进 Char"/>
    <w:autoRedefine/>
    <w:qFormat/>
    <w:uiPriority w:val="0"/>
    <w:rPr>
      <w:rFonts w:eastAsia="宋体"/>
      <w:kern w:val="2"/>
      <w:sz w:val="21"/>
      <w:szCs w:val="24"/>
      <w:lang w:val="en-US" w:eastAsia="zh-CN" w:bidi="ar-SA"/>
    </w:rPr>
  </w:style>
  <w:style w:type="character" w:customStyle="1" w:styleId="347">
    <w:name w:val="纯文本 字符1"/>
    <w:autoRedefine/>
    <w:qFormat/>
    <w:uiPriority w:val="0"/>
    <w:rPr>
      <w:rFonts w:ascii="宋体" w:hAnsi="Courier New" w:cs="Arial Unicode MS"/>
      <w:szCs w:val="21"/>
    </w:rPr>
  </w:style>
  <w:style w:type="paragraph" w:customStyle="1" w:styleId="348">
    <w:name w:val="_Style 100"/>
    <w:basedOn w:val="1"/>
    <w:autoRedefine/>
    <w:qFormat/>
    <w:uiPriority w:val="0"/>
    <w:pPr>
      <w:widowControl/>
      <w:spacing w:after="160" w:line="240" w:lineRule="exact"/>
      <w:jc w:val="left"/>
    </w:pPr>
  </w:style>
  <w:style w:type="paragraph" w:customStyle="1" w:styleId="349">
    <w:name w:val="Default1"/>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0">
    <w:name w:val="表格 普通文字"/>
    <w:link w:val="351"/>
    <w:autoRedefine/>
    <w:qFormat/>
    <w:uiPriority w:val="99"/>
    <w:pPr>
      <w:snapToGrid w:val="0"/>
      <w:jc w:val="center"/>
    </w:pPr>
    <w:rPr>
      <w:rFonts w:ascii="Times New Roman" w:hAnsi="Times New Roman" w:eastAsia="仿宋_GB2312" w:cs="Times New Roman"/>
      <w:kern w:val="2"/>
      <w:sz w:val="21"/>
      <w:szCs w:val="21"/>
      <w:lang w:val="en-US" w:eastAsia="zh-CN" w:bidi="ar-SA"/>
    </w:rPr>
  </w:style>
  <w:style w:type="character" w:customStyle="1" w:styleId="351">
    <w:name w:val="表格 普通文字 Char"/>
    <w:link w:val="350"/>
    <w:autoRedefine/>
    <w:qFormat/>
    <w:uiPriority w:val="99"/>
    <w:rPr>
      <w:rFonts w:eastAsia="仿宋_GB2312"/>
      <w:kern w:val="2"/>
      <w:sz w:val="21"/>
      <w:szCs w:val="21"/>
    </w:rPr>
  </w:style>
  <w:style w:type="character" w:customStyle="1" w:styleId="352">
    <w:name w:val="标题 5 Char"/>
    <w:link w:val="10"/>
    <w:autoRedefine/>
    <w:qFormat/>
    <w:uiPriority w:val="0"/>
    <w:rPr>
      <w:rFonts w:ascii="仿宋_GB2312" w:eastAsia="仿宋_GB2312"/>
      <w:b/>
      <w:bCs/>
      <w:kern w:val="2"/>
      <w:sz w:val="28"/>
      <w:szCs w:val="28"/>
    </w:rPr>
  </w:style>
  <w:style w:type="character" w:customStyle="1" w:styleId="353">
    <w:name w:val="标题 6 Char"/>
    <w:link w:val="11"/>
    <w:autoRedefine/>
    <w:qFormat/>
    <w:uiPriority w:val="0"/>
    <w:rPr>
      <w:rFonts w:ascii="Arial" w:hAnsi="Arial" w:eastAsia="黑体"/>
      <w:b/>
      <w:bCs/>
      <w:kern w:val="2"/>
      <w:sz w:val="28"/>
      <w:szCs w:val="24"/>
    </w:rPr>
  </w:style>
  <w:style w:type="character" w:customStyle="1" w:styleId="354">
    <w:name w:val="标题 7 Char"/>
    <w:link w:val="12"/>
    <w:autoRedefine/>
    <w:qFormat/>
    <w:uiPriority w:val="0"/>
    <w:rPr>
      <w:rFonts w:ascii="仿宋_GB2312" w:eastAsia="仿宋_GB2312"/>
      <w:b/>
      <w:bCs/>
      <w:kern w:val="2"/>
      <w:sz w:val="28"/>
      <w:szCs w:val="24"/>
    </w:rPr>
  </w:style>
  <w:style w:type="character" w:customStyle="1" w:styleId="355">
    <w:name w:val="标题 8 Char"/>
    <w:link w:val="13"/>
    <w:autoRedefine/>
    <w:qFormat/>
    <w:uiPriority w:val="0"/>
    <w:rPr>
      <w:rFonts w:ascii="Arial" w:hAnsi="Arial" w:eastAsia="黑体"/>
      <w:kern w:val="2"/>
      <w:sz w:val="28"/>
      <w:szCs w:val="24"/>
    </w:rPr>
  </w:style>
  <w:style w:type="character" w:customStyle="1" w:styleId="356">
    <w:name w:val="标题 9 Char"/>
    <w:link w:val="14"/>
    <w:autoRedefine/>
    <w:qFormat/>
    <w:uiPriority w:val="0"/>
    <w:rPr>
      <w:rFonts w:ascii="Arial" w:hAnsi="Arial" w:eastAsia="黑体"/>
      <w:kern w:val="2"/>
      <w:sz w:val="21"/>
      <w:szCs w:val="21"/>
    </w:rPr>
  </w:style>
  <w:style w:type="character" w:customStyle="1" w:styleId="357">
    <w:name w:val="批注文字 Char"/>
    <w:autoRedefine/>
    <w:qFormat/>
    <w:locked/>
    <w:uiPriority w:val="99"/>
    <w:rPr>
      <w:rFonts w:ascii="Times New Roman" w:hAnsi="Times New Roman" w:eastAsia="宋体"/>
      <w:sz w:val="24"/>
    </w:rPr>
  </w:style>
  <w:style w:type="paragraph" w:styleId="358">
    <w:name w:val="No Spacing"/>
    <w:link w:val="2116"/>
    <w:autoRedefine/>
    <w:qFormat/>
    <w:uiPriority w:val="0"/>
    <w:pPr>
      <w:widowControl w:val="0"/>
      <w:spacing w:line="360" w:lineRule="exact"/>
      <w:jc w:val="center"/>
    </w:pPr>
    <w:rPr>
      <w:rFonts w:ascii="Times New Roman" w:hAnsi="Times New Roman" w:eastAsia="宋体" w:cs="Times New Roman"/>
      <w:kern w:val="2"/>
      <w:sz w:val="21"/>
      <w:szCs w:val="24"/>
      <w:lang w:val="en-US" w:eastAsia="zh-CN" w:bidi="ar-SA"/>
    </w:rPr>
  </w:style>
  <w:style w:type="character" w:customStyle="1" w:styleId="359">
    <w:name w:val="标题 Char"/>
    <w:autoRedefine/>
    <w:qFormat/>
    <w:uiPriority w:val="0"/>
    <w:rPr>
      <w:b/>
      <w:bCs/>
      <w:kern w:val="2"/>
      <w:sz w:val="21"/>
      <w:szCs w:val="32"/>
    </w:rPr>
  </w:style>
  <w:style w:type="paragraph" w:customStyle="1" w:styleId="360">
    <w:name w:val="样式6"/>
    <w:basedOn w:val="46"/>
    <w:autoRedefine/>
    <w:qFormat/>
    <w:uiPriority w:val="0"/>
    <w:pPr>
      <w:tabs>
        <w:tab w:val="left" w:pos="-280"/>
        <w:tab w:val="left" w:pos="-220"/>
      </w:tabs>
    </w:pPr>
    <w:rPr>
      <w:rFonts w:ascii="Times New Roman" w:hAnsi="Times New Roman" w:cs="Times New Roman"/>
      <w:sz w:val="24"/>
      <w:szCs w:val="20"/>
    </w:rPr>
  </w:style>
  <w:style w:type="character" w:customStyle="1" w:styleId="361">
    <w:name w:val="页眉1 Char"/>
    <w:autoRedefine/>
    <w:qFormat/>
    <w:uiPriority w:val="99"/>
    <w:rPr>
      <w:bCs/>
      <w:kern w:val="2"/>
      <w:sz w:val="18"/>
      <w:szCs w:val="18"/>
    </w:rPr>
  </w:style>
  <w:style w:type="character" w:customStyle="1" w:styleId="362">
    <w:name w:val="批注主题 Char"/>
    <w:autoRedefine/>
    <w:qFormat/>
    <w:uiPriority w:val="0"/>
    <w:rPr>
      <w:b/>
      <w:bCs/>
      <w:kern w:val="2"/>
      <w:sz w:val="21"/>
    </w:rPr>
  </w:style>
  <w:style w:type="character" w:customStyle="1" w:styleId="363">
    <w:name w:val="批注框文本 Char"/>
    <w:autoRedefine/>
    <w:qFormat/>
    <w:uiPriority w:val="0"/>
    <w:rPr>
      <w:kern w:val="2"/>
      <w:sz w:val="18"/>
      <w:szCs w:val="18"/>
    </w:rPr>
  </w:style>
  <w:style w:type="character" w:customStyle="1" w:styleId="364">
    <w:name w:val="题注 Char"/>
    <w:autoRedefine/>
    <w:qFormat/>
    <w:uiPriority w:val="0"/>
    <w:rPr>
      <w:rFonts w:ascii="宋体"/>
      <w:kern w:val="2"/>
      <w:sz w:val="28"/>
    </w:rPr>
  </w:style>
  <w:style w:type="table" w:customStyle="1" w:styleId="365">
    <w:name w:val="喜欢的"/>
    <w:basedOn w:val="98"/>
    <w:autoRedefine/>
    <w:qFormat/>
    <w:uiPriority w:val="0"/>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66">
    <w:name w:val="最普通"/>
    <w:basedOn w:val="117"/>
    <w:autoRedefine/>
    <w:qFormat/>
    <w:uiPriority w:val="0"/>
    <w:pPr>
      <w:spacing w:line="50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367">
    <w:name w:val="Bullet"/>
    <w:basedOn w:val="1"/>
    <w:autoRedefine/>
    <w:qFormat/>
    <w:uiPriority w:val="0"/>
    <w:pPr>
      <w:widowControl/>
      <w:numPr>
        <w:ilvl w:val="0"/>
        <w:numId w:val="2"/>
      </w:numPr>
      <w:spacing w:after="60" w:line="300" w:lineRule="atLeast"/>
    </w:pPr>
    <w:rPr>
      <w:kern w:val="0"/>
      <w:sz w:val="22"/>
    </w:rPr>
  </w:style>
  <w:style w:type="paragraph" w:customStyle="1" w:styleId="368">
    <w:name w:val="xl54"/>
    <w:basedOn w:val="1"/>
    <w:autoRedefine/>
    <w:qFormat/>
    <w:uiPriority w:val="0"/>
    <w:pPr>
      <w:widowControl/>
      <w:pBdr>
        <w:right w:val="single" w:color="auto" w:sz="4" w:space="0"/>
      </w:pBdr>
      <w:spacing w:before="100" w:after="100"/>
      <w:jc w:val="center"/>
      <w:textAlignment w:val="center"/>
    </w:pPr>
    <w:rPr>
      <w:rFonts w:ascii="宋体" w:hAnsi="宋体"/>
      <w:kern w:val="0"/>
      <w:sz w:val="24"/>
      <w:szCs w:val="20"/>
    </w:rPr>
  </w:style>
  <w:style w:type="paragraph" w:customStyle="1" w:styleId="369">
    <w:name w:val="样式7"/>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370">
    <w:name w:val="表题格式"/>
    <w:basedOn w:val="1"/>
    <w:autoRedefine/>
    <w:qFormat/>
    <w:uiPriority w:val="0"/>
    <w:pPr>
      <w:overflowPunct w:val="0"/>
      <w:adjustRightInd w:val="0"/>
      <w:snapToGrid w:val="0"/>
      <w:spacing w:line="360" w:lineRule="auto"/>
      <w:jc w:val="center"/>
      <w:textAlignment w:val="center"/>
    </w:pPr>
    <w:rPr>
      <w:rFonts w:ascii="仿宋_GB2312" w:eastAsia="仿宋_GB2312"/>
      <w:b/>
      <w:snapToGrid w:val="0"/>
      <w:kern w:val="0"/>
      <w:sz w:val="30"/>
      <w:szCs w:val="20"/>
    </w:rPr>
  </w:style>
  <w:style w:type="character" w:customStyle="1" w:styleId="371">
    <w:name w:val="标题 1 Char Char Char Char"/>
    <w:autoRedefine/>
    <w:qFormat/>
    <w:uiPriority w:val="0"/>
    <w:rPr>
      <w:rFonts w:eastAsia="宋体"/>
      <w:kern w:val="44"/>
      <w:sz w:val="44"/>
      <w:szCs w:val="44"/>
    </w:rPr>
  </w:style>
  <w:style w:type="paragraph" w:customStyle="1" w:styleId="372">
    <w:name w:val="文本"/>
    <w:basedOn w:val="1"/>
    <w:autoRedefine/>
    <w:qFormat/>
    <w:uiPriority w:val="1"/>
    <w:pPr>
      <w:tabs>
        <w:tab w:val="right" w:leader="dot" w:pos="8296"/>
      </w:tabs>
      <w:adjustRightInd w:val="0"/>
      <w:snapToGrid w:val="0"/>
      <w:spacing w:beforeLines="20"/>
      <w:jc w:val="center"/>
    </w:pPr>
    <w:rPr>
      <w:rFonts w:ascii="宋体" w:hAnsi="宋体"/>
      <w:snapToGrid w:val="0"/>
      <w:kern w:val="21"/>
    </w:rPr>
  </w:style>
  <w:style w:type="paragraph" w:customStyle="1" w:styleId="373">
    <w:name w:val="Plain Text2"/>
    <w:basedOn w:val="1"/>
    <w:autoRedefine/>
    <w:qFormat/>
    <w:uiPriority w:val="0"/>
    <w:pPr>
      <w:autoSpaceDE w:val="0"/>
      <w:autoSpaceDN w:val="0"/>
      <w:adjustRightInd w:val="0"/>
      <w:textAlignment w:val="baseline"/>
    </w:pPr>
    <w:rPr>
      <w:rFonts w:ascii="宋体" w:hAnsi="Tms Rmn"/>
      <w:kern w:val="0"/>
      <w:szCs w:val="20"/>
    </w:rPr>
  </w:style>
  <w:style w:type="paragraph" w:customStyle="1" w:styleId="374">
    <w:name w:val="Char Char Char Char Char Char Char Char Char Char"/>
    <w:basedOn w:val="1"/>
    <w:autoRedefine/>
    <w:qFormat/>
    <w:uiPriority w:val="0"/>
    <w:rPr>
      <w:rFonts w:ascii="黑体" w:hAnsi="黑体" w:eastAsia="黑体"/>
      <w:b/>
      <w:spacing w:val="10"/>
      <w:kern w:val="44"/>
      <w:sz w:val="28"/>
      <w:szCs w:val="20"/>
    </w:rPr>
  </w:style>
  <w:style w:type="paragraph" w:customStyle="1" w:styleId="375">
    <w:name w:val="新正文"/>
    <w:basedOn w:val="1"/>
    <w:link w:val="376"/>
    <w:autoRedefine/>
    <w:qFormat/>
    <w:uiPriority w:val="0"/>
    <w:pPr>
      <w:spacing w:line="500" w:lineRule="exact"/>
      <w:ind w:firstLine="482"/>
    </w:pPr>
    <w:rPr>
      <w:rFonts w:ascii="仿宋_GB2312" w:eastAsia="仿宋_GB2312"/>
      <w:bCs/>
      <w:kern w:val="0"/>
      <w:sz w:val="28"/>
      <w:szCs w:val="20"/>
    </w:rPr>
  </w:style>
  <w:style w:type="character" w:customStyle="1" w:styleId="376">
    <w:name w:val="新正文 Char"/>
    <w:link w:val="375"/>
    <w:autoRedefine/>
    <w:qFormat/>
    <w:uiPriority w:val="0"/>
    <w:rPr>
      <w:rFonts w:ascii="仿宋_GB2312" w:eastAsia="仿宋_GB2312"/>
      <w:bCs/>
      <w:sz w:val="28"/>
    </w:rPr>
  </w:style>
  <w:style w:type="paragraph" w:customStyle="1" w:styleId="377">
    <w:name w:val="三级标题"/>
    <w:basedOn w:val="84"/>
    <w:autoRedefine/>
    <w:qFormat/>
    <w:uiPriority w:val="0"/>
    <w:pPr>
      <w:widowControl w:val="0"/>
      <w:spacing w:before="260" w:after="0" w:line="460" w:lineRule="exact"/>
      <w:jc w:val="both"/>
      <w:outlineLvl w:val="2"/>
    </w:pPr>
    <w:rPr>
      <w:rFonts w:ascii="Times New Roman" w:hAnsi="Times New Roman" w:eastAsia="宋体" w:cs="Times New Roman"/>
      <w:kern w:val="0"/>
      <w:sz w:val="24"/>
      <w:szCs w:val="24"/>
    </w:rPr>
  </w:style>
  <w:style w:type="paragraph" w:customStyle="1" w:styleId="378">
    <w:name w:val="表格下方正文"/>
    <w:basedOn w:val="1"/>
    <w:autoRedefine/>
    <w:qFormat/>
    <w:uiPriority w:val="0"/>
    <w:pPr>
      <w:spacing w:before="260" w:line="440" w:lineRule="exact"/>
      <w:ind w:firstLine="200" w:firstLineChars="200"/>
    </w:pPr>
    <w:rPr>
      <w:kern w:val="0"/>
      <w:sz w:val="24"/>
      <w:szCs w:val="20"/>
    </w:rPr>
  </w:style>
  <w:style w:type="paragraph" w:customStyle="1" w:styleId="379">
    <w:name w:val="注释"/>
    <w:basedOn w:val="1"/>
    <w:autoRedefine/>
    <w:qFormat/>
    <w:uiPriority w:val="0"/>
    <w:pPr>
      <w:spacing w:before="60" w:line="360" w:lineRule="exact"/>
      <w:ind w:firstLine="200" w:firstLineChars="200"/>
    </w:pPr>
    <w:rPr>
      <w:kern w:val="0"/>
      <w:szCs w:val="21"/>
    </w:rPr>
  </w:style>
  <w:style w:type="paragraph" w:customStyle="1" w:styleId="380">
    <w:name w:val="表题"/>
    <w:next w:val="155"/>
    <w:autoRedefine/>
    <w:qFormat/>
    <w:uiPriority w:val="0"/>
    <w:pPr>
      <w:spacing w:beforeLines="50" w:after="120" w:line="400" w:lineRule="exact"/>
      <w:jc w:val="center"/>
    </w:pPr>
    <w:rPr>
      <w:rFonts w:ascii="Times New Roman" w:hAnsi="Times New Roman" w:eastAsia="仿宋_GB2312" w:cs="Times New Roman"/>
      <w:b/>
      <w:sz w:val="28"/>
      <w:lang w:val="en-US" w:eastAsia="zh-CN" w:bidi="ar-SA"/>
    </w:rPr>
  </w:style>
  <w:style w:type="paragraph" w:customStyle="1" w:styleId="381">
    <w:name w:val="广西炼油"/>
    <w:basedOn w:val="1"/>
    <w:autoRedefine/>
    <w:qFormat/>
    <w:uiPriority w:val="0"/>
    <w:pPr>
      <w:spacing w:beforeLines="5" w:line="360" w:lineRule="auto"/>
      <w:ind w:firstLine="480"/>
    </w:pPr>
    <w:rPr>
      <w:rFonts w:ascii="宋体" w:hAnsi="宋体"/>
      <w:sz w:val="24"/>
      <w:szCs w:val="28"/>
    </w:rPr>
  </w:style>
  <w:style w:type="paragraph" w:customStyle="1" w:styleId="382">
    <w:name w:val="表样式1"/>
    <w:basedOn w:val="1"/>
    <w:autoRedefine/>
    <w:qFormat/>
    <w:uiPriority w:val="0"/>
    <w:pPr>
      <w:spacing w:line="360" w:lineRule="auto"/>
      <w:jc w:val="center"/>
    </w:pPr>
    <w:rPr>
      <w:rFonts w:ascii="宋体" w:hAnsi="宋体" w:cs="宋体"/>
      <w:color w:val="000000"/>
      <w:szCs w:val="21"/>
    </w:rPr>
  </w:style>
  <w:style w:type="paragraph" w:customStyle="1" w:styleId="383">
    <w:name w:val="Char Char Char4"/>
    <w:basedOn w:val="1"/>
    <w:autoRedefine/>
    <w:qFormat/>
    <w:uiPriority w:val="0"/>
    <w:rPr>
      <w:sz w:val="24"/>
    </w:rPr>
  </w:style>
  <w:style w:type="paragraph" w:customStyle="1" w:styleId="384">
    <w:name w:val="标题3"/>
    <w:basedOn w:val="2"/>
    <w:next w:val="2"/>
    <w:autoRedefine/>
    <w:qFormat/>
    <w:uiPriority w:val="0"/>
    <w:pPr>
      <w:widowControl w:val="0"/>
      <w:snapToGrid/>
      <w:spacing w:before="0" w:after="0" w:line="520" w:lineRule="exact"/>
      <w:ind w:right="0"/>
    </w:pPr>
    <w:rPr>
      <w:rFonts w:ascii="宋体" w:hAnsi="宋体" w:cs="Arial"/>
      <w:bCs/>
      <w:kern w:val="2"/>
      <w:sz w:val="24"/>
      <w:szCs w:val="24"/>
    </w:rPr>
  </w:style>
  <w:style w:type="character" w:customStyle="1" w:styleId="385">
    <w:name w:val="javascript"/>
    <w:autoRedefine/>
    <w:qFormat/>
    <w:uiPriority w:val="0"/>
  </w:style>
  <w:style w:type="character" w:customStyle="1" w:styleId="386">
    <w:name w:val="common1"/>
    <w:autoRedefine/>
    <w:qFormat/>
    <w:uiPriority w:val="0"/>
    <w:rPr>
      <w:sz w:val="18"/>
      <w:szCs w:val="18"/>
    </w:rPr>
  </w:style>
  <w:style w:type="paragraph" w:customStyle="1" w:styleId="387">
    <w:name w:val="xl"/>
    <w:basedOn w:val="1"/>
    <w:autoRedefine/>
    <w:qFormat/>
    <w:uiPriority w:val="0"/>
    <w:pPr>
      <w:widowControl/>
      <w:spacing w:before="100" w:beforeAutospacing="1" w:after="100" w:afterAutospacing="1"/>
      <w:jc w:val="left"/>
    </w:pPr>
    <w:rPr>
      <w:rFonts w:hint="eastAsia" w:ascii="隶书" w:hAnsi="Arial Unicode MS" w:eastAsia="隶书"/>
      <w:color w:val="008000"/>
      <w:kern w:val="0"/>
      <w:sz w:val="36"/>
      <w:szCs w:val="36"/>
    </w:rPr>
  </w:style>
  <w:style w:type="paragraph" w:customStyle="1" w:styleId="388">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389">
    <w:name w:val="缩进"/>
    <w:basedOn w:val="1"/>
    <w:autoRedefine/>
    <w:qFormat/>
    <w:uiPriority w:val="99"/>
    <w:pPr>
      <w:autoSpaceDE w:val="0"/>
      <w:autoSpaceDN w:val="0"/>
      <w:adjustRightInd w:val="0"/>
      <w:spacing w:line="400" w:lineRule="atLeast"/>
      <w:ind w:firstLine="425"/>
      <w:textAlignment w:val="baseline"/>
    </w:pPr>
    <w:rPr>
      <w:sz w:val="24"/>
      <w:szCs w:val="20"/>
    </w:rPr>
  </w:style>
  <w:style w:type="character" w:customStyle="1" w:styleId="390">
    <w:name w:val="脚注文本 Char"/>
    <w:link w:val="67"/>
    <w:autoRedefine/>
    <w:qFormat/>
    <w:uiPriority w:val="0"/>
    <w:rPr>
      <w:szCs w:val="24"/>
    </w:rPr>
  </w:style>
  <w:style w:type="paragraph" w:customStyle="1" w:styleId="391">
    <w:name w:val="xl3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sz w:val="24"/>
    </w:rPr>
  </w:style>
  <w:style w:type="paragraph" w:customStyle="1" w:styleId="392">
    <w:name w:val="小四宋居中1.0"/>
    <w:basedOn w:val="1"/>
    <w:next w:val="1"/>
    <w:autoRedefine/>
    <w:qFormat/>
    <w:uiPriority w:val="0"/>
    <w:pPr>
      <w:jc w:val="center"/>
    </w:pPr>
    <w:rPr>
      <w:rFonts w:ascii="仿宋_GB2312" w:eastAsia="仿宋_GB2312"/>
      <w:sz w:val="24"/>
      <w:szCs w:val="20"/>
    </w:rPr>
  </w:style>
  <w:style w:type="character" w:customStyle="1" w:styleId="393">
    <w:name w:val="style41"/>
    <w:autoRedefine/>
    <w:qFormat/>
    <w:uiPriority w:val="0"/>
    <w:rPr>
      <w:b/>
      <w:bCs/>
      <w:color w:val="000000"/>
    </w:rPr>
  </w:style>
  <w:style w:type="character" w:customStyle="1" w:styleId="394">
    <w:name w:val="title-blue1"/>
    <w:autoRedefine/>
    <w:qFormat/>
    <w:uiPriority w:val="0"/>
    <w:rPr>
      <w:rFonts w:hint="eastAsia" w:ascii="幼圆" w:eastAsia="幼圆"/>
      <w:b/>
      <w:bCs/>
      <w:color w:val="009FFF"/>
      <w:spacing w:val="75"/>
      <w:sz w:val="24"/>
      <w:szCs w:val="24"/>
    </w:rPr>
  </w:style>
  <w:style w:type="paragraph" w:customStyle="1" w:styleId="395">
    <w:name w:val="样式2"/>
    <w:basedOn w:val="1"/>
    <w:autoRedefine/>
    <w:qFormat/>
    <w:uiPriority w:val="0"/>
    <w:pPr>
      <w:adjustRightInd w:val="0"/>
      <w:snapToGrid w:val="0"/>
      <w:spacing w:beforeLines="20" w:afterLines="20"/>
      <w:ind w:left="-109" w:leftChars="-53" w:hanging="2"/>
      <w:jc w:val="center"/>
    </w:pPr>
    <w:rPr>
      <w:rFonts w:ascii="宋体" w:hAnsi="宋体"/>
      <w:color w:val="000000"/>
    </w:rPr>
  </w:style>
  <w:style w:type="paragraph" w:customStyle="1" w:styleId="396">
    <w:name w:val="Char Char Char Char Char Char"/>
    <w:basedOn w:val="1"/>
    <w:autoRedefine/>
    <w:qFormat/>
    <w:uiPriority w:val="0"/>
    <w:rPr>
      <w:szCs w:val="21"/>
    </w:rPr>
  </w:style>
  <w:style w:type="paragraph" w:customStyle="1" w:styleId="397">
    <w:name w:val="三级条标题"/>
    <w:basedOn w:val="1"/>
    <w:next w:val="1"/>
    <w:autoRedefine/>
    <w:qFormat/>
    <w:uiPriority w:val="0"/>
    <w:pPr>
      <w:widowControl/>
      <w:tabs>
        <w:tab w:val="left" w:pos="2040"/>
        <w:tab w:val="left" w:pos="2160"/>
        <w:tab w:val="left" w:pos="2580"/>
      </w:tabs>
      <w:ind w:left="3600" w:hanging="360"/>
      <w:outlineLvl w:val="4"/>
    </w:pPr>
    <w:rPr>
      <w:rFonts w:ascii="黑体" w:eastAsia="黑体"/>
      <w:kern w:val="0"/>
      <w:szCs w:val="21"/>
    </w:rPr>
  </w:style>
  <w:style w:type="paragraph" w:customStyle="1" w:styleId="398">
    <w:name w:val="Char4 Char Char Char Char Char Char Char Char Char Char Char Char Char Char Char Char Char1 Char Char Char Char Char Char1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399">
    <w:name w:val="4"/>
    <w:basedOn w:val="1"/>
    <w:next w:val="51"/>
    <w:autoRedefine/>
    <w:qFormat/>
    <w:uiPriority w:val="0"/>
    <w:pPr>
      <w:spacing w:line="500" w:lineRule="exact"/>
      <w:ind w:firstLine="560"/>
    </w:pPr>
    <w:rPr>
      <w:rFonts w:ascii="仿宋_GB2312" w:eastAsia="仿宋_GB2312"/>
      <w:color w:val="000000"/>
      <w:sz w:val="28"/>
    </w:rPr>
  </w:style>
  <w:style w:type="paragraph" w:customStyle="1" w:styleId="400">
    <w:name w:val="正文B"/>
    <w:basedOn w:val="1"/>
    <w:link w:val="401"/>
    <w:autoRedefine/>
    <w:qFormat/>
    <w:uiPriority w:val="0"/>
    <w:pPr>
      <w:adjustRightInd w:val="0"/>
      <w:spacing w:line="390" w:lineRule="exact"/>
      <w:ind w:firstLine="601"/>
      <w:textAlignment w:val="baseline"/>
    </w:pPr>
    <w:rPr>
      <w:rFonts w:eastAsia="楷体_GB2312"/>
      <w:spacing w:val="8"/>
      <w:kern w:val="0"/>
      <w:sz w:val="28"/>
      <w:szCs w:val="20"/>
    </w:rPr>
  </w:style>
  <w:style w:type="character" w:customStyle="1" w:styleId="401">
    <w:name w:val="正文B Char"/>
    <w:link w:val="400"/>
    <w:autoRedefine/>
    <w:qFormat/>
    <w:uiPriority w:val="0"/>
    <w:rPr>
      <w:rFonts w:eastAsia="楷体_GB2312"/>
      <w:spacing w:val="8"/>
      <w:sz w:val="28"/>
    </w:rPr>
  </w:style>
  <w:style w:type="character" w:customStyle="1" w:styleId="402">
    <w:name w:val="unnamed91"/>
    <w:autoRedefine/>
    <w:qFormat/>
    <w:uiPriority w:val="0"/>
    <w:rPr>
      <w:rFonts w:hint="eastAsia" w:ascii="宋体" w:hAnsi="宋体" w:eastAsia="宋体"/>
      <w:color w:val="000000"/>
      <w:sz w:val="18"/>
      <w:szCs w:val="18"/>
      <w:u w:val="none"/>
    </w:rPr>
  </w:style>
  <w:style w:type="paragraph" w:customStyle="1" w:styleId="403">
    <w:name w:val="正文格式"/>
    <w:basedOn w:val="1"/>
    <w:link w:val="418"/>
    <w:autoRedefine/>
    <w:qFormat/>
    <w:uiPriority w:val="0"/>
    <w:pPr>
      <w:spacing w:line="360" w:lineRule="auto"/>
      <w:ind w:firstLine="482"/>
    </w:pPr>
    <w:rPr>
      <w:rFonts w:ascii="宋体" w:cs="宋体"/>
      <w:sz w:val="24"/>
    </w:rPr>
  </w:style>
  <w:style w:type="paragraph" w:customStyle="1" w:styleId="404">
    <w:name w:val="报告 Char"/>
    <w:basedOn w:val="1"/>
    <w:autoRedefine/>
    <w:qFormat/>
    <w:uiPriority w:val="0"/>
    <w:pPr>
      <w:adjustRightInd w:val="0"/>
      <w:spacing w:line="360" w:lineRule="auto"/>
      <w:ind w:firstLine="505"/>
      <w:textAlignment w:val="baseline"/>
    </w:pPr>
    <w:rPr>
      <w:sz w:val="24"/>
    </w:rPr>
  </w:style>
  <w:style w:type="paragraph" w:customStyle="1" w:styleId="405">
    <w:name w:val="样式 标题 3 + 黑色 Char Char Char Char"/>
    <w:basedOn w:val="7"/>
    <w:autoRedefine/>
    <w:qFormat/>
    <w:uiPriority w:val="0"/>
    <w:pPr>
      <w:tabs>
        <w:tab w:val="left" w:pos="1077"/>
      </w:tabs>
      <w:ind w:left="1077" w:hanging="357"/>
    </w:pPr>
    <w:rPr>
      <w:lang w:val="zh-CN"/>
    </w:rPr>
  </w:style>
  <w:style w:type="paragraph" w:customStyle="1" w:styleId="406">
    <w:name w:val="报告 Char Char Char"/>
    <w:basedOn w:val="1"/>
    <w:link w:val="407"/>
    <w:autoRedefine/>
    <w:qFormat/>
    <w:uiPriority w:val="0"/>
    <w:pPr>
      <w:adjustRightInd w:val="0"/>
      <w:spacing w:line="360" w:lineRule="auto"/>
      <w:ind w:firstLine="505"/>
      <w:textAlignment w:val="baseline"/>
    </w:pPr>
    <w:rPr>
      <w:sz w:val="24"/>
    </w:rPr>
  </w:style>
  <w:style w:type="character" w:customStyle="1" w:styleId="407">
    <w:name w:val="报告 Char Char Char Char"/>
    <w:link w:val="406"/>
    <w:autoRedefine/>
    <w:qFormat/>
    <w:uiPriority w:val="0"/>
    <w:rPr>
      <w:kern w:val="2"/>
      <w:sz w:val="24"/>
      <w:szCs w:val="24"/>
    </w:rPr>
  </w:style>
  <w:style w:type="paragraph" w:customStyle="1" w:styleId="408">
    <w:name w:val="正文文字"/>
    <w:basedOn w:val="1"/>
    <w:autoRedefine/>
    <w:qFormat/>
    <w:uiPriority w:val="0"/>
    <w:pPr>
      <w:snapToGrid w:val="0"/>
      <w:spacing w:beforeLines="50" w:line="312" w:lineRule="auto"/>
      <w:ind w:firstLine="540" w:firstLineChars="225"/>
    </w:pPr>
    <w:rPr>
      <w:rFonts w:ascii="Arial" w:hAnsi="Arial" w:eastAsia="仿宋_GB2312" w:cs="Arial"/>
      <w:bCs/>
      <w:kern w:val="0"/>
      <w:sz w:val="24"/>
      <w:lang w:val="de-DE"/>
    </w:rPr>
  </w:style>
  <w:style w:type="paragraph" w:customStyle="1" w:styleId="409">
    <w:name w:val="Char4 Char Char Char Char Char Char Char Char Char Char Char Char Char Char Char Char Char1 Char"/>
    <w:basedOn w:val="1"/>
    <w:autoRedefine/>
    <w:qFormat/>
    <w:uiPriority w:val="0"/>
    <w:pPr>
      <w:spacing w:line="240" w:lineRule="exact"/>
      <w:ind w:firstLine="200" w:firstLineChars="200"/>
    </w:pPr>
    <w:rPr>
      <w:sz w:val="28"/>
      <w:szCs w:val="28"/>
    </w:rPr>
  </w:style>
  <w:style w:type="paragraph" w:customStyle="1" w:styleId="410">
    <w:name w:val="正文(首行缩进)"/>
    <w:basedOn w:val="1"/>
    <w:link w:val="1766"/>
    <w:autoRedefine/>
    <w:qFormat/>
    <w:uiPriority w:val="0"/>
    <w:pPr>
      <w:spacing w:line="500" w:lineRule="exact"/>
      <w:ind w:firstLine="480" w:firstLineChars="200"/>
    </w:pPr>
    <w:rPr>
      <w:rFonts w:ascii="宋体" w:hAnsi="宋体"/>
      <w:snapToGrid w:val="0"/>
      <w:sz w:val="24"/>
    </w:rPr>
  </w:style>
  <w:style w:type="paragraph" w:customStyle="1" w:styleId="411">
    <w:name w:val="正文格式 Char Char Char2"/>
    <w:basedOn w:val="1"/>
    <w:link w:val="412"/>
    <w:autoRedefine/>
    <w:qFormat/>
    <w:uiPriority w:val="0"/>
    <w:pPr>
      <w:spacing w:line="360" w:lineRule="auto"/>
      <w:ind w:firstLine="482"/>
    </w:pPr>
    <w:rPr>
      <w:rFonts w:ascii="宋体" w:cs="宋体"/>
      <w:sz w:val="24"/>
    </w:rPr>
  </w:style>
  <w:style w:type="character" w:customStyle="1" w:styleId="412">
    <w:name w:val="正文格式 Char Char Char2 Char"/>
    <w:link w:val="411"/>
    <w:autoRedefine/>
    <w:qFormat/>
    <w:uiPriority w:val="0"/>
    <w:rPr>
      <w:rFonts w:ascii="宋体" w:cs="宋体"/>
      <w:kern w:val="2"/>
      <w:sz w:val="24"/>
      <w:szCs w:val="24"/>
    </w:rPr>
  </w:style>
  <w:style w:type="paragraph" w:customStyle="1" w:styleId="413">
    <w:name w:val="Char Char Char Char Char Char Char Char Char1 Char Char Char Char"/>
    <w:basedOn w:val="1"/>
    <w:autoRedefine/>
    <w:qFormat/>
    <w:uiPriority w:val="0"/>
    <w:rPr>
      <w:szCs w:val="21"/>
    </w:rPr>
  </w:style>
  <w:style w:type="paragraph" w:customStyle="1" w:styleId="414">
    <w:name w:val="文1"/>
    <w:basedOn w:val="1"/>
    <w:autoRedefine/>
    <w:qFormat/>
    <w:uiPriority w:val="0"/>
    <w:pPr>
      <w:snapToGrid w:val="0"/>
      <w:spacing w:line="360" w:lineRule="auto"/>
      <w:ind w:firstLine="567"/>
    </w:pPr>
    <w:rPr>
      <w:rFonts w:ascii="Arial" w:hAnsi="Arial" w:eastAsia="幼圆"/>
      <w:sz w:val="24"/>
      <w:szCs w:val="20"/>
    </w:rPr>
  </w:style>
  <w:style w:type="paragraph" w:customStyle="1" w:styleId="415">
    <w:name w:val="Char Char Char1 Char Char Char1 Char Char Char1 Char"/>
    <w:basedOn w:val="1"/>
    <w:autoRedefine/>
    <w:qFormat/>
    <w:uiPriority w:val="0"/>
    <w:pPr>
      <w:spacing w:line="400" w:lineRule="exact"/>
      <w:ind w:firstLine="200" w:firstLineChars="200"/>
    </w:pPr>
    <w:rPr>
      <w:sz w:val="28"/>
      <w:szCs w:val="28"/>
    </w:rPr>
  </w:style>
  <w:style w:type="paragraph" w:customStyle="1" w:styleId="416">
    <w:name w:val="xl43"/>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szCs w:val="20"/>
    </w:rPr>
  </w:style>
  <w:style w:type="paragraph" w:customStyle="1" w:styleId="417">
    <w:name w:val="xl36"/>
    <w:basedOn w:val="1"/>
    <w:autoRedefine/>
    <w:qFormat/>
    <w:uiPriority w:val="0"/>
    <w:pPr>
      <w:widowControl/>
      <w:spacing w:before="100" w:beforeAutospacing="1" w:after="100" w:afterAutospacing="1"/>
      <w:jc w:val="center"/>
    </w:pPr>
    <w:rPr>
      <w:rFonts w:ascii="楷体_GB2312" w:hAnsi="Arial Unicode MS" w:eastAsia="楷体_GB2312" w:cs="楷体_GB2312"/>
      <w:b/>
      <w:bCs/>
      <w:kern w:val="0"/>
      <w:sz w:val="28"/>
      <w:szCs w:val="28"/>
    </w:rPr>
  </w:style>
  <w:style w:type="character" w:customStyle="1" w:styleId="418">
    <w:name w:val="正文格式 Char"/>
    <w:link w:val="403"/>
    <w:autoRedefine/>
    <w:qFormat/>
    <w:uiPriority w:val="0"/>
    <w:rPr>
      <w:rFonts w:ascii="宋体" w:cs="宋体"/>
      <w:kern w:val="2"/>
      <w:sz w:val="24"/>
      <w:szCs w:val="24"/>
    </w:rPr>
  </w:style>
  <w:style w:type="paragraph" w:customStyle="1" w:styleId="419">
    <w:name w:val="样式 标题 2节第一章 标题 2Heading 2 HiddenHeading 2 CCBSheading 2H2...1"/>
    <w:basedOn w:val="6"/>
    <w:autoRedefine/>
    <w:qFormat/>
    <w:uiPriority w:val="0"/>
    <w:pPr>
      <w:tabs>
        <w:tab w:val="left" w:pos="720"/>
      </w:tabs>
      <w:ind w:left="720" w:hanging="363"/>
    </w:pPr>
    <w:rPr>
      <w:kern w:val="0"/>
      <w:lang w:val="zh-CN"/>
    </w:rPr>
  </w:style>
  <w:style w:type="paragraph" w:customStyle="1" w:styleId="420">
    <w:name w:val="标准"/>
    <w:basedOn w:val="1"/>
    <w:autoRedefine/>
    <w:qFormat/>
    <w:uiPriority w:val="0"/>
    <w:pPr>
      <w:adjustRightInd w:val="0"/>
      <w:spacing w:line="312" w:lineRule="atLeast"/>
      <w:jc w:val="center"/>
      <w:textAlignment w:val="baseline"/>
    </w:pPr>
    <w:rPr>
      <w:kern w:val="0"/>
    </w:rPr>
  </w:style>
  <w:style w:type="paragraph" w:customStyle="1" w:styleId="421">
    <w:name w:val="正文001"/>
    <w:basedOn w:val="1"/>
    <w:autoRedefine/>
    <w:qFormat/>
    <w:uiPriority w:val="0"/>
    <w:pPr>
      <w:spacing w:before="60" w:line="420" w:lineRule="exact"/>
      <w:ind w:firstLine="482"/>
    </w:pPr>
    <w:rPr>
      <w:sz w:val="24"/>
    </w:rPr>
  </w:style>
  <w:style w:type="paragraph" w:customStyle="1" w:styleId="422">
    <w:name w:val="表格001"/>
    <w:basedOn w:val="1"/>
    <w:autoRedefine/>
    <w:qFormat/>
    <w:uiPriority w:val="0"/>
    <w:pPr>
      <w:jc w:val="center"/>
    </w:pPr>
    <w:rPr>
      <w:szCs w:val="21"/>
    </w:rPr>
  </w:style>
  <w:style w:type="character" w:customStyle="1" w:styleId="423">
    <w:name w:val="fsl1"/>
    <w:autoRedefine/>
    <w:qFormat/>
    <w:uiPriority w:val="0"/>
    <w:rPr>
      <w:rFonts w:ascii="黑体" w:hAnsi="黑体" w:eastAsia="黑体"/>
      <w:b/>
      <w:color w:val="0082C6"/>
      <w:spacing w:val="10"/>
      <w:kern w:val="44"/>
      <w:sz w:val="21"/>
      <w:szCs w:val="21"/>
      <w:lang w:val="en-US" w:eastAsia="zh-CN" w:bidi="ar-SA"/>
    </w:rPr>
  </w:style>
  <w:style w:type="paragraph" w:customStyle="1" w:styleId="424">
    <w:name w:val="表头样式1"/>
    <w:basedOn w:val="1"/>
    <w:autoRedefine/>
    <w:qFormat/>
    <w:uiPriority w:val="0"/>
    <w:pPr>
      <w:autoSpaceDE w:val="0"/>
      <w:autoSpaceDN w:val="0"/>
      <w:adjustRightInd w:val="0"/>
      <w:snapToGrid w:val="0"/>
      <w:spacing w:beforeLines="20" w:afterLines="20" w:line="360" w:lineRule="auto"/>
      <w:ind w:firstLine="480" w:firstLineChars="200"/>
      <w:jc w:val="center"/>
    </w:pPr>
    <w:rPr>
      <w:rFonts w:ascii="黑体" w:hAnsi="宋体" w:eastAsia="黑体"/>
      <w:kern w:val="0"/>
      <w:sz w:val="24"/>
    </w:rPr>
  </w:style>
  <w:style w:type="paragraph" w:customStyle="1" w:styleId="425">
    <w:name w:val="表样式1.1"/>
    <w:basedOn w:val="1"/>
    <w:autoRedefine/>
    <w:qFormat/>
    <w:uiPriority w:val="0"/>
    <w:pPr>
      <w:autoSpaceDE w:val="0"/>
      <w:autoSpaceDN w:val="0"/>
      <w:adjustRightInd w:val="0"/>
      <w:snapToGrid w:val="0"/>
      <w:spacing w:line="374" w:lineRule="exact"/>
      <w:jc w:val="center"/>
    </w:pPr>
    <w:rPr>
      <w:rFonts w:ascii="宋体" w:hAnsi="宋体" w:cs="宋体"/>
      <w:bCs/>
      <w:color w:val="000000"/>
      <w:kern w:val="0"/>
      <w:szCs w:val="21"/>
    </w:rPr>
  </w:style>
  <w:style w:type="paragraph" w:customStyle="1" w:styleId="426">
    <w:name w:val="标题003"/>
    <w:basedOn w:val="1"/>
    <w:autoRedefine/>
    <w:qFormat/>
    <w:uiPriority w:val="0"/>
    <w:pPr>
      <w:spacing w:before="120" w:line="440" w:lineRule="exact"/>
      <w:outlineLvl w:val="2"/>
    </w:pPr>
    <w:rPr>
      <w:b/>
      <w:sz w:val="27"/>
      <w:szCs w:val="20"/>
    </w:rPr>
  </w:style>
  <w:style w:type="paragraph" w:customStyle="1" w:styleId="427">
    <w:name w:val="标题002"/>
    <w:basedOn w:val="1"/>
    <w:autoRedefine/>
    <w:qFormat/>
    <w:uiPriority w:val="0"/>
    <w:pPr>
      <w:spacing w:before="160" w:line="480" w:lineRule="exact"/>
      <w:outlineLvl w:val="1"/>
    </w:pPr>
    <w:rPr>
      <w:b/>
      <w:sz w:val="28"/>
      <w:szCs w:val="20"/>
    </w:rPr>
  </w:style>
  <w:style w:type="paragraph" w:customStyle="1" w:styleId="428">
    <w:name w:val="标题004"/>
    <w:basedOn w:val="421"/>
    <w:autoRedefine/>
    <w:qFormat/>
    <w:uiPriority w:val="0"/>
    <w:pPr>
      <w:ind w:firstLine="0"/>
      <w:outlineLvl w:val="3"/>
    </w:pPr>
    <w:rPr>
      <w:b/>
      <w:szCs w:val="20"/>
    </w:rPr>
  </w:style>
  <w:style w:type="paragraph" w:customStyle="1" w:styleId="429">
    <w:name w:val="xl28"/>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430">
    <w:name w:val="样式 标题 31.1.1标题 3 + Times New Roman 自动设置 段前: 0.2 行 段后: 0.2 行"/>
    <w:basedOn w:val="7"/>
    <w:autoRedefine/>
    <w:qFormat/>
    <w:uiPriority w:val="0"/>
    <w:pPr>
      <w:tabs>
        <w:tab w:val="left" w:pos="1077"/>
      </w:tabs>
      <w:ind w:left="1077" w:hanging="357"/>
    </w:pPr>
    <w:rPr>
      <w:lang w:val="zh-CN"/>
    </w:rPr>
  </w:style>
  <w:style w:type="paragraph" w:customStyle="1" w:styleId="431">
    <w:name w:val="条题"/>
    <w:basedOn w:val="1"/>
    <w:autoRedefine/>
    <w:qFormat/>
    <w:uiPriority w:val="0"/>
    <w:pPr>
      <w:tabs>
        <w:tab w:val="left" w:pos="1278"/>
      </w:tabs>
      <w:spacing w:line="480" w:lineRule="exact"/>
      <w:ind w:right="278" w:firstLine="480" w:firstLineChars="200"/>
    </w:pPr>
    <w:rPr>
      <w:rFonts w:ascii="宋体" w:hAnsi="宋体"/>
      <w:sz w:val="24"/>
      <w:szCs w:val="20"/>
    </w:rPr>
  </w:style>
  <w:style w:type="paragraph" w:customStyle="1" w:styleId="432">
    <w:name w:val="样式 标题 2标题 2 Char标2h2H2标题21.1标题 2 + Times New Roman"/>
    <w:basedOn w:val="6"/>
    <w:autoRedefine/>
    <w:qFormat/>
    <w:uiPriority w:val="0"/>
    <w:pPr>
      <w:tabs>
        <w:tab w:val="left" w:pos="720"/>
      </w:tabs>
      <w:ind w:left="720" w:hanging="363"/>
    </w:pPr>
    <w:rPr>
      <w:kern w:val="0"/>
      <w:lang w:val="zh-CN"/>
    </w:rPr>
  </w:style>
  <w:style w:type="paragraph" w:customStyle="1" w:styleId="433">
    <w:name w:val="Char Char Char Char5"/>
    <w:basedOn w:val="1"/>
    <w:autoRedefine/>
    <w:qFormat/>
    <w:uiPriority w:val="0"/>
    <w:rPr>
      <w:szCs w:val="21"/>
    </w:rPr>
  </w:style>
  <w:style w:type="paragraph" w:customStyle="1" w:styleId="434">
    <w:name w:val="标题001"/>
    <w:basedOn w:val="1"/>
    <w:autoRedefine/>
    <w:qFormat/>
    <w:uiPriority w:val="0"/>
    <w:pPr>
      <w:spacing w:before="60" w:line="480" w:lineRule="exact"/>
      <w:outlineLvl w:val="0"/>
    </w:pPr>
    <w:rPr>
      <w:b/>
      <w:bCs/>
      <w:sz w:val="32"/>
      <w:szCs w:val="32"/>
    </w:rPr>
  </w:style>
  <w:style w:type="paragraph" w:customStyle="1" w:styleId="435">
    <w:name w:val="wangjunbo.bullet"/>
    <w:basedOn w:val="1"/>
    <w:autoRedefine/>
    <w:qFormat/>
    <w:uiPriority w:val="0"/>
    <w:pPr>
      <w:jc w:val="center"/>
    </w:pPr>
    <w:rPr>
      <w:rFonts w:ascii="宋体" w:hAnsi="宋体"/>
      <w:szCs w:val="20"/>
    </w:rPr>
  </w:style>
  <w:style w:type="paragraph" w:customStyle="1" w:styleId="436">
    <w:name w:val="样式 首行缩进:  2 字符"/>
    <w:basedOn w:val="1"/>
    <w:link w:val="1492"/>
    <w:autoRedefine/>
    <w:qFormat/>
    <w:uiPriority w:val="0"/>
    <w:pPr>
      <w:spacing w:line="360" w:lineRule="auto"/>
      <w:ind w:firstLine="560" w:firstLineChars="200"/>
    </w:pPr>
    <w:rPr>
      <w:rFonts w:ascii="仿宋_GB2312"/>
      <w:sz w:val="28"/>
      <w:szCs w:val="20"/>
    </w:rPr>
  </w:style>
  <w:style w:type="paragraph" w:customStyle="1" w:styleId="437">
    <w:name w:val="环评正文"/>
    <w:basedOn w:val="50"/>
    <w:autoRedefine/>
    <w:qFormat/>
    <w:uiPriority w:val="0"/>
    <w:pPr>
      <w:spacing w:line="500" w:lineRule="exact"/>
      <w:ind w:left="0" w:leftChars="0" w:firstLine="560" w:firstLineChars="200"/>
    </w:pPr>
    <w:rPr>
      <w:rFonts w:ascii="仿宋_GB2312" w:eastAsia="仿宋_GB2312"/>
      <w:kern w:val="2"/>
      <w:sz w:val="28"/>
    </w:rPr>
  </w:style>
  <w:style w:type="paragraph" w:customStyle="1" w:styleId="438">
    <w:name w:val="正文（行首缩进2字）"/>
    <w:basedOn w:val="1"/>
    <w:link w:val="671"/>
    <w:autoRedefine/>
    <w:qFormat/>
    <w:uiPriority w:val="0"/>
    <w:pPr>
      <w:spacing w:line="360" w:lineRule="auto"/>
      <w:ind w:firstLine="200" w:firstLineChars="200"/>
    </w:pPr>
    <w:rPr>
      <w:sz w:val="28"/>
    </w:rPr>
  </w:style>
  <w:style w:type="paragraph" w:customStyle="1" w:styleId="439">
    <w:name w:val="Plain Text1"/>
    <w:basedOn w:val="1"/>
    <w:autoRedefine/>
    <w:qFormat/>
    <w:uiPriority w:val="0"/>
    <w:pPr>
      <w:adjustRightInd w:val="0"/>
    </w:pPr>
    <w:rPr>
      <w:rFonts w:hint="eastAsia" w:ascii="宋体" w:hAnsi="Courier New"/>
      <w:szCs w:val="20"/>
    </w:rPr>
  </w:style>
  <w:style w:type="paragraph" w:customStyle="1" w:styleId="440">
    <w:name w:val="文本框"/>
    <w:basedOn w:val="1"/>
    <w:next w:val="1"/>
    <w:autoRedefine/>
    <w:qFormat/>
    <w:uiPriority w:val="0"/>
    <w:pPr>
      <w:widowControl/>
      <w:spacing w:line="320" w:lineRule="exact"/>
      <w:ind w:firstLine="200" w:firstLineChars="200"/>
      <w:jc w:val="center"/>
    </w:pPr>
    <w:rPr>
      <w:rFonts w:ascii="仿宋_GB2312" w:eastAsia="仿宋_GB2312"/>
      <w:kern w:val="0"/>
      <w:sz w:val="24"/>
    </w:rPr>
  </w:style>
  <w:style w:type="paragraph" w:customStyle="1" w:styleId="441">
    <w:name w:val="二级无标题条"/>
    <w:basedOn w:val="1"/>
    <w:autoRedefine/>
    <w:qFormat/>
    <w:uiPriority w:val="0"/>
  </w:style>
  <w:style w:type="paragraph" w:customStyle="1" w:styleId="442">
    <w:name w:val="报告"/>
    <w:basedOn w:val="1"/>
    <w:autoRedefine/>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443">
    <w:name w:val="图表标题"/>
    <w:basedOn w:val="442"/>
    <w:next w:val="292"/>
    <w:autoRedefine/>
    <w:qFormat/>
    <w:uiPriority w:val="0"/>
    <w:pPr>
      <w:snapToGrid w:val="0"/>
      <w:spacing w:line="240" w:lineRule="auto"/>
      <w:ind w:firstLine="0"/>
      <w:jc w:val="center"/>
      <w:textAlignment w:val="baseline"/>
    </w:pPr>
    <w:rPr>
      <w:rFonts w:ascii="Arial" w:hAnsi="Arial" w:cs="Arial"/>
      <w:b/>
    </w:rPr>
  </w:style>
  <w:style w:type="paragraph" w:customStyle="1" w:styleId="444">
    <w:name w:val="表内文字"/>
    <w:basedOn w:val="1"/>
    <w:autoRedefine/>
    <w:qFormat/>
    <w:uiPriority w:val="0"/>
    <w:pPr>
      <w:adjustRightInd w:val="0"/>
      <w:spacing w:line="400" w:lineRule="exact"/>
      <w:jc w:val="center"/>
      <w:textAlignment w:val="baseline"/>
    </w:pPr>
    <w:rPr>
      <w:snapToGrid w:val="0"/>
      <w:kern w:val="24"/>
      <w:szCs w:val="21"/>
    </w:rPr>
  </w:style>
  <w:style w:type="paragraph" w:customStyle="1" w:styleId="445">
    <w:name w:val="Char20"/>
    <w:basedOn w:val="1"/>
    <w:autoRedefine/>
    <w:qFormat/>
    <w:uiPriority w:val="0"/>
    <w:pPr>
      <w:spacing w:beforeLines="50" w:afterLines="50" w:line="500" w:lineRule="exact"/>
    </w:pPr>
    <w:rPr>
      <w:sz w:val="28"/>
      <w:szCs w:val="28"/>
    </w:rPr>
  </w:style>
  <w:style w:type="paragraph" w:customStyle="1" w:styleId="446">
    <w:name w:val="正文段落"/>
    <w:basedOn w:val="1"/>
    <w:autoRedefine/>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447">
    <w:name w:val="样式 标题 3条标题1.1.1条标题1.1.11条标题1.1.12条标题1.1.13条标题1.1.111条标题1.1..."/>
    <w:basedOn w:val="7"/>
    <w:autoRedefine/>
    <w:qFormat/>
    <w:uiPriority w:val="0"/>
    <w:pPr>
      <w:tabs>
        <w:tab w:val="left" w:pos="1077"/>
      </w:tabs>
      <w:ind w:left="1077" w:hanging="357"/>
    </w:pPr>
    <w:rPr>
      <w:lang w:val="zh-CN"/>
    </w:rPr>
  </w:style>
  <w:style w:type="paragraph" w:customStyle="1" w:styleId="448">
    <w:name w:val="样式 标题 3条标题1.1.1条标题1.1.11条标题1.1.12条标题1.1.13条标题1.1.111条标题1.1...1"/>
    <w:basedOn w:val="7"/>
    <w:autoRedefine/>
    <w:qFormat/>
    <w:uiPriority w:val="0"/>
    <w:pPr>
      <w:tabs>
        <w:tab w:val="left" w:pos="1077"/>
      </w:tabs>
      <w:ind w:left="1077" w:hanging="357"/>
    </w:pPr>
    <w:rPr>
      <w:lang w:val="zh-CN"/>
    </w:rPr>
  </w:style>
  <w:style w:type="paragraph" w:customStyle="1" w:styleId="449">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kern w:val="0"/>
      <w:szCs w:val="21"/>
    </w:rPr>
  </w:style>
  <w:style w:type="paragraph" w:customStyle="1" w:styleId="450">
    <w:name w:val="样式 标题 3 + 11 磅 蓝色"/>
    <w:basedOn w:val="7"/>
    <w:autoRedefine/>
    <w:qFormat/>
    <w:uiPriority w:val="0"/>
    <w:pPr>
      <w:tabs>
        <w:tab w:val="left" w:pos="1077"/>
      </w:tabs>
      <w:ind w:left="1077" w:hanging="357"/>
    </w:pPr>
    <w:rPr>
      <w:lang w:val="zh-CN"/>
    </w:rPr>
  </w:style>
  <w:style w:type="paragraph" w:customStyle="1" w:styleId="451">
    <w:name w:val="3级标题"/>
    <w:basedOn w:val="1"/>
    <w:autoRedefine/>
    <w:qFormat/>
    <w:uiPriority w:val="0"/>
    <w:pPr>
      <w:keepNext/>
      <w:keepLines/>
      <w:adjustRightInd w:val="0"/>
      <w:snapToGrid w:val="0"/>
      <w:spacing w:before="80" w:after="80" w:line="400" w:lineRule="exact"/>
      <w:outlineLvl w:val="2"/>
    </w:pPr>
    <w:rPr>
      <w:b/>
      <w:color w:val="000000"/>
      <w:sz w:val="24"/>
      <w:szCs w:val="28"/>
    </w:rPr>
  </w:style>
  <w:style w:type="paragraph" w:customStyle="1" w:styleId="452">
    <w:name w:val="样式 正文缩进正文缩进 Char正文缩进1 Char正文缩进1正文（首行缩进两字） Char正文缩进 Char Cha..."/>
    <w:basedOn w:val="8"/>
    <w:autoRedefine/>
    <w:qFormat/>
    <w:uiPriority w:val="0"/>
    <w:rPr>
      <w:kern w:val="0"/>
      <w:sz w:val="20"/>
      <w:lang w:val="zh-CN"/>
    </w:rPr>
  </w:style>
  <w:style w:type="paragraph" w:customStyle="1" w:styleId="453">
    <w:name w:val="样式 图表"/>
    <w:basedOn w:val="1"/>
    <w:autoRedefine/>
    <w:qFormat/>
    <w:uiPriority w:val="0"/>
    <w:pPr>
      <w:adjustRightInd w:val="0"/>
      <w:spacing w:line="360" w:lineRule="auto"/>
      <w:jc w:val="center"/>
      <w:textAlignment w:val="baseline"/>
    </w:pPr>
    <w:rPr>
      <w:b/>
      <w:bCs/>
      <w:kern w:val="0"/>
      <w:sz w:val="24"/>
    </w:rPr>
  </w:style>
  <w:style w:type="paragraph" w:customStyle="1" w:styleId="454">
    <w:name w:val="普通表格1"/>
    <w:basedOn w:val="46"/>
    <w:autoRedefine/>
    <w:qFormat/>
    <w:uiPriority w:val="0"/>
    <w:rPr>
      <w:rFonts w:cs="Times New Roman"/>
      <w:kern w:val="0"/>
      <w:sz w:val="20"/>
      <w:lang w:val="zh-CN"/>
    </w:rPr>
  </w:style>
  <w:style w:type="paragraph" w:customStyle="1" w:styleId="455">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56">
    <w:name w:val="样式 正文文本缩进 + 左侧:  0.95 厘米 首行缩进:  0.63 厘米"/>
    <w:basedOn w:val="36"/>
    <w:autoRedefine/>
    <w:qFormat/>
    <w:uiPriority w:val="0"/>
    <w:pPr>
      <w:spacing w:after="0" w:line="480" w:lineRule="exact"/>
      <w:ind w:left="0" w:leftChars="0" w:firstLine="480" w:firstLineChars="200"/>
    </w:pPr>
    <w:rPr>
      <w:rFonts w:ascii="宋体" w:hAnsi="宋体"/>
      <w:color w:val="000000"/>
      <w:kern w:val="2"/>
      <w:szCs w:val="24"/>
    </w:rPr>
  </w:style>
  <w:style w:type="paragraph" w:customStyle="1" w:styleId="457">
    <w:name w:val="Char Char Char1 Char"/>
    <w:basedOn w:val="1"/>
    <w:autoRedefine/>
    <w:qFormat/>
    <w:uiPriority w:val="0"/>
  </w:style>
  <w:style w:type="paragraph" w:customStyle="1" w:styleId="458">
    <w:name w:val="Char Char Char1 Char Char Char Char"/>
    <w:basedOn w:val="1"/>
    <w:autoRedefine/>
    <w:qFormat/>
    <w:uiPriority w:val="0"/>
  </w:style>
  <w:style w:type="paragraph" w:customStyle="1" w:styleId="459">
    <w:name w:val="Char Char Char Char Char Char Char Char Char Char Char Char Char Char Char Char"/>
    <w:basedOn w:val="1"/>
    <w:autoRedefine/>
    <w:qFormat/>
    <w:uiPriority w:val="0"/>
  </w:style>
  <w:style w:type="paragraph" w:customStyle="1" w:styleId="460">
    <w:name w:val="Char Char Char Char Char Char Char Char Char Char3"/>
    <w:basedOn w:val="1"/>
    <w:autoRedefine/>
    <w:qFormat/>
    <w:uiPriority w:val="0"/>
  </w:style>
  <w:style w:type="paragraph" w:customStyle="1" w:styleId="461">
    <w:name w:val="样式 段前: 0.1 行 段后: 0.1 行"/>
    <w:basedOn w:val="1"/>
    <w:autoRedefine/>
    <w:qFormat/>
    <w:uiPriority w:val="0"/>
    <w:pPr>
      <w:adjustRightInd w:val="0"/>
      <w:snapToGrid w:val="0"/>
      <w:spacing w:line="300" w:lineRule="auto"/>
      <w:ind w:firstLine="499"/>
      <w:textAlignment w:val="baseline"/>
    </w:pPr>
    <w:rPr>
      <w:rFonts w:cs="宋体"/>
      <w:snapToGrid w:val="0"/>
      <w:kern w:val="0"/>
      <w:sz w:val="24"/>
      <w:szCs w:val="20"/>
    </w:rPr>
  </w:style>
  <w:style w:type="paragraph" w:customStyle="1" w:styleId="462">
    <w:name w:val="样式 标题 1 + (中文) 宋体 小三 行距: 多倍行距 1.35 字行"/>
    <w:basedOn w:val="5"/>
    <w:autoRedefine/>
    <w:qFormat/>
    <w:uiPriority w:val="0"/>
    <w:pPr>
      <w:numPr>
        <w:ilvl w:val="0"/>
        <w:numId w:val="3"/>
      </w:numPr>
      <w:tabs>
        <w:tab w:val="clear" w:pos="432"/>
      </w:tabs>
      <w:overflowPunct/>
      <w:snapToGrid/>
      <w:spacing w:before="0" w:after="0" w:line="400" w:lineRule="exact"/>
      <w:ind w:left="0" w:firstLine="0" w:firstLineChars="3200"/>
    </w:pPr>
    <w:rPr>
      <w:rFonts w:eastAsia="宋体"/>
      <w:b w:val="0"/>
      <w:bCs w:val="0"/>
      <w:color w:val="auto"/>
      <w:kern w:val="0"/>
      <w:sz w:val="32"/>
      <w:szCs w:val="20"/>
      <w:lang w:val="zh-CN"/>
    </w:rPr>
  </w:style>
  <w:style w:type="paragraph" w:customStyle="1" w:styleId="463">
    <w:name w:val="样式 样式 标题 2节 + (西文) Times New Roman (中文) 宋体 四号 段前: 0.5 行 段后: 0......"/>
    <w:basedOn w:val="1"/>
    <w:autoRedefine/>
    <w:qFormat/>
    <w:uiPriority w:val="0"/>
    <w:pPr>
      <w:keepNext/>
      <w:keepLines/>
      <w:numPr>
        <w:ilvl w:val="1"/>
        <w:numId w:val="3"/>
      </w:numPr>
      <w:adjustRightInd w:val="0"/>
      <w:snapToGrid w:val="0"/>
      <w:spacing w:beforeLines="90" w:afterLines="90" w:line="300" w:lineRule="auto"/>
      <w:outlineLvl w:val="1"/>
    </w:pPr>
    <w:rPr>
      <w:rFonts w:hAnsi="宋体"/>
      <w:b/>
      <w:bCs/>
      <w:color w:val="FF0000"/>
      <w:sz w:val="28"/>
      <w:szCs w:val="28"/>
    </w:rPr>
  </w:style>
  <w:style w:type="paragraph" w:customStyle="1" w:styleId="464">
    <w:name w:val="样式 标题 3 + (西文) Times New Roman (中文) 宋体 小四 加粗"/>
    <w:basedOn w:val="7"/>
    <w:autoRedefine/>
    <w:qFormat/>
    <w:uiPriority w:val="0"/>
    <w:pPr>
      <w:numPr>
        <w:ilvl w:val="2"/>
        <w:numId w:val="3"/>
      </w:numPr>
      <w:tabs>
        <w:tab w:val="clear" w:pos="1021"/>
      </w:tabs>
      <w:ind w:left="720" w:hanging="432"/>
    </w:pPr>
    <w:rPr>
      <w:lang w:val="zh-CN"/>
    </w:rPr>
  </w:style>
  <w:style w:type="paragraph" w:customStyle="1" w:styleId="465">
    <w:name w:val="样式 标题 4 + (西文) Times New Roman (中文) 宋体 小四"/>
    <w:basedOn w:val="9"/>
    <w:autoRedefine/>
    <w:qFormat/>
    <w:uiPriority w:val="0"/>
    <w:pPr>
      <w:numPr>
        <w:ilvl w:val="3"/>
        <w:numId w:val="3"/>
      </w:numPr>
      <w:tabs>
        <w:tab w:val="clear" w:pos="1247"/>
      </w:tabs>
      <w:ind w:left="864" w:hanging="144"/>
    </w:pPr>
    <w:rPr>
      <w:rFonts w:ascii="等线 Light" w:hAnsi="等线 Light" w:eastAsia="等线 Light"/>
      <w:kern w:val="0"/>
      <w:lang w:val="zh-CN"/>
    </w:rPr>
  </w:style>
  <w:style w:type="paragraph" w:customStyle="1" w:styleId="466">
    <w:name w:val="表格内容1"/>
    <w:basedOn w:val="1"/>
    <w:autoRedefine/>
    <w:qFormat/>
    <w:uiPriority w:val="0"/>
    <w:pPr>
      <w:adjustRightInd w:val="0"/>
      <w:snapToGrid w:val="0"/>
      <w:jc w:val="center"/>
    </w:pPr>
    <w:rPr>
      <w:snapToGrid w:val="0"/>
      <w:kern w:val="0"/>
    </w:rPr>
  </w:style>
  <w:style w:type="paragraph" w:customStyle="1" w:styleId="467">
    <w:name w:val="表题1"/>
    <w:basedOn w:val="1"/>
    <w:link w:val="2087"/>
    <w:autoRedefine/>
    <w:qFormat/>
    <w:uiPriority w:val="0"/>
    <w:pPr>
      <w:adjustRightInd w:val="0"/>
      <w:snapToGrid w:val="0"/>
      <w:spacing w:line="300" w:lineRule="auto"/>
      <w:jc w:val="center"/>
      <w:textAlignment w:val="baseline"/>
    </w:pPr>
    <w:rPr>
      <w:snapToGrid w:val="0"/>
      <w:kern w:val="0"/>
      <w:sz w:val="24"/>
      <w:szCs w:val="20"/>
    </w:rPr>
  </w:style>
  <w:style w:type="character" w:customStyle="1" w:styleId="468">
    <w:name w:val="正文缩进4 Char"/>
    <w:link w:val="280"/>
    <w:autoRedefine/>
    <w:qFormat/>
    <w:uiPriority w:val="0"/>
    <w:rPr>
      <w:rFonts w:hAnsi="宋体"/>
      <w:kern w:val="2"/>
      <w:sz w:val="24"/>
    </w:rPr>
  </w:style>
  <w:style w:type="paragraph" w:customStyle="1" w:styleId="469">
    <w:name w:val="图框文字"/>
    <w:basedOn w:val="1"/>
    <w:autoRedefine/>
    <w:qFormat/>
    <w:uiPriority w:val="0"/>
    <w:pPr>
      <w:jc w:val="center"/>
      <w:textAlignment w:val="center"/>
    </w:pPr>
    <w:rPr>
      <w:szCs w:val="20"/>
    </w:rPr>
  </w:style>
  <w:style w:type="table" w:customStyle="1" w:styleId="470">
    <w:name w:val="表格样式11"/>
    <w:basedOn w:val="87"/>
    <w:autoRedefine/>
    <w:qFormat/>
    <w:uiPriority w:val="0"/>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paragraph" w:customStyle="1" w:styleId="471">
    <w:name w:val="表内字体"/>
    <w:basedOn w:val="1"/>
    <w:autoRedefine/>
    <w:qFormat/>
    <w:uiPriority w:val="0"/>
    <w:pPr>
      <w:jc w:val="center"/>
    </w:pPr>
    <w:rPr>
      <w:rFonts w:hAnsi="宋体"/>
      <w:szCs w:val="20"/>
    </w:rPr>
  </w:style>
  <w:style w:type="character" w:customStyle="1" w:styleId="472">
    <w:name w:val="style6"/>
    <w:autoRedefine/>
    <w:qFormat/>
    <w:uiPriority w:val="0"/>
  </w:style>
  <w:style w:type="paragraph" w:customStyle="1" w:styleId="473">
    <w:name w:val="样式4"/>
    <w:basedOn w:val="2"/>
    <w:autoRedefine/>
    <w:qFormat/>
    <w:uiPriority w:val="0"/>
    <w:pPr>
      <w:widowControl w:val="0"/>
      <w:snapToGrid/>
      <w:spacing w:before="0" w:after="0" w:line="240" w:lineRule="auto"/>
      <w:ind w:right="0" w:firstLine="560"/>
    </w:pPr>
    <w:rPr>
      <w:rFonts w:ascii="宋体" w:hAnsi="宋体"/>
      <w:color w:val="000000"/>
      <w:sz w:val="28"/>
    </w:rPr>
  </w:style>
  <w:style w:type="paragraph" w:customStyle="1" w:styleId="474">
    <w:name w:val="文本居中"/>
    <w:basedOn w:val="1"/>
    <w:autoRedefine/>
    <w:qFormat/>
    <w:uiPriority w:val="0"/>
    <w:pPr>
      <w:adjustRightInd w:val="0"/>
      <w:spacing w:line="360" w:lineRule="auto"/>
      <w:jc w:val="center"/>
    </w:pPr>
    <w:rPr>
      <w:sz w:val="28"/>
      <w:szCs w:val="20"/>
    </w:rPr>
  </w:style>
  <w:style w:type="paragraph" w:customStyle="1" w:styleId="475">
    <w:name w:val="样式10"/>
    <w:basedOn w:val="165"/>
    <w:autoRedefine/>
    <w:qFormat/>
    <w:uiPriority w:val="0"/>
    <w:pPr>
      <w:adjustRightInd w:val="0"/>
      <w:textAlignment w:val="baseline"/>
    </w:pPr>
    <w:rPr>
      <w:rFonts w:hAnsi="宋体"/>
      <w:color w:val="FF0000"/>
      <w:kern w:val="2"/>
      <w:lang w:val="en-US"/>
    </w:rPr>
  </w:style>
  <w:style w:type="paragraph" w:customStyle="1" w:styleId="476">
    <w:name w:val="样式 标题 1 + 两端对齐"/>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477">
    <w:name w:val="表头文字"/>
    <w:basedOn w:val="1"/>
    <w:autoRedefine/>
    <w:qFormat/>
    <w:uiPriority w:val="0"/>
    <w:pPr>
      <w:spacing w:line="360" w:lineRule="auto"/>
      <w:jc w:val="center"/>
    </w:pPr>
    <w:rPr>
      <w:rFonts w:eastAsia="楷体_GB2312"/>
      <w:b/>
      <w:sz w:val="24"/>
      <w:szCs w:val="20"/>
    </w:rPr>
  </w:style>
  <w:style w:type="paragraph" w:customStyle="1" w:styleId="478">
    <w:name w:val="表字"/>
    <w:basedOn w:val="1"/>
    <w:autoRedefine/>
    <w:qFormat/>
    <w:uiPriority w:val="0"/>
    <w:pPr>
      <w:jc w:val="center"/>
    </w:pPr>
    <w:rPr>
      <w:rFonts w:ascii="宋体"/>
      <w:szCs w:val="20"/>
    </w:rPr>
  </w:style>
  <w:style w:type="paragraph" w:customStyle="1" w:styleId="479">
    <w:name w:val="五号表格"/>
    <w:next w:val="1"/>
    <w:autoRedefine/>
    <w:qFormat/>
    <w:uiPriority w:val="0"/>
    <w:rPr>
      <w:rFonts w:ascii="宋体" w:hAnsi="Times New Roman" w:eastAsia="宋体" w:cs="Times New Roman"/>
      <w:sz w:val="21"/>
      <w:lang w:val="en-US" w:eastAsia="zh-CN" w:bidi="ar-SA"/>
    </w:rPr>
  </w:style>
  <w:style w:type="paragraph" w:customStyle="1" w:styleId="480">
    <w:name w:val="正文首行缩进1"/>
    <w:basedOn w:val="1"/>
    <w:next w:val="1"/>
    <w:autoRedefine/>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szCs w:val="20"/>
    </w:rPr>
  </w:style>
  <w:style w:type="paragraph" w:customStyle="1" w:styleId="481">
    <w:name w:val="表1"/>
    <w:basedOn w:val="1"/>
    <w:autoRedefine/>
    <w:qFormat/>
    <w:uiPriority w:val="1"/>
    <w:pPr>
      <w:jc w:val="center"/>
    </w:pPr>
    <w:rPr>
      <w:rFonts w:ascii="宋体" w:hAnsi="宋体"/>
      <w:color w:val="000000"/>
      <w:szCs w:val="20"/>
    </w:rPr>
  </w:style>
  <w:style w:type="paragraph" w:customStyle="1" w:styleId="482">
    <w:name w:val="注"/>
    <w:basedOn w:val="1"/>
    <w:next w:val="1"/>
    <w:autoRedefine/>
    <w:qFormat/>
    <w:uiPriority w:val="0"/>
    <w:pPr>
      <w:widowControl/>
      <w:spacing w:before="60" w:after="60" w:line="312" w:lineRule="auto"/>
    </w:pPr>
    <w:rPr>
      <w:rFonts w:eastAsia="黑体"/>
      <w:kern w:val="0"/>
      <w:szCs w:val="20"/>
    </w:rPr>
  </w:style>
  <w:style w:type="paragraph" w:customStyle="1" w:styleId="483">
    <w:name w:val="xl3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Cs w:val="20"/>
    </w:rPr>
  </w:style>
  <w:style w:type="paragraph" w:customStyle="1" w:styleId="484">
    <w:name w:val="表格文字居中 Char"/>
    <w:basedOn w:val="316"/>
    <w:autoRedefine/>
    <w:qFormat/>
    <w:uiPriority w:val="0"/>
    <w:pPr>
      <w:keepNext/>
      <w:widowControl w:val="0"/>
      <w:tabs>
        <w:tab w:val="left" w:pos="628"/>
        <w:tab w:val="left" w:pos="1727"/>
        <w:tab w:val="left" w:pos="1884"/>
        <w:tab w:val="left" w:pos="2660"/>
        <w:tab w:val="left" w:pos="5460"/>
      </w:tabs>
      <w:spacing w:before="100" w:beforeAutospacing="1" w:after="0"/>
      <w:ind w:firstLine="0" w:firstLineChars="0"/>
      <w:jc w:val="center"/>
    </w:pPr>
    <w:rPr>
      <w:rFonts w:hAnsi="Times New Roman"/>
      <w:color w:val="000000"/>
      <w:szCs w:val="20"/>
    </w:rPr>
  </w:style>
  <w:style w:type="paragraph" w:customStyle="1" w:styleId="485">
    <w:name w:val="p6"/>
    <w:basedOn w:val="1"/>
    <w:autoRedefine/>
    <w:qFormat/>
    <w:uiPriority w:val="0"/>
    <w:pPr>
      <w:tabs>
        <w:tab w:val="left" w:pos="4720"/>
      </w:tabs>
      <w:spacing w:line="240" w:lineRule="atLeast"/>
      <w:ind w:left="3280"/>
      <w:jc w:val="left"/>
    </w:pPr>
    <w:rPr>
      <w:rFonts w:ascii="Arial" w:hAnsi="Arial"/>
      <w:snapToGrid w:val="0"/>
      <w:kern w:val="0"/>
      <w:sz w:val="24"/>
      <w:szCs w:val="20"/>
      <w:lang w:eastAsia="en-US"/>
    </w:rPr>
  </w:style>
  <w:style w:type="paragraph" w:customStyle="1" w:styleId="486">
    <w:name w:val="文本框文字格式"/>
    <w:basedOn w:val="1"/>
    <w:autoRedefine/>
    <w:qFormat/>
    <w:uiPriority w:val="0"/>
    <w:pPr>
      <w:jc w:val="center"/>
    </w:pPr>
    <w:rPr>
      <w:sz w:val="24"/>
      <w:szCs w:val="20"/>
    </w:rPr>
  </w:style>
  <w:style w:type="paragraph" w:customStyle="1" w:styleId="487">
    <w:name w:val="居中正文"/>
    <w:basedOn w:val="316"/>
    <w:autoRedefine/>
    <w:qFormat/>
    <w:uiPriority w:val="0"/>
    <w:pPr>
      <w:widowControl w:val="0"/>
      <w:adjustRightInd w:val="0"/>
      <w:spacing w:before="120" w:after="0" w:line="360" w:lineRule="auto"/>
      <w:ind w:firstLine="0" w:firstLineChars="0"/>
      <w:jc w:val="center"/>
    </w:pPr>
    <w:rPr>
      <w:rFonts w:hAnsi="Times New Roman"/>
      <w:kern w:val="28"/>
    </w:rPr>
  </w:style>
  <w:style w:type="paragraph" w:customStyle="1" w:styleId="488">
    <w:name w:val="前言、引言标题"/>
    <w:next w:val="1"/>
    <w:autoRedefine/>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489">
    <w:name w:val="一级条标题"/>
    <w:basedOn w:val="5"/>
    <w:next w:val="1"/>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490">
    <w:name w:val="二级条标题"/>
    <w:basedOn w:val="489"/>
    <w:next w:val="1"/>
    <w:autoRedefine/>
    <w:qFormat/>
    <w:uiPriority w:val="0"/>
    <w:pPr>
      <w:keepNext w:val="0"/>
      <w:widowControl/>
      <w:tabs>
        <w:tab w:val="clear" w:pos="360"/>
      </w:tabs>
      <w:spacing w:line="240" w:lineRule="auto"/>
      <w:ind w:left="864" w:hanging="864" w:firstLineChars="0"/>
      <w:outlineLvl w:val="3"/>
    </w:pPr>
    <w:rPr>
      <w:rFonts w:ascii="黑体" w:eastAsia="黑体"/>
      <w:sz w:val="21"/>
      <w:szCs w:val="21"/>
      <w:lang w:val="en-US"/>
    </w:rPr>
  </w:style>
  <w:style w:type="paragraph" w:customStyle="1" w:styleId="491">
    <w:name w:val="五级条标题"/>
    <w:basedOn w:val="1"/>
    <w:next w:val="1"/>
    <w:autoRedefine/>
    <w:qFormat/>
    <w:uiPriority w:val="0"/>
    <w:pPr>
      <w:widowControl/>
      <w:tabs>
        <w:tab w:val="left" w:pos="2040"/>
      </w:tabs>
      <w:ind w:left="2040" w:leftChars="800" w:hanging="360" w:hangingChars="200"/>
      <w:outlineLvl w:val="6"/>
    </w:pPr>
    <w:rPr>
      <w:rFonts w:ascii="黑体" w:eastAsia="黑体"/>
      <w:kern w:val="0"/>
      <w:szCs w:val="21"/>
    </w:rPr>
  </w:style>
  <w:style w:type="character" w:customStyle="1" w:styleId="492">
    <w:name w:val="main-11"/>
    <w:autoRedefine/>
    <w:qFormat/>
    <w:uiPriority w:val="0"/>
  </w:style>
  <w:style w:type="character" w:customStyle="1" w:styleId="493">
    <w:name w:val="px141"/>
    <w:autoRedefine/>
    <w:qFormat/>
    <w:uiPriority w:val="0"/>
    <w:rPr>
      <w:rFonts w:hint="default"/>
      <w:sz w:val="21"/>
      <w:szCs w:val="21"/>
    </w:rPr>
  </w:style>
  <w:style w:type="paragraph" w:customStyle="1" w:styleId="494">
    <w:name w:val="5 Char"/>
    <w:basedOn w:val="1"/>
    <w:autoRedefine/>
    <w:qFormat/>
    <w:uiPriority w:val="0"/>
    <w:rPr>
      <w:sz w:val="24"/>
    </w:rPr>
  </w:style>
  <w:style w:type="character" w:customStyle="1" w:styleId="495">
    <w:name w:val="big1"/>
    <w:autoRedefine/>
    <w:qFormat/>
    <w:uiPriority w:val="0"/>
    <w:rPr>
      <w:rFonts w:hint="default"/>
      <w:sz w:val="28"/>
      <w:szCs w:val="28"/>
    </w:rPr>
  </w:style>
  <w:style w:type="paragraph" w:customStyle="1" w:styleId="496">
    <w:name w:val="小3黑中"/>
    <w:basedOn w:val="10"/>
    <w:autoRedefine/>
    <w:qFormat/>
    <w:uiPriority w:val="0"/>
  </w:style>
  <w:style w:type="table" w:customStyle="1" w:styleId="497">
    <w:name w:val="喜欢的1"/>
    <w:basedOn w:val="98"/>
    <w:autoRedefine/>
    <w:qFormat/>
    <w:uiPriority w:val="0"/>
    <w:tblPr>
      <w:tblBorders>
        <w:insideH w:val="single" w:color="008000" w:sz="4" w:space="0"/>
        <w:insideV w:val="single" w:color="008000" w:sz="4" w:space="0"/>
      </w:tblBorders>
      <w:tblCellMar>
        <w:top w:w="0" w:type="dxa"/>
        <w:left w:w="108" w:type="dxa"/>
        <w:bottom w:w="0" w:type="dxa"/>
        <w:right w:w="108" w:type="dxa"/>
      </w:tblCellMar>
    </w:tblPr>
    <w:tcPr>
      <w:shd w:val="clear" w:color="auto" w:fill="FFFFFF"/>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498">
    <w:name w:val="最普通1"/>
    <w:basedOn w:val="117"/>
    <w:autoRedefine/>
    <w:qFormat/>
    <w:uiPriority w:val="0"/>
    <w:pPr>
      <w:spacing w:line="50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499">
    <w:name w:val="AnnexLetter"/>
    <w:basedOn w:val="1"/>
    <w:autoRedefine/>
    <w:qFormat/>
    <w:uiPriority w:val="0"/>
    <w:pPr>
      <w:widowControl/>
      <w:overflowPunct w:val="0"/>
      <w:autoSpaceDE w:val="0"/>
      <w:autoSpaceDN w:val="0"/>
      <w:adjustRightInd w:val="0"/>
      <w:spacing w:before="2400" w:line="264" w:lineRule="auto"/>
      <w:ind w:left="1418" w:right="1418"/>
      <w:jc w:val="left"/>
      <w:textAlignment w:val="baseline"/>
    </w:pPr>
    <w:rPr>
      <w:rFonts w:ascii="Book Antiqua" w:hAnsi="Book Antiqua"/>
      <w:kern w:val="0"/>
      <w:sz w:val="22"/>
      <w:szCs w:val="20"/>
      <w:lang w:val="en-GB"/>
    </w:rPr>
  </w:style>
  <w:style w:type="paragraph" w:customStyle="1" w:styleId="500">
    <w:name w:val="AnnexTitle"/>
    <w:basedOn w:val="1"/>
    <w:next w:val="1"/>
    <w:autoRedefine/>
    <w:qFormat/>
    <w:uiPriority w:val="0"/>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kern w:val="0"/>
      <w:sz w:val="36"/>
      <w:szCs w:val="20"/>
      <w:lang w:val="en-GB"/>
    </w:rPr>
  </w:style>
  <w:style w:type="paragraph" w:customStyle="1" w:styleId="501">
    <w:name w:val="CoverClientName"/>
    <w:basedOn w:val="1"/>
    <w:next w:val="1"/>
    <w:autoRedefine/>
    <w:qFormat/>
    <w:uiPriority w:val="0"/>
    <w:pPr>
      <w:widowControl/>
      <w:overflowPunct w:val="0"/>
      <w:autoSpaceDE w:val="0"/>
      <w:autoSpaceDN w:val="0"/>
      <w:adjustRightInd w:val="0"/>
      <w:spacing w:after="480" w:line="264" w:lineRule="auto"/>
      <w:jc w:val="left"/>
      <w:textAlignment w:val="baseline"/>
    </w:pPr>
    <w:rPr>
      <w:rFonts w:ascii="Book Antiqua" w:hAnsi="Book Antiqua"/>
      <w:kern w:val="0"/>
      <w:sz w:val="22"/>
      <w:szCs w:val="20"/>
      <w:lang w:val="en-GB"/>
    </w:rPr>
  </w:style>
  <w:style w:type="paragraph" w:customStyle="1" w:styleId="502">
    <w:name w:val="CoverDate"/>
    <w:basedOn w:val="1"/>
    <w:autoRedefine/>
    <w:qFormat/>
    <w:uiPriority w:val="0"/>
    <w:pPr>
      <w:widowControl/>
      <w:overflowPunct w:val="0"/>
      <w:autoSpaceDE w:val="0"/>
      <w:autoSpaceDN w:val="0"/>
      <w:adjustRightInd w:val="0"/>
      <w:spacing w:before="1200" w:line="264" w:lineRule="auto"/>
      <w:jc w:val="left"/>
      <w:textAlignment w:val="baseline"/>
    </w:pPr>
    <w:rPr>
      <w:rFonts w:ascii="Book Antiqua" w:hAnsi="Book Antiqua"/>
      <w:kern w:val="0"/>
      <w:sz w:val="22"/>
      <w:szCs w:val="20"/>
      <w:lang w:val="en-GB"/>
    </w:rPr>
  </w:style>
  <w:style w:type="paragraph" w:customStyle="1" w:styleId="503">
    <w:name w:val="CoverMainTitle"/>
    <w:basedOn w:val="1"/>
    <w:next w:val="1"/>
    <w:autoRedefine/>
    <w:qFormat/>
    <w:uiPriority w:val="0"/>
    <w:pPr>
      <w:widowControl/>
      <w:overflowPunct w:val="0"/>
      <w:autoSpaceDE w:val="0"/>
      <w:autoSpaceDN w:val="0"/>
      <w:adjustRightInd w:val="0"/>
      <w:spacing w:before="480" w:line="264" w:lineRule="auto"/>
      <w:jc w:val="left"/>
      <w:textAlignment w:val="baseline"/>
    </w:pPr>
    <w:rPr>
      <w:rFonts w:ascii="Book Antiqua" w:hAnsi="Book Antiqua"/>
      <w:kern w:val="0"/>
      <w:sz w:val="28"/>
      <w:szCs w:val="20"/>
      <w:lang w:val="en-GB"/>
    </w:rPr>
  </w:style>
  <w:style w:type="paragraph" w:customStyle="1" w:styleId="504">
    <w:name w:val="CoverReverseHeader"/>
    <w:basedOn w:val="1"/>
    <w:next w:val="501"/>
    <w:autoRedefine/>
    <w:qFormat/>
    <w:uiPriority w:val="0"/>
    <w:pPr>
      <w:widowControl/>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kern w:val="0"/>
      <w:sz w:val="22"/>
      <w:szCs w:val="20"/>
      <w:lang w:val="en-GB"/>
    </w:rPr>
  </w:style>
  <w:style w:type="paragraph" w:customStyle="1" w:styleId="505">
    <w:name w:val="Graphics Text"/>
    <w:basedOn w:val="1"/>
    <w:autoRedefine/>
    <w:qFormat/>
    <w:uiPriority w:val="0"/>
    <w:pPr>
      <w:widowControl/>
      <w:overflowPunct w:val="0"/>
      <w:autoSpaceDE w:val="0"/>
      <w:autoSpaceDN w:val="0"/>
      <w:adjustRightInd w:val="0"/>
      <w:spacing w:line="264" w:lineRule="auto"/>
      <w:jc w:val="left"/>
      <w:textAlignment w:val="baseline"/>
    </w:pPr>
    <w:rPr>
      <w:rFonts w:ascii="Arial Narrow" w:hAnsi="Arial Narrow"/>
      <w:kern w:val="0"/>
      <w:sz w:val="18"/>
      <w:szCs w:val="20"/>
      <w:lang w:val="en-GB"/>
    </w:rPr>
  </w:style>
  <w:style w:type="paragraph" w:customStyle="1" w:styleId="506">
    <w:name w:val="Heading4"/>
    <w:basedOn w:val="1"/>
    <w:autoRedefine/>
    <w:qFormat/>
    <w:uiPriority w:val="0"/>
    <w:pPr>
      <w:widowControl/>
      <w:overflowPunct w:val="0"/>
      <w:autoSpaceDE w:val="0"/>
      <w:autoSpaceDN w:val="0"/>
      <w:adjustRightInd w:val="0"/>
      <w:spacing w:after="240" w:line="264" w:lineRule="auto"/>
      <w:jc w:val="left"/>
      <w:textAlignment w:val="baseline"/>
    </w:pPr>
    <w:rPr>
      <w:rFonts w:ascii="Book Antiqua" w:hAnsi="Book Antiqua"/>
      <w:i/>
      <w:kern w:val="0"/>
      <w:sz w:val="22"/>
      <w:szCs w:val="20"/>
      <w:lang w:val="en-GB"/>
    </w:rPr>
  </w:style>
  <w:style w:type="paragraph" w:customStyle="1" w:styleId="507">
    <w:name w:val="MarginRelease"/>
    <w:basedOn w:val="1"/>
    <w:next w:val="1"/>
    <w:autoRedefine/>
    <w:qFormat/>
    <w:uiPriority w:val="0"/>
    <w:pPr>
      <w:widowControl/>
      <w:overflowPunct w:val="0"/>
      <w:autoSpaceDE w:val="0"/>
      <w:autoSpaceDN w:val="0"/>
      <w:adjustRightInd w:val="0"/>
      <w:spacing w:line="264" w:lineRule="auto"/>
      <w:ind w:hanging="1418"/>
      <w:jc w:val="left"/>
      <w:textAlignment w:val="baseline"/>
    </w:pPr>
    <w:rPr>
      <w:rFonts w:ascii="Book Antiqua" w:hAnsi="Book Antiqua"/>
      <w:kern w:val="0"/>
      <w:sz w:val="22"/>
      <w:szCs w:val="20"/>
      <w:lang w:val="en-GB"/>
    </w:rPr>
  </w:style>
  <w:style w:type="paragraph" w:customStyle="1" w:styleId="508">
    <w:name w:val="OtherHeader"/>
    <w:basedOn w:val="57"/>
    <w:next w:val="1"/>
    <w:autoRedefine/>
    <w:qFormat/>
    <w:uiPriority w:val="0"/>
    <w:pPr>
      <w:widowControl/>
      <w:pBdr>
        <w:bottom w:val="none" w:color="auto" w:sz="0" w:space="0"/>
      </w:pBdr>
      <w:tabs>
        <w:tab w:val="left" w:pos="4153"/>
        <w:tab w:val="right" w:pos="7655"/>
      </w:tabs>
      <w:overflowPunct w:val="0"/>
      <w:autoSpaceDE w:val="0"/>
      <w:autoSpaceDN w:val="0"/>
      <w:adjustRightInd w:val="0"/>
      <w:snapToGrid/>
      <w:spacing w:before="360" w:after="240" w:line="264" w:lineRule="auto"/>
      <w:jc w:val="left"/>
      <w:textAlignment w:val="baseline"/>
    </w:pPr>
    <w:rPr>
      <w:rFonts w:ascii="Book Antiqua" w:hAnsi="Book Antiqua"/>
      <w:b/>
      <w:i/>
      <w:caps/>
      <w:sz w:val="22"/>
      <w:lang w:val="en-GB"/>
    </w:rPr>
  </w:style>
  <w:style w:type="paragraph" w:customStyle="1" w:styleId="509">
    <w:name w:val="Subtext"/>
    <w:basedOn w:val="1"/>
    <w:autoRedefine/>
    <w:qFormat/>
    <w:uiPriority w:val="0"/>
    <w:pPr>
      <w:widowControl/>
      <w:overflowPunct w:val="0"/>
      <w:autoSpaceDE w:val="0"/>
      <w:autoSpaceDN w:val="0"/>
      <w:adjustRightInd w:val="0"/>
      <w:spacing w:line="264" w:lineRule="auto"/>
      <w:jc w:val="left"/>
      <w:textAlignment w:val="baseline"/>
    </w:pPr>
    <w:rPr>
      <w:rFonts w:ascii="Book Antiqua" w:hAnsi="Book Antiqua"/>
      <w:kern w:val="0"/>
      <w:sz w:val="18"/>
      <w:szCs w:val="20"/>
      <w:lang w:val="en-GB"/>
    </w:rPr>
  </w:style>
  <w:style w:type="paragraph" w:customStyle="1" w:styleId="510">
    <w:name w:val="XecSumm"/>
    <w:basedOn w:val="1"/>
    <w:autoRedefine/>
    <w:qFormat/>
    <w:uiPriority w:val="0"/>
    <w:pPr>
      <w:widowControl/>
      <w:overflowPunct w:val="0"/>
      <w:autoSpaceDE w:val="0"/>
      <w:autoSpaceDN w:val="0"/>
      <w:adjustRightInd w:val="0"/>
      <w:spacing w:line="264" w:lineRule="auto"/>
      <w:jc w:val="left"/>
      <w:textAlignment w:val="baseline"/>
    </w:pPr>
    <w:rPr>
      <w:rFonts w:ascii="Book Antiqua" w:hAnsi="Book Antiqua"/>
      <w:i/>
      <w:kern w:val="0"/>
      <w:sz w:val="22"/>
      <w:szCs w:val="20"/>
      <w:lang w:val="en-GB"/>
    </w:rPr>
  </w:style>
  <w:style w:type="character" w:customStyle="1" w:styleId="511">
    <w:name w:val="XFootNote"/>
    <w:autoRedefine/>
    <w:qFormat/>
    <w:uiPriority w:val="0"/>
    <w:rPr>
      <w:rFonts w:ascii="Book Antiqua" w:hAnsi="Book Antiqua"/>
      <w:position w:val="6"/>
      <w:sz w:val="14"/>
      <w:vertAlign w:val="baseline"/>
    </w:rPr>
  </w:style>
  <w:style w:type="character" w:customStyle="1" w:styleId="512">
    <w:name w:val="XFootNoteText"/>
    <w:autoRedefine/>
    <w:qFormat/>
    <w:uiPriority w:val="0"/>
    <w:rPr>
      <w:rFonts w:ascii="Book Antiqua" w:hAnsi="Book Antiqua"/>
      <w:position w:val="0"/>
      <w:sz w:val="14"/>
      <w:vertAlign w:val="baseline"/>
    </w:rPr>
  </w:style>
  <w:style w:type="paragraph" w:customStyle="1" w:styleId="513">
    <w:name w:val="ERMBullets"/>
    <w:basedOn w:val="1"/>
    <w:autoRedefine/>
    <w:qFormat/>
    <w:uiPriority w:val="0"/>
    <w:pPr>
      <w:widowControl/>
      <w:tabs>
        <w:tab w:val="left" w:pos="432"/>
      </w:tabs>
      <w:overflowPunct w:val="0"/>
      <w:autoSpaceDE w:val="0"/>
      <w:autoSpaceDN w:val="0"/>
      <w:adjustRightInd w:val="0"/>
      <w:spacing w:line="264" w:lineRule="auto"/>
      <w:ind w:left="432" w:hanging="432"/>
      <w:jc w:val="left"/>
      <w:textAlignment w:val="baseline"/>
    </w:pPr>
    <w:rPr>
      <w:rFonts w:ascii="Book Antiqua" w:hAnsi="Book Antiqua"/>
      <w:kern w:val="0"/>
      <w:sz w:val="22"/>
      <w:szCs w:val="20"/>
      <w:lang w:val="en-GB"/>
    </w:rPr>
  </w:style>
  <w:style w:type="paragraph" w:customStyle="1" w:styleId="514">
    <w:name w:val="Style Heading 3§1.1.1.H3标题 3zym条标题1.1.1标题 3 Charh3level_3PI...1"/>
    <w:basedOn w:val="7"/>
    <w:autoRedefine/>
    <w:qFormat/>
    <w:uiPriority w:val="0"/>
    <w:pPr>
      <w:ind w:left="720" w:hanging="432"/>
    </w:pPr>
    <w:rPr>
      <w:lang w:val="zh-CN"/>
    </w:rPr>
  </w:style>
  <w:style w:type="paragraph" w:customStyle="1" w:styleId="515">
    <w:name w:val="Style Heading 2§1.1§1.1.H21标题 2 Char Char节标题 1.1（一）Underrub...3"/>
    <w:basedOn w:val="6"/>
    <w:autoRedefine/>
    <w:qFormat/>
    <w:uiPriority w:val="0"/>
    <w:pPr>
      <w:tabs>
        <w:tab w:val="left" w:pos="720"/>
      </w:tabs>
      <w:ind w:left="720" w:hanging="363"/>
    </w:pPr>
    <w:rPr>
      <w:kern w:val="0"/>
      <w:lang w:val="zh-CN"/>
    </w:rPr>
  </w:style>
  <w:style w:type="paragraph" w:customStyle="1" w:styleId="516">
    <w:name w:val="报告1"/>
    <w:basedOn w:val="442"/>
    <w:autoRedefine/>
    <w:qFormat/>
    <w:uiPriority w:val="0"/>
    <w:pPr>
      <w:textAlignment w:val="baseline"/>
    </w:pPr>
    <w:rPr>
      <w:rFonts w:ascii="Times New Roman" w:hAnsi="Times New Roman"/>
      <w:kern w:val="24"/>
    </w:rPr>
  </w:style>
  <w:style w:type="paragraph" w:customStyle="1" w:styleId="517">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b/>
      <w:bCs/>
      <w:kern w:val="0"/>
      <w:sz w:val="20"/>
      <w:szCs w:val="20"/>
      <w:lang w:eastAsia="en-US"/>
    </w:rPr>
  </w:style>
  <w:style w:type="paragraph" w:customStyle="1" w:styleId="518">
    <w:name w:val="河石管道 表头"/>
    <w:autoRedefine/>
    <w:qFormat/>
    <w:uiPriority w:val="0"/>
    <w:pPr>
      <w:jc w:val="center"/>
    </w:pPr>
    <w:rPr>
      <w:rFonts w:ascii="Times New Roman" w:hAnsi="Times New Roman" w:eastAsia="宋体" w:cs="Times New Roman"/>
      <w:b/>
      <w:bCs/>
      <w:sz w:val="18"/>
      <w:lang w:val="en-US" w:eastAsia="zh-CN" w:bidi="ar-SA"/>
    </w:rPr>
  </w:style>
  <w:style w:type="paragraph" w:customStyle="1" w:styleId="519">
    <w:name w:val="样式 样式 左侧:  2 字符 + 首行缩进:  2 字符 Char"/>
    <w:basedOn w:val="1"/>
    <w:autoRedefine/>
    <w:qFormat/>
    <w:uiPriority w:val="0"/>
    <w:pPr>
      <w:tabs>
        <w:tab w:val="left" w:pos="540"/>
      </w:tabs>
      <w:spacing w:line="360" w:lineRule="auto"/>
      <w:ind w:firstLine="478" w:firstLineChars="199"/>
    </w:pPr>
    <w:rPr>
      <w:rFonts w:ascii="宋体" w:hAnsi="宋体"/>
      <w:bCs/>
      <w:sz w:val="24"/>
    </w:rPr>
  </w:style>
  <w:style w:type="paragraph" w:customStyle="1" w:styleId="520">
    <w:name w:val="Erm bullut"/>
    <w:basedOn w:val="1"/>
    <w:autoRedefine/>
    <w:qFormat/>
    <w:uiPriority w:val="0"/>
    <w:pPr>
      <w:widowControl/>
      <w:tabs>
        <w:tab w:val="left" w:pos="840"/>
      </w:tabs>
      <w:overflowPunct w:val="0"/>
      <w:autoSpaceDE w:val="0"/>
      <w:autoSpaceDN w:val="0"/>
      <w:adjustRightInd w:val="0"/>
      <w:spacing w:line="264" w:lineRule="auto"/>
      <w:ind w:left="840" w:hanging="420"/>
      <w:jc w:val="left"/>
      <w:textAlignment w:val="baseline"/>
    </w:pPr>
    <w:rPr>
      <w:rFonts w:ascii="Book Antiqua" w:hAnsi="Book Antiqua"/>
      <w:kern w:val="0"/>
      <w:sz w:val="22"/>
      <w:szCs w:val="20"/>
      <w:lang w:val="en-GB"/>
    </w:rPr>
  </w:style>
  <w:style w:type="character" w:customStyle="1" w:styleId="521">
    <w:name w:val="报告表正文 Char"/>
    <w:autoRedefine/>
    <w:qFormat/>
    <w:locked/>
    <w:uiPriority w:val="0"/>
    <w:rPr>
      <w:rFonts w:ascii="宋体" w:hAnsi="宋体" w:eastAsia="宋体"/>
      <w:sz w:val="24"/>
      <w:lang w:val="en-US" w:eastAsia="zh-CN" w:bidi="ar-SA"/>
    </w:rPr>
  </w:style>
  <w:style w:type="paragraph" w:customStyle="1" w:styleId="522">
    <w:name w:val="ScopeBody"/>
    <w:basedOn w:val="1"/>
    <w:autoRedefine/>
    <w:qFormat/>
    <w:uiPriority w:val="0"/>
    <w:pPr>
      <w:tabs>
        <w:tab w:val="left" w:pos="360"/>
        <w:tab w:val="left" w:pos="720"/>
        <w:tab w:val="left" w:pos="1080"/>
        <w:tab w:val="left" w:pos="1440"/>
        <w:tab w:val="left" w:pos="1800"/>
        <w:tab w:val="left" w:pos="2160"/>
        <w:tab w:val="left" w:pos="2520"/>
        <w:tab w:val="left" w:pos="2880"/>
      </w:tabs>
      <w:suppressAutoHyphens/>
      <w:spacing w:after="120"/>
      <w:ind w:left="864"/>
      <w:jc w:val="left"/>
    </w:pPr>
    <w:rPr>
      <w:snapToGrid w:val="0"/>
      <w:kern w:val="0"/>
      <w:sz w:val="22"/>
      <w:szCs w:val="20"/>
      <w:lang w:eastAsia="en-US"/>
    </w:rPr>
  </w:style>
  <w:style w:type="paragraph" w:customStyle="1" w:styleId="523">
    <w:name w:val="Body Text Indent1"/>
    <w:basedOn w:val="1"/>
    <w:autoRedefine/>
    <w:qFormat/>
    <w:uiPriority w:val="0"/>
    <w:pPr>
      <w:spacing w:after="120" w:line="360" w:lineRule="auto"/>
      <w:ind w:left="420" w:leftChars="200" w:firstLine="200" w:firstLineChars="200"/>
    </w:pPr>
    <w:rPr>
      <w:sz w:val="24"/>
    </w:rPr>
  </w:style>
  <w:style w:type="paragraph" w:customStyle="1" w:styleId="524">
    <w:name w:val="正文-使用"/>
    <w:basedOn w:val="1"/>
    <w:autoRedefine/>
    <w:qFormat/>
    <w:uiPriority w:val="0"/>
    <w:pPr>
      <w:adjustRightInd w:val="0"/>
      <w:snapToGrid w:val="0"/>
      <w:spacing w:line="360" w:lineRule="auto"/>
      <w:ind w:firstLine="482"/>
    </w:pPr>
    <w:rPr>
      <w:sz w:val="24"/>
      <w:szCs w:val="20"/>
    </w:rPr>
  </w:style>
  <w:style w:type="paragraph" w:customStyle="1" w:styleId="525">
    <w:name w:val="正文 + 六号"/>
    <w:basedOn w:val="1"/>
    <w:autoRedefine/>
    <w:qFormat/>
    <w:uiPriority w:val="0"/>
    <w:pPr>
      <w:overflowPunct w:val="0"/>
      <w:autoSpaceDE w:val="0"/>
      <w:autoSpaceDN w:val="0"/>
      <w:adjustRightInd w:val="0"/>
      <w:spacing w:line="264" w:lineRule="auto"/>
      <w:jc w:val="distribute"/>
      <w:textAlignment w:val="baseline"/>
    </w:pPr>
    <w:rPr>
      <w:rFonts w:ascii="Book Antiqua" w:hAnsi="Book Antiqua"/>
      <w:spacing w:val="630"/>
      <w:kern w:val="0"/>
      <w:sz w:val="15"/>
      <w:szCs w:val="15"/>
      <w:lang w:val="en-GB"/>
    </w:rPr>
  </w:style>
  <w:style w:type="paragraph" w:customStyle="1" w:styleId="526">
    <w:name w:val="表格文字（居中）"/>
    <w:basedOn w:val="1"/>
    <w:autoRedefine/>
    <w:qFormat/>
    <w:uiPriority w:val="0"/>
    <w:pPr>
      <w:jc w:val="center"/>
    </w:pPr>
    <w:rPr>
      <w:szCs w:val="21"/>
    </w:rPr>
  </w:style>
  <w:style w:type="character" w:customStyle="1" w:styleId="527">
    <w:name w:val="正文1 Char1"/>
    <w:autoRedefine/>
    <w:qFormat/>
    <w:uiPriority w:val="0"/>
    <w:rPr>
      <w:rFonts w:eastAsia="宋体"/>
      <w:snapToGrid w:val="0"/>
      <w:sz w:val="24"/>
      <w:szCs w:val="24"/>
      <w:lang w:val="en-US" w:eastAsia="zh-CN" w:bidi="ar-SA"/>
    </w:rPr>
  </w:style>
  <w:style w:type="paragraph" w:customStyle="1" w:styleId="528">
    <w:name w:val="Style Heading 2§1.1§1.1.H21标题 2 Char Char节标题 1.1（一）Underrub..."/>
    <w:basedOn w:val="6"/>
    <w:autoRedefine/>
    <w:qFormat/>
    <w:uiPriority w:val="0"/>
    <w:pPr>
      <w:tabs>
        <w:tab w:val="left" w:pos="720"/>
      </w:tabs>
      <w:ind w:left="720" w:hanging="363"/>
    </w:pPr>
    <w:rPr>
      <w:kern w:val="0"/>
      <w:lang w:val="zh-CN"/>
    </w:rPr>
  </w:style>
  <w:style w:type="paragraph" w:customStyle="1" w:styleId="529">
    <w:name w:val="Style Heading 2§1.1§1.1.H21标题 2 Char Char节标题 1.1（一）Underrub...1"/>
    <w:basedOn w:val="6"/>
    <w:autoRedefine/>
    <w:qFormat/>
    <w:uiPriority w:val="0"/>
    <w:pPr>
      <w:tabs>
        <w:tab w:val="left" w:pos="720"/>
      </w:tabs>
      <w:ind w:left="720" w:hanging="363"/>
    </w:pPr>
    <w:rPr>
      <w:kern w:val="0"/>
      <w:lang w:val="zh-CN"/>
    </w:rPr>
  </w:style>
  <w:style w:type="paragraph" w:customStyle="1" w:styleId="530">
    <w:name w:val="Style Heading 3§1.1.1.H3标题 3zym条标题1.1.1标题 3 Charh3level_3PI..."/>
    <w:basedOn w:val="7"/>
    <w:autoRedefine/>
    <w:qFormat/>
    <w:uiPriority w:val="0"/>
    <w:pPr>
      <w:tabs>
        <w:tab w:val="left" w:pos="1077"/>
      </w:tabs>
      <w:ind w:left="1077" w:hanging="357"/>
    </w:pPr>
    <w:rPr>
      <w:lang w:val="zh-CN"/>
    </w:rPr>
  </w:style>
  <w:style w:type="paragraph" w:customStyle="1" w:styleId="531">
    <w:name w:val="Style Heading 2§1.1§1.1.H21标题 2 Char Char节标题 1.1（一）Underrub...2"/>
    <w:basedOn w:val="6"/>
    <w:autoRedefine/>
    <w:qFormat/>
    <w:uiPriority w:val="0"/>
    <w:pPr>
      <w:tabs>
        <w:tab w:val="left" w:pos="720"/>
      </w:tabs>
      <w:ind w:left="720" w:hanging="363"/>
    </w:pPr>
    <w:rPr>
      <w:kern w:val="0"/>
      <w:lang w:val="zh-CN"/>
    </w:rPr>
  </w:style>
  <w:style w:type="paragraph" w:customStyle="1" w:styleId="532">
    <w:name w:val="河石管道 表格正文"/>
    <w:autoRedefine/>
    <w:qFormat/>
    <w:uiPriority w:val="0"/>
    <w:pPr>
      <w:jc w:val="center"/>
    </w:pPr>
    <w:rPr>
      <w:rFonts w:ascii="Times New Roman" w:hAnsi="Times New Roman" w:eastAsia="宋体" w:cs="Times New Roman"/>
      <w:kern w:val="2"/>
      <w:sz w:val="18"/>
      <w:lang w:val="en-US" w:eastAsia="zh-CN" w:bidi="ar-SA"/>
    </w:rPr>
  </w:style>
  <w:style w:type="paragraph" w:customStyle="1" w:styleId="533">
    <w:name w:val="表文左对齐"/>
    <w:basedOn w:val="1"/>
    <w:autoRedefine/>
    <w:qFormat/>
    <w:uiPriority w:val="0"/>
    <w:pPr>
      <w:jc w:val="left"/>
    </w:pPr>
    <w:rPr>
      <w:rFonts w:eastAsia="仿宋_GB2312"/>
      <w:b/>
      <w:bCs/>
      <w:szCs w:val="20"/>
    </w:rPr>
  </w:style>
  <w:style w:type="paragraph" w:customStyle="1" w:styleId="534">
    <w:name w:val="河石管道 表格文字小五"/>
    <w:autoRedefine/>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kern w:val="2"/>
      <w:sz w:val="18"/>
      <w:szCs w:val="21"/>
      <w:lang w:val="en-US" w:eastAsia="zh-CN" w:bidi="ar-SA"/>
    </w:rPr>
  </w:style>
  <w:style w:type="character" w:customStyle="1" w:styleId="535">
    <w:name w:val="Small"/>
    <w:autoRedefine/>
    <w:qFormat/>
    <w:uiPriority w:val="0"/>
    <w:rPr>
      <w:rFonts w:ascii="Times New Roman" w:hAnsi="Times New Roman" w:cs="Times New Roman"/>
      <w:sz w:val="18"/>
      <w:szCs w:val="18"/>
      <w:lang w:val="en-US"/>
    </w:rPr>
  </w:style>
  <w:style w:type="paragraph" w:customStyle="1" w:styleId="536">
    <w:name w:val="bullet 1"/>
    <w:basedOn w:val="1"/>
    <w:autoRedefine/>
    <w:qFormat/>
    <w:uiPriority w:val="0"/>
    <w:pPr>
      <w:widowControl/>
      <w:tabs>
        <w:tab w:val="left" w:pos="980"/>
      </w:tabs>
      <w:overflowPunct w:val="0"/>
      <w:autoSpaceDE w:val="0"/>
      <w:autoSpaceDN w:val="0"/>
      <w:adjustRightInd w:val="0"/>
      <w:spacing w:line="264" w:lineRule="auto"/>
      <w:ind w:left="980" w:hanging="420"/>
      <w:jc w:val="left"/>
      <w:textAlignment w:val="baseline"/>
    </w:pPr>
    <w:rPr>
      <w:rFonts w:ascii="Book Antiqua" w:hAnsi="Book Antiqua"/>
      <w:kern w:val="0"/>
      <w:sz w:val="22"/>
      <w:szCs w:val="20"/>
      <w:lang w:val="en-GB"/>
    </w:rPr>
  </w:style>
  <w:style w:type="table" w:customStyle="1" w:styleId="537">
    <w:name w:val="表格样式12"/>
    <w:basedOn w:val="87"/>
    <w:autoRedefine/>
    <w:qFormat/>
    <w:uiPriority w:val="0"/>
    <w:pPr>
      <w:jc w:val="center"/>
    </w:pPr>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character" w:customStyle="1" w:styleId="538">
    <w:name w:val="目录 1 Char"/>
    <w:autoRedefine/>
    <w:qFormat/>
    <w:uiPriority w:val="0"/>
    <w:rPr>
      <w:rFonts w:eastAsia="宋体"/>
      <w:b/>
      <w:bCs/>
      <w:caps/>
      <w:kern w:val="2"/>
      <w:sz w:val="24"/>
      <w:szCs w:val="24"/>
      <w:lang w:val="en-US" w:eastAsia="zh-CN" w:bidi="ar-SA"/>
    </w:rPr>
  </w:style>
  <w:style w:type="paragraph" w:customStyle="1" w:styleId="539">
    <w:name w:val="小四表文左齐"/>
    <w:basedOn w:val="1"/>
    <w:autoRedefine/>
    <w:qFormat/>
    <w:uiPriority w:val="0"/>
    <w:pPr>
      <w:jc w:val="center"/>
    </w:pPr>
    <w:rPr>
      <w:rFonts w:ascii="宋体" w:hAnsi="Arial Black"/>
      <w:szCs w:val="20"/>
    </w:rPr>
  </w:style>
  <w:style w:type="paragraph" w:customStyle="1" w:styleId="540">
    <w:name w:val="表格文字 -maoli"/>
    <w:basedOn w:val="1"/>
    <w:autoRedefine/>
    <w:qFormat/>
    <w:uiPriority w:val="0"/>
    <w:pPr>
      <w:framePr w:wrap="around" w:vAnchor="text" w:hAnchor="text" w:y="1"/>
      <w:widowControl/>
      <w:snapToGrid w:val="0"/>
      <w:spacing w:line="320" w:lineRule="exact"/>
      <w:jc w:val="center"/>
    </w:pPr>
    <w:rPr>
      <w:rFonts w:ascii="楷体_GB2312" w:hAnsi="宋体" w:eastAsia="楷体_GB2312" w:cs="宋体"/>
      <w:kern w:val="0"/>
    </w:rPr>
  </w:style>
  <w:style w:type="paragraph" w:customStyle="1" w:styleId="541">
    <w:name w:val="文本框文字"/>
    <w:basedOn w:val="1"/>
    <w:autoRedefine/>
    <w:qFormat/>
    <w:uiPriority w:val="0"/>
    <w:pPr>
      <w:framePr w:hSpace="181" w:vSpace="181" w:wrap="around" w:vAnchor="page" w:hAnchor="page" w:xAlign="center" w:yAlign="center"/>
      <w:adjustRightInd w:val="0"/>
      <w:snapToGrid w:val="0"/>
      <w:spacing w:line="240" w:lineRule="exact"/>
      <w:jc w:val="center"/>
      <w:textAlignment w:val="center"/>
    </w:pPr>
    <w:rPr>
      <w:rFonts w:ascii="宋体"/>
      <w:snapToGrid w:val="0"/>
      <w:kern w:val="0"/>
      <w:sz w:val="24"/>
    </w:rPr>
  </w:style>
  <w:style w:type="paragraph" w:customStyle="1" w:styleId="54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43">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44">
    <w:name w:val="font7"/>
    <w:basedOn w:val="1"/>
    <w:autoRedefine/>
    <w:qFormat/>
    <w:uiPriority w:val="0"/>
    <w:pPr>
      <w:widowControl/>
      <w:spacing w:before="100" w:beforeAutospacing="1" w:after="100" w:afterAutospacing="1"/>
      <w:jc w:val="left"/>
    </w:pPr>
    <w:rPr>
      <w:color w:val="000000"/>
      <w:kern w:val="0"/>
      <w:szCs w:val="21"/>
    </w:rPr>
  </w:style>
  <w:style w:type="paragraph" w:customStyle="1" w:styleId="545">
    <w:name w:val="font8"/>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546">
    <w:name w:val="font9"/>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547">
    <w:name w:val="font10"/>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548">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549">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550">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551">
    <w:name w:val="xl66"/>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552">
    <w:name w:val="xl6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553">
    <w:name w:val="xl6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554">
    <w:name w:val="xl69"/>
    <w:basedOn w:val="1"/>
    <w:autoRedefine/>
    <w:qFormat/>
    <w:uiPriority w:val="0"/>
    <w:pPr>
      <w:widowControl/>
      <w:pBdr>
        <w:left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555">
    <w:name w:val="xl7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556">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color w:val="000000"/>
      <w:kern w:val="0"/>
      <w:szCs w:val="21"/>
    </w:rPr>
  </w:style>
  <w:style w:type="paragraph" w:customStyle="1" w:styleId="557">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558">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559">
    <w:name w:val="xl7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Cs w:val="21"/>
    </w:rPr>
  </w:style>
  <w:style w:type="paragraph" w:customStyle="1" w:styleId="560">
    <w:name w:val="xl75"/>
    <w:basedOn w:val="1"/>
    <w:autoRedefine/>
    <w:qFormat/>
    <w:uiPriority w:val="0"/>
    <w:pPr>
      <w:widowControl/>
      <w:spacing w:before="100" w:beforeAutospacing="1" w:after="100" w:afterAutospacing="1"/>
      <w:jc w:val="center"/>
    </w:pPr>
    <w:rPr>
      <w:rFonts w:ascii="宋体" w:hAnsi="宋体" w:cs="宋体"/>
      <w:kern w:val="0"/>
      <w:szCs w:val="21"/>
    </w:rPr>
  </w:style>
  <w:style w:type="paragraph" w:customStyle="1" w:styleId="561">
    <w:name w:val="xl7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562">
    <w:name w:val="Char Char Char2"/>
    <w:basedOn w:val="1"/>
    <w:autoRedefine/>
    <w:qFormat/>
    <w:uiPriority w:val="0"/>
    <w:rPr>
      <w:sz w:val="24"/>
    </w:rPr>
  </w:style>
  <w:style w:type="paragraph" w:customStyle="1" w:styleId="563">
    <w:name w:val="Char Char Char Char Char Char4"/>
    <w:basedOn w:val="1"/>
    <w:autoRedefine/>
    <w:qFormat/>
    <w:uiPriority w:val="0"/>
    <w:rPr>
      <w:szCs w:val="21"/>
    </w:rPr>
  </w:style>
  <w:style w:type="paragraph" w:customStyle="1" w:styleId="564">
    <w:name w:val="Char4 Char Char Char Char Char Char Char Char Char Char Char Char Char Char Char Char Char1 Char Char Char Char Char Char1 Char Char Char Char Char Char Char Char Char Char Char Char Char Char Char Char2"/>
    <w:basedOn w:val="1"/>
    <w:autoRedefine/>
    <w:qFormat/>
    <w:uiPriority w:val="0"/>
    <w:pPr>
      <w:spacing w:line="240" w:lineRule="exact"/>
      <w:ind w:firstLine="200" w:firstLineChars="200"/>
    </w:pPr>
    <w:rPr>
      <w:sz w:val="28"/>
      <w:szCs w:val="28"/>
    </w:rPr>
  </w:style>
  <w:style w:type="paragraph" w:customStyle="1" w:styleId="565">
    <w:name w:val="Char Char Char Char Char Char Char Char Char1 Char Char Char Char3"/>
    <w:basedOn w:val="1"/>
    <w:autoRedefine/>
    <w:qFormat/>
    <w:uiPriority w:val="0"/>
    <w:rPr>
      <w:szCs w:val="21"/>
    </w:rPr>
  </w:style>
  <w:style w:type="paragraph" w:customStyle="1" w:styleId="566">
    <w:name w:val="Char Char Char Char2"/>
    <w:basedOn w:val="1"/>
    <w:autoRedefine/>
    <w:qFormat/>
    <w:uiPriority w:val="0"/>
    <w:rPr>
      <w:szCs w:val="21"/>
    </w:rPr>
  </w:style>
  <w:style w:type="paragraph" w:customStyle="1" w:styleId="567">
    <w:name w:val="Char Char Char1 Char5"/>
    <w:basedOn w:val="1"/>
    <w:autoRedefine/>
    <w:qFormat/>
    <w:uiPriority w:val="0"/>
  </w:style>
  <w:style w:type="paragraph" w:customStyle="1" w:styleId="568">
    <w:name w:val="Char Char Char Char Char Char Char4"/>
    <w:basedOn w:val="1"/>
    <w:autoRedefine/>
    <w:qFormat/>
    <w:uiPriority w:val="0"/>
  </w:style>
  <w:style w:type="paragraph" w:customStyle="1" w:styleId="569">
    <w:name w:val="Char Char Char1 Char Char Char Char2"/>
    <w:basedOn w:val="1"/>
    <w:autoRedefine/>
    <w:qFormat/>
    <w:uiPriority w:val="0"/>
  </w:style>
  <w:style w:type="paragraph" w:customStyle="1" w:styleId="570">
    <w:name w:val="Char Char Char Char Char Char Char Char Char Char Char Char Char Char Char Char2"/>
    <w:basedOn w:val="1"/>
    <w:autoRedefine/>
    <w:qFormat/>
    <w:uiPriority w:val="0"/>
  </w:style>
  <w:style w:type="paragraph" w:customStyle="1" w:styleId="571">
    <w:name w:val="Char Char Char Char Char Char Char Char Char Char1"/>
    <w:basedOn w:val="1"/>
    <w:autoRedefine/>
    <w:qFormat/>
    <w:uiPriority w:val="0"/>
  </w:style>
  <w:style w:type="paragraph" w:customStyle="1" w:styleId="572">
    <w:name w:val="Char Char Char Char Char Char Char Char Char Char Char Char Char Char Char Char Char Char Char Char Char Char Char Char Char Char Char Char Char Char2 Char Char Char Char Char Char Char5"/>
    <w:basedOn w:val="1"/>
    <w:autoRedefine/>
    <w:qFormat/>
    <w:uiPriority w:val="0"/>
    <w:rPr>
      <w:sz w:val="24"/>
    </w:rPr>
  </w:style>
  <w:style w:type="paragraph" w:customStyle="1" w:styleId="573">
    <w:name w:val="正文文本缩进12"/>
    <w:basedOn w:val="1"/>
    <w:autoRedefine/>
    <w:qFormat/>
    <w:uiPriority w:val="0"/>
    <w:pPr>
      <w:adjustRightInd w:val="0"/>
      <w:spacing w:after="120" w:line="360" w:lineRule="auto"/>
      <w:ind w:left="420" w:leftChars="200" w:firstLine="200" w:firstLineChars="200"/>
      <w:textAlignment w:val="baseline"/>
    </w:pPr>
    <w:rPr>
      <w:sz w:val="24"/>
      <w:szCs w:val="20"/>
    </w:rPr>
  </w:style>
  <w:style w:type="paragraph" w:customStyle="1" w:styleId="574">
    <w:name w:val="正文缩进32"/>
    <w:basedOn w:val="1"/>
    <w:autoRedefine/>
    <w:qFormat/>
    <w:uiPriority w:val="0"/>
    <w:pPr>
      <w:adjustRightInd w:val="0"/>
      <w:ind w:firstLine="420" w:firstLineChars="200"/>
      <w:textAlignment w:val="baseline"/>
    </w:pPr>
    <w:rPr>
      <w:rFonts w:hint="eastAsia" w:hAnsi="宋体"/>
      <w:sz w:val="24"/>
      <w:szCs w:val="20"/>
    </w:rPr>
  </w:style>
  <w:style w:type="paragraph" w:customStyle="1" w:styleId="575">
    <w:name w:val="正文文字 3"/>
    <w:basedOn w:val="1"/>
    <w:autoRedefine/>
    <w:qFormat/>
    <w:uiPriority w:val="0"/>
    <w:pPr>
      <w:jc w:val="center"/>
    </w:pPr>
    <w:rPr>
      <w:szCs w:val="21"/>
    </w:rPr>
  </w:style>
  <w:style w:type="paragraph" w:customStyle="1" w:styleId="576">
    <w:name w:val="p0"/>
    <w:basedOn w:val="1"/>
    <w:autoRedefine/>
    <w:qFormat/>
    <w:uiPriority w:val="0"/>
    <w:pPr>
      <w:widowControl/>
      <w:spacing w:before="100" w:after="100" w:line="240" w:lineRule="atLeast"/>
    </w:pPr>
    <w:rPr>
      <w:rFonts w:ascii="Calibri" w:hAnsi="Calibri" w:cs="宋体"/>
      <w:kern w:val="0"/>
      <w:szCs w:val="21"/>
    </w:rPr>
  </w:style>
  <w:style w:type="character" w:customStyle="1" w:styleId="577">
    <w:name w:val="注释标题 Char"/>
    <w:link w:val="19"/>
    <w:autoRedefine/>
    <w:qFormat/>
    <w:uiPriority w:val="0"/>
    <w:rPr>
      <w:kern w:val="2"/>
      <w:sz w:val="21"/>
      <w:szCs w:val="24"/>
    </w:rPr>
  </w:style>
  <w:style w:type="paragraph" w:customStyle="1" w:styleId="578">
    <w:name w:val="font12"/>
    <w:basedOn w:val="1"/>
    <w:autoRedefine/>
    <w:qFormat/>
    <w:uiPriority w:val="0"/>
    <w:pPr>
      <w:widowControl/>
      <w:spacing w:before="100" w:beforeAutospacing="1" w:after="100" w:afterAutospacing="1"/>
      <w:jc w:val="left"/>
    </w:pPr>
    <w:rPr>
      <w:color w:val="000000"/>
      <w:kern w:val="0"/>
      <w:szCs w:val="21"/>
    </w:rPr>
  </w:style>
  <w:style w:type="paragraph" w:customStyle="1" w:styleId="579">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color w:val="000000"/>
      <w:kern w:val="0"/>
      <w:szCs w:val="21"/>
    </w:rPr>
  </w:style>
  <w:style w:type="paragraph" w:customStyle="1" w:styleId="580">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Cs w:val="21"/>
    </w:rPr>
  </w:style>
  <w:style w:type="paragraph" w:customStyle="1" w:styleId="581">
    <w:name w:val="xl79"/>
    <w:basedOn w:val="1"/>
    <w:autoRedefine/>
    <w:qFormat/>
    <w:uiPriority w:val="0"/>
    <w:pPr>
      <w:widowControl/>
      <w:spacing w:before="100" w:beforeAutospacing="1" w:after="100" w:afterAutospacing="1"/>
      <w:jc w:val="left"/>
    </w:pPr>
    <w:rPr>
      <w:kern w:val="0"/>
      <w:szCs w:val="21"/>
    </w:rPr>
  </w:style>
  <w:style w:type="paragraph" w:customStyle="1" w:styleId="582">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583">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584">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585">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586">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587">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588">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589">
    <w:name w:val="xl9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590">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591">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592">
    <w:name w:val="xl10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593">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594">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595">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96">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color w:val="000000"/>
      <w:kern w:val="0"/>
      <w:szCs w:val="21"/>
    </w:rPr>
  </w:style>
  <w:style w:type="paragraph" w:customStyle="1" w:styleId="597">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宋体"/>
      <w:kern w:val="0"/>
      <w:szCs w:val="21"/>
    </w:rPr>
  </w:style>
  <w:style w:type="paragraph" w:customStyle="1" w:styleId="598">
    <w:name w:val="xl1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4"/>
    </w:rPr>
  </w:style>
  <w:style w:type="paragraph" w:customStyle="1" w:styleId="599">
    <w:name w:val="font13"/>
    <w:basedOn w:val="1"/>
    <w:autoRedefine/>
    <w:qFormat/>
    <w:uiPriority w:val="0"/>
    <w:pPr>
      <w:widowControl/>
      <w:spacing w:before="100" w:beforeAutospacing="1" w:after="100" w:afterAutospacing="1"/>
      <w:jc w:val="left"/>
    </w:pPr>
    <w:rPr>
      <w:rFonts w:ascii="仿宋_GB2312" w:hAnsi="宋体" w:eastAsia="仿宋_GB2312" w:cs="宋体"/>
      <w:b/>
      <w:bCs/>
      <w:color w:val="000000"/>
      <w:kern w:val="0"/>
      <w:szCs w:val="21"/>
    </w:rPr>
  </w:style>
  <w:style w:type="paragraph" w:customStyle="1" w:styleId="600">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601">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602">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kern w:val="0"/>
      <w:szCs w:val="21"/>
    </w:rPr>
  </w:style>
  <w:style w:type="paragraph" w:customStyle="1" w:styleId="603">
    <w:name w:val="xl83"/>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kern w:val="0"/>
      <w:szCs w:val="21"/>
    </w:rPr>
  </w:style>
  <w:style w:type="paragraph" w:customStyle="1" w:styleId="604">
    <w:name w:val="xl84"/>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kern w:val="0"/>
      <w:szCs w:val="21"/>
    </w:rPr>
  </w:style>
  <w:style w:type="paragraph" w:customStyle="1" w:styleId="605">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06">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607">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Cs w:val="21"/>
    </w:rPr>
  </w:style>
  <w:style w:type="paragraph" w:customStyle="1" w:styleId="608">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609">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Cs w:val="21"/>
    </w:rPr>
  </w:style>
  <w:style w:type="paragraph" w:customStyle="1" w:styleId="610">
    <w:name w:val="xl9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611">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2">
    <w:name w:val="列出段落1"/>
    <w:basedOn w:val="1"/>
    <w:autoRedefine/>
    <w:qFormat/>
    <w:uiPriority w:val="99"/>
    <w:pPr>
      <w:ind w:firstLine="420" w:firstLineChars="200"/>
    </w:pPr>
    <w:rPr>
      <w:rFonts w:ascii="Calibri" w:hAnsi="Calibri"/>
      <w:szCs w:val="22"/>
    </w:rPr>
  </w:style>
  <w:style w:type="paragraph" w:customStyle="1" w:styleId="613">
    <w:name w:val="表－居中列"/>
    <w:basedOn w:val="1"/>
    <w:link w:val="617"/>
    <w:autoRedefine/>
    <w:qFormat/>
    <w:uiPriority w:val="0"/>
    <w:pPr>
      <w:suppressLineNumbers/>
      <w:suppressAutoHyphens/>
      <w:snapToGrid w:val="0"/>
      <w:spacing w:before="60" w:after="60"/>
      <w:jc w:val="left"/>
    </w:pPr>
    <w:rPr>
      <w:kern w:val="0"/>
      <w:szCs w:val="21"/>
      <w:lang w:eastAsia="ja-JP"/>
    </w:rPr>
  </w:style>
  <w:style w:type="paragraph" w:customStyle="1" w:styleId="614">
    <w:name w:val="Body Text Ind"/>
    <w:basedOn w:val="1"/>
    <w:autoRedefine/>
    <w:qFormat/>
    <w:uiPriority w:val="0"/>
    <w:pPr>
      <w:adjustRightInd w:val="0"/>
      <w:spacing w:line="300" w:lineRule="auto"/>
      <w:ind w:firstLine="540"/>
      <w:jc w:val="left"/>
      <w:textAlignment w:val="baseline"/>
    </w:pPr>
    <w:rPr>
      <w:snapToGrid w:val="0"/>
      <w:kern w:val="28"/>
      <w:sz w:val="28"/>
      <w:szCs w:val="28"/>
    </w:rPr>
  </w:style>
  <w:style w:type="paragraph" w:customStyle="1" w:styleId="615">
    <w:name w:val="样式 标题 3标题 3zymH3条标题1.1.1 + 楷体_GB2312 段前: 6 磅 段后: 6 磅 行距: 固..."/>
    <w:basedOn w:val="7"/>
    <w:autoRedefine/>
    <w:qFormat/>
    <w:uiPriority w:val="99"/>
    <w:pPr>
      <w:tabs>
        <w:tab w:val="left" w:pos="1077"/>
      </w:tabs>
      <w:ind w:left="1077" w:hanging="357"/>
    </w:pPr>
    <w:rPr>
      <w:lang w:val="zh-CN"/>
    </w:rPr>
  </w:style>
  <w:style w:type="paragraph" w:customStyle="1" w:styleId="616">
    <w:name w:val="Char111"/>
    <w:basedOn w:val="1"/>
    <w:autoRedefine/>
    <w:qFormat/>
    <w:uiPriority w:val="0"/>
    <w:pPr>
      <w:snapToGrid w:val="0"/>
      <w:spacing w:line="360" w:lineRule="auto"/>
      <w:ind w:firstLine="200" w:firstLineChars="200"/>
    </w:pPr>
    <w:rPr>
      <w:rFonts w:eastAsia="仿宋_GB2312"/>
      <w:sz w:val="24"/>
    </w:rPr>
  </w:style>
  <w:style w:type="character" w:customStyle="1" w:styleId="617">
    <w:name w:val="表－居中列 Char"/>
    <w:link w:val="613"/>
    <w:autoRedefine/>
    <w:qFormat/>
    <w:uiPriority w:val="0"/>
    <w:rPr>
      <w:sz w:val="21"/>
      <w:szCs w:val="21"/>
      <w:lang w:eastAsia="ja-JP"/>
    </w:rPr>
  </w:style>
  <w:style w:type="paragraph" w:customStyle="1" w:styleId="618">
    <w:name w:val="样式 (西文) Arial (中文) 仿宋_GB2312 四号 黑色 首行缩进:  0.85 厘米 行距: 多倍行距 ..."/>
    <w:basedOn w:val="1"/>
    <w:autoRedefine/>
    <w:qFormat/>
    <w:uiPriority w:val="0"/>
    <w:pPr>
      <w:widowControl/>
      <w:spacing w:line="480" w:lineRule="auto"/>
      <w:ind w:firstLine="480"/>
      <w:jc w:val="left"/>
    </w:pPr>
    <w:rPr>
      <w:rFonts w:ascii="Arial" w:hAnsi="Arial" w:eastAsia="仿宋_GB2312" w:cs="宋体"/>
      <w:color w:val="000000"/>
      <w:kern w:val="0"/>
      <w:sz w:val="28"/>
      <w:szCs w:val="20"/>
    </w:rPr>
  </w:style>
  <w:style w:type="paragraph" w:customStyle="1" w:styleId="619">
    <w:name w:val="谏壁标题4(chen)"/>
    <w:basedOn w:val="1"/>
    <w:autoRedefine/>
    <w:qFormat/>
    <w:uiPriority w:val="0"/>
    <w:pPr>
      <w:widowControl/>
      <w:snapToGrid w:val="0"/>
      <w:spacing w:beforeLines="50" w:line="360" w:lineRule="auto"/>
      <w:ind w:firstLine="200" w:firstLineChars="200"/>
      <w:jc w:val="left"/>
    </w:pPr>
    <w:rPr>
      <w:rFonts w:ascii="宋体" w:hAnsi="宋体" w:eastAsia="楷体_GB2312" w:cs="宋体"/>
      <w:kern w:val="0"/>
      <w:sz w:val="28"/>
    </w:rPr>
  </w:style>
  <w:style w:type="paragraph" w:customStyle="1" w:styleId="620">
    <w:name w:val="正文文本2"/>
    <w:autoRedefine/>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paragraph" w:customStyle="1" w:styleId="621">
    <w:name w:val="样式 题注 + 楷体_GB2312"/>
    <w:basedOn w:val="24"/>
    <w:next w:val="165"/>
    <w:link w:val="622"/>
    <w:autoRedefine/>
    <w:qFormat/>
    <w:uiPriority w:val="0"/>
    <w:pPr>
      <w:adjustRightInd/>
      <w:snapToGrid/>
      <w:spacing w:line="580" w:lineRule="exact"/>
    </w:pPr>
    <w:rPr>
      <w:rFonts w:ascii="楷体_GB2312" w:hAnsi="楷体_GB2312" w:eastAsia="楷体_GB2312"/>
      <w:bCs/>
      <w:lang w:val="en-US"/>
    </w:rPr>
  </w:style>
  <w:style w:type="character" w:customStyle="1" w:styleId="622">
    <w:name w:val="样式 题注 + 楷体_GB2312 Char"/>
    <w:link w:val="621"/>
    <w:autoRedefine/>
    <w:qFormat/>
    <w:uiPriority w:val="0"/>
    <w:rPr>
      <w:rFonts w:ascii="楷体_GB2312" w:hAnsi="楷体_GB2312" w:eastAsia="楷体_GB2312"/>
      <w:b/>
      <w:bCs/>
      <w:sz w:val="21"/>
      <w:szCs w:val="21"/>
    </w:rPr>
  </w:style>
  <w:style w:type="paragraph" w:customStyle="1" w:styleId="623">
    <w:name w:val="样式 题注 + 左"/>
    <w:basedOn w:val="24"/>
    <w:autoRedefine/>
    <w:qFormat/>
    <w:uiPriority w:val="0"/>
    <w:pPr>
      <w:adjustRightInd/>
      <w:snapToGrid/>
      <w:spacing w:line="580" w:lineRule="exact"/>
    </w:pPr>
    <w:rPr>
      <w:rFonts w:ascii="仿宋_GB2312" w:hAnsi="Times New Roman" w:eastAsia="仿宋_GB2312" w:cs="宋体"/>
      <w:bCs/>
      <w:szCs w:val="20"/>
      <w:lang w:val="en-US"/>
    </w:rPr>
  </w:style>
  <w:style w:type="paragraph" w:customStyle="1" w:styleId="624">
    <w:name w:val="样式 表格文字 + 行距: 固定值 16 磅"/>
    <w:basedOn w:val="183"/>
    <w:autoRedefine/>
    <w:qFormat/>
    <w:uiPriority w:val="0"/>
    <w:pPr>
      <w:spacing w:line="320" w:lineRule="exact"/>
    </w:pPr>
    <w:rPr>
      <w:rFonts w:ascii="楷体_GB2312" w:eastAsia="楷体_GB2312" w:cs="宋体"/>
      <w:sz w:val="21"/>
      <w:szCs w:val="20"/>
    </w:rPr>
  </w:style>
  <w:style w:type="paragraph" w:customStyle="1" w:styleId="625">
    <w:name w:val="样式 正文文本缩进 2 + 左侧:  0 厘米 行距: 1.5 倍行距"/>
    <w:basedOn w:val="51"/>
    <w:autoRedefine/>
    <w:qFormat/>
    <w:uiPriority w:val="0"/>
    <w:pPr>
      <w:widowControl/>
      <w:spacing w:after="0" w:line="500" w:lineRule="exact"/>
      <w:ind w:left="0" w:leftChars="0" w:firstLine="560" w:firstLineChars="200"/>
      <w:jc w:val="left"/>
    </w:pPr>
    <w:rPr>
      <w:rFonts w:ascii="楷体_GB2312" w:hAnsi="宋体" w:eastAsia="楷体_GB2312" w:cs="宋体"/>
      <w:kern w:val="0"/>
      <w:sz w:val="28"/>
      <w:szCs w:val="28"/>
    </w:rPr>
  </w:style>
  <w:style w:type="paragraph" w:customStyle="1" w:styleId="626">
    <w:name w:val="样式 四号 行距: 固定值 25 磅"/>
    <w:basedOn w:val="1"/>
    <w:autoRedefine/>
    <w:qFormat/>
    <w:uiPriority w:val="0"/>
    <w:pPr>
      <w:widowControl/>
      <w:spacing w:line="500" w:lineRule="exact"/>
      <w:ind w:firstLine="200" w:firstLineChars="200"/>
      <w:jc w:val="left"/>
    </w:pPr>
    <w:rPr>
      <w:rFonts w:ascii="宋体" w:hAnsi="宋体" w:eastAsia="楷体_GB2312" w:cs="宋体"/>
      <w:kern w:val="0"/>
      <w:sz w:val="28"/>
      <w:szCs w:val="20"/>
    </w:rPr>
  </w:style>
  <w:style w:type="character" w:customStyle="1" w:styleId="627">
    <w:name w:val="part"/>
    <w:autoRedefine/>
    <w:qFormat/>
    <w:uiPriority w:val="0"/>
  </w:style>
  <w:style w:type="paragraph" w:customStyle="1" w:styleId="62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9">
    <w:name w:val="样式 样式 左侧:  2 字符 + 首行缩进:  2 字符"/>
    <w:basedOn w:val="1"/>
    <w:autoRedefine/>
    <w:qFormat/>
    <w:uiPriority w:val="0"/>
    <w:pPr>
      <w:widowControl/>
      <w:spacing w:line="360" w:lineRule="auto"/>
      <w:ind w:firstLine="480" w:firstLineChars="200"/>
      <w:jc w:val="left"/>
    </w:pPr>
    <w:rPr>
      <w:rFonts w:ascii="宋体" w:hAnsi="宋体" w:cs="宋体"/>
      <w:kern w:val="0"/>
      <w:sz w:val="24"/>
      <w:szCs w:val="20"/>
    </w:rPr>
  </w:style>
  <w:style w:type="character" w:customStyle="1" w:styleId="630">
    <w:name w:val="title-blue"/>
    <w:autoRedefine/>
    <w:qFormat/>
    <w:uiPriority w:val="0"/>
  </w:style>
  <w:style w:type="character" w:customStyle="1" w:styleId="631">
    <w:name w:val="style1"/>
    <w:autoRedefine/>
    <w:qFormat/>
    <w:uiPriority w:val="0"/>
  </w:style>
  <w:style w:type="character" w:customStyle="1" w:styleId="632">
    <w:name w:val="font9black"/>
    <w:autoRedefine/>
    <w:qFormat/>
    <w:uiPriority w:val="0"/>
  </w:style>
  <w:style w:type="character" w:customStyle="1" w:styleId="633">
    <w:name w:val="style11"/>
    <w:autoRedefine/>
    <w:qFormat/>
    <w:uiPriority w:val="0"/>
    <w:rPr>
      <w:b/>
      <w:bCs/>
      <w:sz w:val="24"/>
      <w:szCs w:val="24"/>
    </w:rPr>
  </w:style>
  <w:style w:type="paragraph" w:customStyle="1" w:styleId="634">
    <w:name w:val="表格内文字"/>
    <w:basedOn w:val="1"/>
    <w:link w:val="1410"/>
    <w:autoRedefine/>
    <w:qFormat/>
    <w:uiPriority w:val="0"/>
    <w:pPr>
      <w:spacing w:before="100" w:after="100" w:line="320" w:lineRule="exact"/>
      <w:jc w:val="center"/>
    </w:pPr>
    <w:rPr>
      <w:spacing w:val="10"/>
      <w:sz w:val="24"/>
      <w:szCs w:val="20"/>
    </w:rPr>
  </w:style>
  <w:style w:type="paragraph" w:customStyle="1" w:styleId="635">
    <w:name w:val="xl22"/>
    <w:basedOn w:val="1"/>
    <w:autoRedefine/>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636">
    <w:name w:val="xl27"/>
    <w:basedOn w:val="1"/>
    <w:autoRedefine/>
    <w:qFormat/>
    <w:uiPriority w:val="99"/>
    <w:pPr>
      <w:widowControl/>
      <w:pBdr>
        <w:bottom w:val="single" w:color="auto" w:sz="12" w:space="0"/>
      </w:pBdr>
      <w:spacing w:before="100" w:after="100"/>
      <w:jc w:val="center"/>
    </w:pPr>
    <w:rPr>
      <w:rFonts w:ascii="宋体" w:hAnsi="宋体"/>
      <w:kern w:val="0"/>
      <w:szCs w:val="20"/>
    </w:rPr>
  </w:style>
  <w:style w:type="paragraph" w:customStyle="1" w:styleId="637">
    <w:name w:val="btx4"/>
    <w:basedOn w:val="1"/>
    <w:autoRedefine/>
    <w:qFormat/>
    <w:uiPriority w:val="0"/>
    <w:pPr>
      <w:widowControl/>
      <w:spacing w:before="100" w:beforeAutospacing="1" w:after="100" w:afterAutospacing="1" w:line="320" w:lineRule="atLeast"/>
      <w:jc w:val="left"/>
    </w:pPr>
    <w:rPr>
      <w:rFonts w:ascii="黑体" w:hAnsi="宋体" w:eastAsia="黑体" w:cs="宋体"/>
      <w:kern w:val="0"/>
      <w:sz w:val="24"/>
    </w:rPr>
  </w:style>
  <w:style w:type="paragraph" w:customStyle="1" w:styleId="638">
    <w:name w:val="a0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39">
    <w:name w:val="xl3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Arial Unicode MS"/>
      <w:kern w:val="0"/>
      <w:sz w:val="24"/>
      <w:szCs w:val="20"/>
    </w:rPr>
  </w:style>
  <w:style w:type="paragraph" w:customStyle="1" w:styleId="640">
    <w:name w:val="xl40"/>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0"/>
      <w:szCs w:val="20"/>
    </w:rPr>
  </w:style>
  <w:style w:type="paragraph" w:customStyle="1" w:styleId="641">
    <w:name w:val="xl3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4"/>
      <w:szCs w:val="20"/>
    </w:rPr>
  </w:style>
  <w:style w:type="paragraph" w:customStyle="1" w:styleId="642">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4"/>
      <w:szCs w:val="20"/>
    </w:rPr>
  </w:style>
  <w:style w:type="paragraph" w:customStyle="1" w:styleId="643">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楷体_GB2312" w:hAnsi="Arial Unicode MS" w:eastAsia="楷体_GB2312"/>
      <w:kern w:val="0"/>
      <w:sz w:val="24"/>
      <w:szCs w:val="20"/>
    </w:rPr>
  </w:style>
  <w:style w:type="paragraph" w:customStyle="1" w:styleId="644">
    <w:name w:val="xl42"/>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szCs w:val="20"/>
    </w:rPr>
  </w:style>
  <w:style w:type="paragraph" w:customStyle="1" w:styleId="645">
    <w:name w:val="xl44"/>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eastAsia="Arial Unicode MS"/>
      <w:kern w:val="0"/>
      <w:sz w:val="20"/>
      <w:szCs w:val="20"/>
    </w:rPr>
  </w:style>
  <w:style w:type="paragraph" w:customStyle="1" w:styleId="6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0"/>
      <w:szCs w:val="20"/>
    </w:rPr>
  </w:style>
  <w:style w:type="paragraph" w:customStyle="1" w:styleId="647">
    <w:name w:val="xl41"/>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szCs w:val="20"/>
    </w:rPr>
  </w:style>
  <w:style w:type="paragraph" w:customStyle="1" w:styleId="648">
    <w:name w:val="xl38"/>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楷体_GB2312" w:hAnsi="Arial Unicode MS" w:eastAsia="楷体_GB2312"/>
      <w:kern w:val="0"/>
      <w:sz w:val="20"/>
      <w:szCs w:val="20"/>
    </w:rPr>
  </w:style>
  <w:style w:type="paragraph" w:customStyle="1" w:styleId="649">
    <w:name w:val="MTDisplayEquation"/>
    <w:basedOn w:val="1"/>
    <w:autoRedefine/>
    <w:qFormat/>
    <w:uiPriority w:val="0"/>
    <w:pPr>
      <w:tabs>
        <w:tab w:val="center" w:pos="4880"/>
        <w:tab w:val="right" w:pos="9740"/>
      </w:tabs>
      <w:jc w:val="center"/>
    </w:pPr>
    <w:rPr>
      <w:rFonts w:ascii="宋体" w:hAnsi="宋体"/>
      <w:b/>
      <w:sz w:val="28"/>
      <w:szCs w:val="20"/>
    </w:rPr>
  </w:style>
  <w:style w:type="paragraph" w:customStyle="1" w:styleId="650">
    <w:name w:val="样式 标题 2H21标题 2 Char Char节标题 1.1（一）Underrubrik1prop2Headi..."/>
    <w:basedOn w:val="6"/>
    <w:autoRedefine/>
    <w:qFormat/>
    <w:uiPriority w:val="0"/>
    <w:pPr>
      <w:tabs>
        <w:tab w:val="left" w:pos="720"/>
      </w:tabs>
      <w:ind w:left="720" w:hanging="363"/>
    </w:pPr>
    <w:rPr>
      <w:kern w:val="0"/>
      <w:lang w:val="zh-CN"/>
    </w:rPr>
  </w:style>
  <w:style w:type="paragraph" w:customStyle="1" w:styleId="651">
    <w:name w:val="样式110"/>
    <w:basedOn w:val="469"/>
    <w:autoRedefine/>
    <w:qFormat/>
    <w:uiPriority w:val="0"/>
    <w:pPr>
      <w:adjustRightInd w:val="0"/>
    </w:pPr>
    <w:rPr>
      <w:szCs w:val="24"/>
    </w:rPr>
  </w:style>
  <w:style w:type="paragraph" w:customStyle="1" w:styleId="652">
    <w:name w:val="样式 标题 4H4CharbulletblbbPIM 4h4Heading Four款标题1.1.1.1Fa..."/>
    <w:basedOn w:val="9"/>
    <w:autoRedefine/>
    <w:qFormat/>
    <w:uiPriority w:val="0"/>
    <w:rPr>
      <w:rFonts w:ascii="等线 Light" w:hAnsi="等线 Light" w:eastAsia="等线 Light"/>
      <w:kern w:val="0"/>
      <w:lang w:val="zh-CN"/>
    </w:rPr>
  </w:style>
  <w:style w:type="paragraph" w:customStyle="1" w:styleId="653">
    <w:name w:val="xl45"/>
    <w:basedOn w:val="1"/>
    <w:autoRedefine/>
    <w:qFormat/>
    <w:uiPriority w:val="0"/>
    <w:pPr>
      <w:widowControl/>
      <w:pBdr>
        <w:bottom w:val="single" w:color="auto" w:sz="8" w:space="0"/>
        <w:right w:val="single" w:color="auto" w:sz="8" w:space="0"/>
      </w:pBdr>
      <w:spacing w:before="100" w:beforeAutospacing="1" w:after="100" w:afterAutospacing="1"/>
      <w:jc w:val="center"/>
    </w:pPr>
    <w:rPr>
      <w:rFonts w:ascii="楷体_GB2312" w:hAnsi="宋体" w:eastAsia="楷体_GB2312" w:cs="宋体"/>
      <w:color w:val="000000"/>
      <w:kern w:val="0"/>
      <w:szCs w:val="21"/>
    </w:rPr>
  </w:style>
  <w:style w:type="paragraph" w:customStyle="1" w:styleId="654">
    <w:name w:val="xl46"/>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655">
    <w:name w:val="xl48"/>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656">
    <w:name w:val="xl49"/>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657">
    <w:name w:val="xl50"/>
    <w:basedOn w:val="1"/>
    <w:autoRedefine/>
    <w:qFormat/>
    <w:uiPriority w:val="0"/>
    <w:pPr>
      <w:widowControl/>
      <w:pBdr>
        <w:left w:val="single" w:color="auto" w:sz="8" w:space="0"/>
        <w:right w:val="single" w:color="auto" w:sz="4" w:space="0"/>
      </w:pBdr>
      <w:spacing w:before="100" w:beforeAutospacing="1" w:after="100" w:afterAutospacing="1"/>
      <w:jc w:val="center"/>
    </w:pPr>
    <w:rPr>
      <w:rFonts w:ascii="楷体_GB2312" w:hAnsi="宋体" w:eastAsia="楷体_GB2312" w:cs="宋体"/>
      <w:kern w:val="0"/>
      <w:szCs w:val="21"/>
    </w:rPr>
  </w:style>
  <w:style w:type="paragraph" w:customStyle="1" w:styleId="658">
    <w:name w:val="xl51"/>
    <w:basedOn w:val="1"/>
    <w:autoRedefine/>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659">
    <w:name w:val="xl52"/>
    <w:basedOn w:val="1"/>
    <w:autoRedefine/>
    <w:qFormat/>
    <w:uiPriority w:val="0"/>
    <w:pPr>
      <w:widowControl/>
      <w:pBdr>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660">
    <w:name w:val="xl53"/>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661">
    <w:name w:val="xl55"/>
    <w:basedOn w:val="1"/>
    <w:autoRedefine/>
    <w:qFormat/>
    <w:uiPriority w:val="0"/>
    <w:pPr>
      <w:widowControl/>
      <w:pBdr>
        <w:left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662">
    <w:name w:val="xl56"/>
    <w:basedOn w:val="1"/>
    <w:autoRedefine/>
    <w:qFormat/>
    <w:uiPriority w:val="0"/>
    <w:pPr>
      <w:widowControl/>
      <w:pBdr>
        <w:top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663">
    <w:name w:val="xl57"/>
    <w:basedOn w:val="1"/>
    <w:autoRedefine/>
    <w:qFormat/>
    <w:uiPriority w:val="0"/>
    <w:pPr>
      <w:widowControl/>
      <w:pBdr>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664">
    <w:name w:val="xl58"/>
    <w:basedOn w:val="1"/>
    <w:autoRedefine/>
    <w:qFormat/>
    <w:uiPriority w:val="0"/>
    <w:pPr>
      <w:widowControl/>
      <w:pBdr>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665">
    <w:name w:val="xl59"/>
    <w:basedOn w:val="1"/>
    <w:autoRedefine/>
    <w:qFormat/>
    <w:uiPriority w:val="0"/>
    <w:pPr>
      <w:widowControl/>
      <w:pBdr>
        <w:left w:val="single" w:color="auto" w:sz="8" w:space="0"/>
        <w:bottom w:val="single" w:color="auto" w:sz="4" w:space="0"/>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666">
    <w:name w:val="xl60"/>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667">
    <w:name w:val="xl61"/>
    <w:basedOn w:val="1"/>
    <w:autoRedefine/>
    <w:qFormat/>
    <w:uiPriority w:val="0"/>
    <w:pPr>
      <w:widowControl/>
      <w:pBdr>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668">
    <w:name w:val="xl62"/>
    <w:basedOn w:val="1"/>
    <w:autoRedefine/>
    <w:qFormat/>
    <w:uiPriority w:val="0"/>
    <w:pPr>
      <w:widowControl/>
      <w:pBdr>
        <w:top w:val="single" w:color="auto" w:sz="8" w:space="0"/>
      </w:pBdr>
      <w:spacing w:before="100" w:beforeAutospacing="1" w:after="100" w:afterAutospacing="1"/>
      <w:jc w:val="center"/>
    </w:pPr>
    <w:rPr>
      <w:rFonts w:ascii="楷体_GB2312" w:hAnsi="宋体" w:eastAsia="楷体_GB2312" w:cs="宋体"/>
      <w:kern w:val="0"/>
      <w:szCs w:val="21"/>
    </w:rPr>
  </w:style>
  <w:style w:type="character" w:customStyle="1" w:styleId="669">
    <w:name w:val="Char Char2"/>
    <w:autoRedefine/>
    <w:qFormat/>
    <w:uiPriority w:val="0"/>
    <w:rPr>
      <w:rFonts w:ascii="Arial" w:hAnsi="Arial" w:eastAsia="楷体_GB2312" w:cs="Arial"/>
      <w:b/>
      <w:sz w:val="24"/>
      <w:lang w:val="en-US" w:eastAsia="zh-CN" w:bidi="ar-SA"/>
    </w:rPr>
  </w:style>
  <w:style w:type="paragraph" w:customStyle="1" w:styleId="670">
    <w:name w:val="proposal"/>
    <w:basedOn w:val="1"/>
    <w:autoRedefine/>
    <w:qFormat/>
    <w:uiPriority w:val="0"/>
    <w:pPr>
      <w:widowControl/>
      <w:autoSpaceDE w:val="0"/>
      <w:autoSpaceDN w:val="0"/>
      <w:spacing w:line="300" w:lineRule="auto"/>
      <w:ind w:left="1440" w:hanging="1440"/>
    </w:pPr>
    <w:rPr>
      <w:kern w:val="0"/>
      <w:sz w:val="24"/>
      <w:lang w:val="en-GB" w:eastAsia="en-GB"/>
    </w:rPr>
  </w:style>
  <w:style w:type="character" w:customStyle="1" w:styleId="671">
    <w:name w:val="正文（行首缩进2字） Char"/>
    <w:link w:val="438"/>
    <w:autoRedefine/>
    <w:qFormat/>
    <w:uiPriority w:val="0"/>
    <w:rPr>
      <w:kern w:val="2"/>
      <w:sz w:val="28"/>
      <w:szCs w:val="24"/>
    </w:rPr>
  </w:style>
  <w:style w:type="character" w:customStyle="1" w:styleId="672">
    <w:name w:val="apple-style-span"/>
    <w:autoRedefine/>
    <w:qFormat/>
    <w:uiPriority w:val="0"/>
  </w:style>
  <w:style w:type="paragraph" w:customStyle="1" w:styleId="673">
    <w:name w:val="Char1 Char Char Char Char Char1 Char"/>
    <w:basedOn w:val="1"/>
    <w:autoRedefine/>
    <w:qFormat/>
    <w:uiPriority w:val="0"/>
    <w:rPr>
      <w:szCs w:val="21"/>
    </w:rPr>
  </w:style>
  <w:style w:type="character" w:customStyle="1" w:styleId="674">
    <w:name w:val="trans"/>
    <w:autoRedefine/>
    <w:qFormat/>
    <w:uiPriority w:val="0"/>
  </w:style>
  <w:style w:type="character" w:customStyle="1" w:styleId="675">
    <w:name w:val="reflink plainlinks nourlexpansion"/>
    <w:autoRedefine/>
    <w:qFormat/>
    <w:uiPriority w:val="0"/>
  </w:style>
  <w:style w:type="character" w:customStyle="1" w:styleId="676">
    <w:name w:val="Char Char6"/>
    <w:autoRedefine/>
    <w:qFormat/>
    <w:uiPriority w:val="0"/>
    <w:rPr>
      <w:rFonts w:eastAsia="宋体"/>
      <w:kern w:val="2"/>
      <w:sz w:val="24"/>
      <w:lang w:val="en-US" w:eastAsia="zh-CN" w:bidi="ar-SA"/>
    </w:rPr>
  </w:style>
  <w:style w:type="character" w:customStyle="1" w:styleId="677">
    <w:name w:val="标题 Char1"/>
    <w:autoRedefine/>
    <w:qFormat/>
    <w:uiPriority w:val="10"/>
    <w:rPr>
      <w:rFonts w:ascii="Arial" w:hAnsi="Arial" w:cs="Arial"/>
      <w:b/>
      <w:bCs/>
      <w:kern w:val="2"/>
      <w:sz w:val="32"/>
      <w:szCs w:val="32"/>
    </w:rPr>
  </w:style>
  <w:style w:type="paragraph" w:customStyle="1" w:styleId="678">
    <w:name w:val="目录标题"/>
    <w:basedOn w:val="8"/>
    <w:autoRedefine/>
    <w:qFormat/>
    <w:uiPriority w:val="0"/>
    <w:rPr>
      <w:kern w:val="0"/>
      <w:sz w:val="20"/>
      <w:lang w:val="zh-CN"/>
    </w:rPr>
  </w:style>
  <w:style w:type="paragraph" w:customStyle="1" w:styleId="679">
    <w:name w:val="样式 楷体_GB2312 居中"/>
    <w:basedOn w:val="1"/>
    <w:autoRedefine/>
    <w:qFormat/>
    <w:uiPriority w:val="0"/>
    <w:pPr>
      <w:spacing w:line="360" w:lineRule="auto"/>
      <w:jc w:val="center"/>
    </w:pPr>
    <w:rPr>
      <w:rFonts w:ascii="楷体_GB2312" w:eastAsia="楷体_GB2312"/>
      <w:szCs w:val="20"/>
    </w:rPr>
  </w:style>
  <w:style w:type="character" w:customStyle="1" w:styleId="680">
    <w:name w:val="style7"/>
    <w:autoRedefine/>
    <w:qFormat/>
    <w:uiPriority w:val="0"/>
  </w:style>
  <w:style w:type="character" w:customStyle="1" w:styleId="681">
    <w:name w:val="标题5"/>
    <w:autoRedefine/>
    <w:qFormat/>
    <w:uiPriority w:val="0"/>
  </w:style>
  <w:style w:type="paragraph" w:customStyle="1" w:styleId="682">
    <w:name w:val="IDC A-Head (2nd Line)"/>
    <w:basedOn w:val="1"/>
    <w:next w:val="1"/>
    <w:autoRedefine/>
    <w:qFormat/>
    <w:uiPriority w:val="0"/>
    <w:pPr>
      <w:widowControl/>
      <w:tabs>
        <w:tab w:val="left" w:pos="425"/>
      </w:tabs>
      <w:ind w:left="425" w:hanging="425"/>
      <w:jc w:val="center"/>
    </w:pPr>
    <w:rPr>
      <w:caps/>
      <w:kern w:val="0"/>
      <w:sz w:val="24"/>
      <w:szCs w:val="20"/>
    </w:rPr>
  </w:style>
  <w:style w:type="paragraph" w:customStyle="1" w:styleId="683">
    <w:name w:val="四级条标题"/>
    <w:basedOn w:val="397"/>
    <w:next w:val="1"/>
    <w:autoRedefine/>
    <w:qFormat/>
    <w:uiPriority w:val="0"/>
  </w:style>
  <w:style w:type="paragraph" w:customStyle="1" w:styleId="684">
    <w:name w:val="表格编号"/>
    <w:basedOn w:val="1"/>
    <w:next w:val="1"/>
    <w:autoRedefine/>
    <w:qFormat/>
    <w:uiPriority w:val="0"/>
    <w:pPr>
      <w:spacing w:before="300" w:after="200"/>
      <w:ind w:left="964" w:hanging="425"/>
      <w:jc w:val="center"/>
    </w:pPr>
    <w:rPr>
      <w:sz w:val="24"/>
      <w:szCs w:val="20"/>
    </w:rPr>
  </w:style>
  <w:style w:type="paragraph" w:customStyle="1" w:styleId="685">
    <w:name w:val="wj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686">
    <w:name w:val="表中文字1"/>
    <w:autoRedefine/>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687">
    <w:name w:val="_Style 1"/>
    <w:basedOn w:val="1"/>
    <w:next w:val="8"/>
    <w:autoRedefine/>
    <w:qFormat/>
    <w:uiPriority w:val="1"/>
    <w:pPr>
      <w:adjustRightInd w:val="0"/>
      <w:spacing w:line="288" w:lineRule="auto"/>
      <w:ind w:firstLine="480"/>
      <w:textAlignment w:val="baseline"/>
    </w:pPr>
    <w:rPr>
      <w:rFonts w:ascii="宋体" w:hAnsi="宋体" w:cs="宋体"/>
      <w:sz w:val="24"/>
    </w:rPr>
  </w:style>
  <w:style w:type="paragraph" w:customStyle="1" w:styleId="688">
    <w:name w:val="新正文样式"/>
    <w:basedOn w:val="1"/>
    <w:autoRedefine/>
    <w:qFormat/>
    <w:uiPriority w:val="0"/>
    <w:pPr>
      <w:tabs>
        <w:tab w:val="left" w:pos="567"/>
      </w:tabs>
      <w:spacing w:line="360" w:lineRule="auto"/>
      <w:ind w:firstLine="567"/>
    </w:pPr>
    <w:rPr>
      <w:spacing w:val="20"/>
      <w:sz w:val="24"/>
    </w:rPr>
  </w:style>
  <w:style w:type="paragraph" w:customStyle="1" w:styleId="689">
    <w:name w:val="宏福4"/>
    <w:basedOn w:val="1"/>
    <w:autoRedefine/>
    <w:qFormat/>
    <w:uiPriority w:val="0"/>
    <w:pPr>
      <w:adjustRightInd w:val="0"/>
      <w:spacing w:line="400" w:lineRule="atLeast"/>
      <w:ind w:firstLine="567"/>
      <w:jc w:val="left"/>
      <w:textAlignment w:val="baseline"/>
    </w:pPr>
    <w:rPr>
      <w:sz w:val="28"/>
      <w:szCs w:val="28"/>
    </w:rPr>
  </w:style>
  <w:style w:type="character" w:customStyle="1" w:styleId="690">
    <w:name w:val="style191"/>
    <w:autoRedefine/>
    <w:qFormat/>
    <w:uiPriority w:val="0"/>
    <w:rPr>
      <w:b/>
      <w:bCs/>
      <w:color w:val="FF0000"/>
    </w:rPr>
  </w:style>
  <w:style w:type="paragraph" w:customStyle="1" w:styleId="691">
    <w:name w:val="项目编号"/>
    <w:basedOn w:val="1"/>
    <w:next w:val="1"/>
    <w:autoRedefine/>
    <w:qFormat/>
    <w:uiPriority w:val="0"/>
    <w:pPr>
      <w:spacing w:before="120" w:after="120" w:line="360" w:lineRule="auto"/>
    </w:pPr>
    <w:rPr>
      <w:sz w:val="24"/>
      <w:szCs w:val="20"/>
    </w:rPr>
  </w:style>
  <w:style w:type="paragraph" w:customStyle="1" w:styleId="692">
    <w:name w:val="表序号"/>
    <w:basedOn w:val="10"/>
    <w:autoRedefine/>
    <w:qFormat/>
    <w:uiPriority w:val="0"/>
  </w:style>
  <w:style w:type="paragraph" w:customStyle="1" w:styleId="693">
    <w:name w:val="图编号"/>
    <w:basedOn w:val="183"/>
    <w:autoRedefine/>
    <w:qFormat/>
    <w:uiPriority w:val="0"/>
    <w:pPr>
      <w:tabs>
        <w:tab w:val="left" w:pos="432"/>
        <w:tab w:val="left" w:pos="763"/>
      </w:tabs>
      <w:spacing w:before="300" w:after="300" w:line="360" w:lineRule="auto"/>
      <w:ind w:firstLine="403"/>
    </w:pPr>
    <w:rPr>
      <w:szCs w:val="20"/>
    </w:rPr>
  </w:style>
  <w:style w:type="paragraph" w:customStyle="1" w:styleId="694">
    <w:name w:val="表"/>
    <w:basedOn w:val="1"/>
    <w:next w:val="66"/>
    <w:autoRedefine/>
    <w:qFormat/>
    <w:uiPriority w:val="0"/>
    <w:pPr>
      <w:jc w:val="center"/>
    </w:pPr>
    <w:rPr>
      <w:rFonts w:ascii="宋体" w:hAnsi="Arial Black"/>
      <w:kern w:val="21"/>
      <w:szCs w:val="20"/>
    </w:rPr>
  </w:style>
  <w:style w:type="paragraph" w:customStyle="1" w:styleId="695">
    <w:name w:val="公式"/>
    <w:autoRedefine/>
    <w:qFormat/>
    <w:uiPriority w:val="0"/>
    <w:pPr>
      <w:jc w:val="center"/>
    </w:pPr>
    <w:rPr>
      <w:rFonts w:ascii="Times New Roman" w:hAnsi="Times New Roman" w:eastAsia="宋体" w:cs="Times New Roman"/>
      <w:sz w:val="28"/>
      <w:lang w:val="en-US" w:eastAsia="zh-CN" w:bidi="ar-SA"/>
    </w:rPr>
  </w:style>
  <w:style w:type="paragraph" w:customStyle="1" w:styleId="696">
    <w:name w:val="公式样式1"/>
    <w:basedOn w:val="1"/>
    <w:autoRedefine/>
    <w:qFormat/>
    <w:uiPriority w:val="0"/>
    <w:pPr>
      <w:spacing w:line="360" w:lineRule="auto"/>
      <w:ind w:firstLine="235" w:firstLineChars="100"/>
    </w:pPr>
    <w:rPr>
      <w:rFonts w:ascii="宋体" w:hAnsi="Arial Black"/>
      <w:szCs w:val="20"/>
    </w:rPr>
  </w:style>
  <w:style w:type="paragraph" w:customStyle="1" w:styleId="697">
    <w:name w:val="小五表文"/>
    <w:autoRedefine/>
    <w:qFormat/>
    <w:uiPriority w:val="0"/>
    <w:pPr>
      <w:jc w:val="center"/>
    </w:pPr>
    <w:rPr>
      <w:rFonts w:ascii="Times New Roman" w:hAnsi="Times New Roman" w:eastAsia="仿宋_GB2312" w:cs="Times New Roman"/>
      <w:sz w:val="18"/>
      <w:lang w:val="en-US" w:eastAsia="zh-CN" w:bidi="ar-SA"/>
    </w:rPr>
  </w:style>
  <w:style w:type="paragraph" w:customStyle="1" w:styleId="698">
    <w:name w:val="注解"/>
    <w:autoRedefine/>
    <w:qFormat/>
    <w:uiPriority w:val="0"/>
    <w:pPr>
      <w:widowControl w:val="0"/>
      <w:jc w:val="center"/>
    </w:pPr>
    <w:rPr>
      <w:rFonts w:ascii="宋体" w:hAnsi="Arial Black" w:eastAsia="宋体" w:cs="Times New Roman"/>
      <w:kern w:val="2"/>
      <w:sz w:val="18"/>
      <w:lang w:val="en-US" w:eastAsia="zh-CN" w:bidi="ar-SA"/>
    </w:rPr>
  </w:style>
  <w:style w:type="character" w:customStyle="1" w:styleId="699">
    <w:name w:val="paragragh1"/>
    <w:autoRedefine/>
    <w:qFormat/>
    <w:uiPriority w:val="0"/>
    <w:rPr>
      <w:color w:val="004040"/>
      <w:sz w:val="21"/>
      <w:szCs w:val="21"/>
    </w:rPr>
  </w:style>
  <w:style w:type="paragraph" w:customStyle="1" w:styleId="700">
    <w:name w:val="cdb"/>
    <w:basedOn w:val="1"/>
    <w:autoRedefine/>
    <w:qFormat/>
    <w:uiPriority w:val="0"/>
    <w:pPr>
      <w:spacing w:before="120"/>
      <w:ind w:left="851" w:firstLine="482"/>
    </w:pPr>
    <w:rPr>
      <w:szCs w:val="20"/>
    </w:rPr>
  </w:style>
  <w:style w:type="paragraph" w:customStyle="1" w:styleId="701">
    <w:name w:val="font0"/>
    <w:basedOn w:val="1"/>
    <w:autoRedefine/>
    <w:qFormat/>
    <w:uiPriority w:val="0"/>
    <w:pPr>
      <w:widowControl/>
      <w:spacing w:before="100" w:beforeAutospacing="1" w:after="100" w:afterAutospacing="1"/>
      <w:jc w:val="left"/>
    </w:pPr>
    <w:rPr>
      <w:rFonts w:hint="eastAsia" w:ascii="宋体" w:hAnsi="宋体"/>
      <w:kern w:val="0"/>
    </w:rPr>
  </w:style>
  <w:style w:type="paragraph" w:customStyle="1" w:styleId="702">
    <w:name w:val="xl108"/>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03">
    <w:name w:val="xl109"/>
    <w:basedOn w:val="1"/>
    <w:autoRedefine/>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04">
    <w:name w:val="xl110"/>
    <w:basedOn w:val="1"/>
    <w:autoRedefine/>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rPr>
  </w:style>
  <w:style w:type="paragraph" w:customStyle="1" w:styleId="705">
    <w:name w:val="xl111"/>
    <w:basedOn w:val="1"/>
    <w:autoRedefine/>
    <w:qFormat/>
    <w:uiPriority w:val="0"/>
    <w:pPr>
      <w:widowControl/>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06">
    <w:name w:val="xl112"/>
    <w:basedOn w:val="1"/>
    <w:autoRedefine/>
    <w:qFormat/>
    <w:uiPriority w:val="0"/>
    <w:pPr>
      <w:widowControl/>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07">
    <w:name w:val="xl113"/>
    <w:basedOn w:val="1"/>
    <w:autoRedefine/>
    <w:qFormat/>
    <w:uiPriority w:val="0"/>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708">
    <w:name w:val="xl114"/>
    <w:basedOn w:val="1"/>
    <w:autoRedefine/>
    <w:qFormat/>
    <w:uiPriority w:val="0"/>
    <w:pPr>
      <w:widowControl/>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09">
    <w:name w:val="xl116"/>
    <w:basedOn w:val="1"/>
    <w:autoRedefine/>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10">
    <w:name w:val="xl117"/>
    <w:basedOn w:val="1"/>
    <w:autoRedefine/>
    <w:qFormat/>
    <w:uiPriority w:val="0"/>
    <w:pPr>
      <w:widowControl/>
      <w:pBdr>
        <w:left w:val="single" w:color="auto" w:sz="8" w:space="0"/>
      </w:pBdr>
      <w:spacing w:before="100" w:beforeAutospacing="1" w:after="100" w:afterAutospacing="1"/>
      <w:jc w:val="left"/>
    </w:pPr>
    <w:rPr>
      <w:rFonts w:ascii="Arial Unicode MS" w:hAnsi="Arial Unicode MS"/>
      <w:kern w:val="0"/>
    </w:rPr>
  </w:style>
  <w:style w:type="paragraph" w:customStyle="1" w:styleId="711">
    <w:name w:val="xl118"/>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12">
    <w:name w:val="xl119"/>
    <w:basedOn w:val="1"/>
    <w:autoRedefine/>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713">
    <w:name w:val="xl120"/>
    <w:basedOn w:val="1"/>
    <w:autoRedefine/>
    <w:qFormat/>
    <w:uiPriority w:val="0"/>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714">
    <w:name w:val="xl121"/>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715">
    <w:name w:val="xl122"/>
    <w:basedOn w:val="1"/>
    <w:autoRedefine/>
    <w:qFormat/>
    <w:uiPriority w:val="0"/>
    <w:pPr>
      <w:widowControl/>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16">
    <w:name w:val="xl123"/>
    <w:basedOn w:val="1"/>
    <w:autoRedefine/>
    <w:qFormat/>
    <w:uiPriority w:val="0"/>
    <w:pPr>
      <w:widowControl/>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17">
    <w:name w:val="xl124"/>
    <w:basedOn w:val="1"/>
    <w:autoRedefine/>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18">
    <w:name w:val="xl125"/>
    <w:basedOn w:val="1"/>
    <w:autoRedefine/>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719">
    <w:name w:val="xl126"/>
    <w:basedOn w:val="1"/>
    <w:autoRedefine/>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20">
    <w:name w:val="xl127"/>
    <w:basedOn w:val="1"/>
    <w:autoRedefine/>
    <w:qFormat/>
    <w:uiPriority w:val="0"/>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21">
    <w:name w:val="xl128"/>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22">
    <w:name w:val="xl129"/>
    <w:basedOn w:val="1"/>
    <w:autoRedefine/>
    <w:qFormat/>
    <w:uiPriority w:val="0"/>
    <w:pPr>
      <w:widowControl/>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23">
    <w:name w:val="xl130"/>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24">
    <w:name w:val="xl131"/>
    <w:basedOn w:val="1"/>
    <w:autoRedefine/>
    <w:qFormat/>
    <w:uiPriority w:val="0"/>
    <w:pPr>
      <w:widowControl/>
      <w:pBdr>
        <w:left w:val="single" w:color="auto" w:sz="4" w:space="0"/>
        <w:right w:val="single" w:color="auto" w:sz="8" w:space="0"/>
      </w:pBdr>
      <w:spacing w:before="100" w:beforeAutospacing="1" w:after="100" w:afterAutospacing="1"/>
      <w:jc w:val="left"/>
    </w:pPr>
    <w:rPr>
      <w:rFonts w:ascii="Arial Unicode MS" w:hAnsi="Arial Unicode MS"/>
      <w:kern w:val="0"/>
    </w:rPr>
  </w:style>
  <w:style w:type="paragraph" w:customStyle="1" w:styleId="725">
    <w:name w:val="xl132"/>
    <w:basedOn w:val="1"/>
    <w:autoRedefine/>
    <w:qFormat/>
    <w:uiPriority w:val="0"/>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726">
    <w:name w:val="xl133"/>
    <w:basedOn w:val="1"/>
    <w:autoRedefine/>
    <w:qFormat/>
    <w:uiPriority w:val="0"/>
    <w:pPr>
      <w:widowControl/>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727">
    <w:name w:val="xl134"/>
    <w:basedOn w:val="1"/>
    <w:autoRedefine/>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728">
    <w:name w:val="xl135"/>
    <w:basedOn w:val="1"/>
    <w:autoRedefine/>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729">
    <w:name w:val="xl136"/>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730">
    <w:name w:val="xl137"/>
    <w:basedOn w:val="1"/>
    <w:autoRedefine/>
    <w:qFormat/>
    <w:uiPriority w:val="0"/>
    <w:pPr>
      <w:widowControl/>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731">
    <w:name w:val="xl138"/>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732">
    <w:name w:val="xl139"/>
    <w:basedOn w:val="1"/>
    <w:autoRedefine/>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733">
    <w:name w:val="xl140"/>
    <w:basedOn w:val="1"/>
    <w:autoRedefine/>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734">
    <w:name w:val="xl141"/>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735">
    <w:name w:val="xl142"/>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36">
    <w:name w:val="xl143"/>
    <w:basedOn w:val="1"/>
    <w:autoRedefine/>
    <w:qFormat/>
    <w:uiPriority w:val="0"/>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37">
    <w:name w:val="xl144"/>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38">
    <w:name w:val="xl145"/>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739">
    <w:name w:val="xl146"/>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740">
    <w:name w:val="xl147"/>
    <w:basedOn w:val="1"/>
    <w:autoRedefine/>
    <w:qFormat/>
    <w:uiPriority w:val="0"/>
    <w:pPr>
      <w:widowControl/>
      <w:spacing w:before="100" w:beforeAutospacing="1" w:after="100" w:afterAutospacing="1"/>
      <w:jc w:val="center"/>
    </w:pPr>
    <w:rPr>
      <w:rFonts w:ascii="Arial Unicode MS" w:hAnsi="Arial Unicode MS"/>
      <w:kern w:val="0"/>
    </w:rPr>
  </w:style>
  <w:style w:type="paragraph" w:customStyle="1" w:styleId="741">
    <w:name w:val="xl148"/>
    <w:basedOn w:val="1"/>
    <w:autoRedefine/>
    <w:qFormat/>
    <w:uiPriority w:val="0"/>
    <w:pPr>
      <w:widowControl/>
      <w:pBdr>
        <w:bottom w:val="single" w:color="auto" w:sz="8" w:space="0"/>
      </w:pBdr>
      <w:spacing w:before="100" w:beforeAutospacing="1" w:after="100" w:afterAutospacing="1"/>
      <w:jc w:val="left"/>
    </w:pPr>
    <w:rPr>
      <w:rFonts w:ascii="Arial Unicode MS" w:hAnsi="Arial Unicode MS"/>
      <w:kern w:val="0"/>
    </w:rPr>
  </w:style>
  <w:style w:type="paragraph" w:customStyle="1" w:styleId="742">
    <w:name w:val="xl149"/>
    <w:basedOn w:val="1"/>
    <w:autoRedefine/>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rPr>
  </w:style>
  <w:style w:type="paragraph" w:customStyle="1" w:styleId="743">
    <w:name w:val="xl150"/>
    <w:basedOn w:val="1"/>
    <w:autoRedefine/>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44">
    <w:name w:val="xl151"/>
    <w:basedOn w:val="1"/>
    <w:autoRedefine/>
    <w:qFormat/>
    <w:uiPriority w:val="0"/>
    <w:pPr>
      <w:widowControl/>
      <w:spacing w:before="100" w:beforeAutospacing="1" w:after="100" w:afterAutospacing="1"/>
      <w:jc w:val="left"/>
    </w:pPr>
    <w:rPr>
      <w:kern w:val="0"/>
      <w:sz w:val="16"/>
      <w:szCs w:val="16"/>
    </w:rPr>
  </w:style>
  <w:style w:type="paragraph" w:customStyle="1" w:styleId="745">
    <w:name w:val="xl152"/>
    <w:basedOn w:val="1"/>
    <w:autoRedefine/>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746">
    <w:name w:val="xl153"/>
    <w:basedOn w:val="1"/>
    <w:autoRedefine/>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747">
    <w:name w:val="xl154"/>
    <w:basedOn w:val="1"/>
    <w:autoRedefine/>
    <w:qFormat/>
    <w:uiPriority w:val="0"/>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748">
    <w:name w:val="xl15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749">
    <w:name w:val="xl156"/>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750">
    <w:name w:val="xl15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751">
    <w:name w:val="xl158"/>
    <w:basedOn w:val="1"/>
    <w:autoRedefine/>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752">
    <w:name w:val="xl159"/>
    <w:basedOn w:val="1"/>
    <w:autoRedefine/>
    <w:qFormat/>
    <w:uiPriority w:val="0"/>
    <w:pPr>
      <w:widowControl/>
      <w:pBdr>
        <w:right w:val="single" w:color="auto" w:sz="4" w:space="0"/>
      </w:pBdr>
      <w:spacing w:before="100" w:beforeAutospacing="1" w:after="100" w:afterAutospacing="1"/>
      <w:jc w:val="left"/>
    </w:pPr>
    <w:rPr>
      <w:rFonts w:ascii="Arial Unicode MS" w:hAnsi="Arial Unicode MS"/>
      <w:kern w:val="0"/>
    </w:rPr>
  </w:style>
  <w:style w:type="paragraph" w:customStyle="1" w:styleId="753">
    <w:name w:val="xl160"/>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754">
    <w:name w:val="xl161"/>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755">
    <w:name w:val="xl162"/>
    <w:basedOn w:val="1"/>
    <w:autoRedefine/>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756">
    <w:name w:val="xl163"/>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757">
    <w:name w:val="xl164"/>
    <w:basedOn w:val="1"/>
    <w:autoRedefine/>
    <w:qFormat/>
    <w:uiPriority w:val="0"/>
    <w:pPr>
      <w:widowControl/>
      <w:pBdr>
        <w:left w:val="single" w:color="auto" w:sz="12" w:space="0"/>
        <w:bottom w:val="single" w:color="auto" w:sz="12" w:space="0"/>
      </w:pBdr>
      <w:spacing w:before="100" w:beforeAutospacing="1" w:after="100" w:afterAutospacing="1"/>
      <w:jc w:val="center"/>
    </w:pPr>
    <w:rPr>
      <w:rFonts w:ascii="Arial Unicode MS" w:hAnsi="Arial Unicode MS"/>
      <w:kern w:val="0"/>
    </w:rPr>
  </w:style>
  <w:style w:type="paragraph" w:customStyle="1" w:styleId="758">
    <w:name w:val="xl165"/>
    <w:basedOn w:val="1"/>
    <w:autoRedefine/>
    <w:qFormat/>
    <w:uiPriority w:val="0"/>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759">
    <w:name w:val="xl166"/>
    <w:basedOn w:val="1"/>
    <w:autoRedefine/>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760">
    <w:name w:val="xl167"/>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761">
    <w:name w:val="xl168"/>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762">
    <w:name w:val="xl169"/>
    <w:basedOn w:val="1"/>
    <w:autoRedefine/>
    <w:qFormat/>
    <w:uiPriority w:val="0"/>
    <w:pPr>
      <w:widowControl/>
      <w:pBdr>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763">
    <w:name w:val="xl170"/>
    <w:basedOn w:val="1"/>
    <w:autoRedefine/>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764">
    <w:name w:val="xl171"/>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765">
    <w:name w:val="xl172"/>
    <w:basedOn w:val="1"/>
    <w:autoRedefine/>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766">
    <w:name w:val="xl173"/>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767">
    <w:name w:val="xl174"/>
    <w:basedOn w:val="1"/>
    <w:autoRedefine/>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768">
    <w:name w:val="xl175"/>
    <w:basedOn w:val="1"/>
    <w:autoRedefine/>
    <w:qFormat/>
    <w:uiPriority w:val="0"/>
    <w:pPr>
      <w:widowControl/>
      <w:pBdr>
        <w:left w:val="single" w:color="auto" w:sz="12" w:space="0"/>
        <w:right w:val="single" w:color="auto" w:sz="4" w:space="0"/>
      </w:pBdr>
      <w:spacing w:before="100" w:beforeAutospacing="1" w:after="100" w:afterAutospacing="1"/>
      <w:jc w:val="left"/>
    </w:pPr>
    <w:rPr>
      <w:rFonts w:ascii="Arial Unicode MS" w:hAnsi="Arial Unicode MS"/>
      <w:kern w:val="0"/>
    </w:rPr>
  </w:style>
  <w:style w:type="paragraph" w:customStyle="1" w:styleId="769">
    <w:name w:val="xl176"/>
    <w:basedOn w:val="1"/>
    <w:autoRedefine/>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kern w:val="0"/>
    </w:rPr>
  </w:style>
  <w:style w:type="paragraph" w:customStyle="1" w:styleId="770">
    <w:name w:val="xl177"/>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771">
    <w:name w:val="xl178"/>
    <w:basedOn w:val="1"/>
    <w:autoRedefine/>
    <w:qFormat/>
    <w:uiPriority w:val="0"/>
    <w:pPr>
      <w:widowControl/>
      <w:spacing w:before="100" w:beforeAutospacing="1" w:after="100" w:afterAutospacing="1"/>
      <w:jc w:val="center"/>
    </w:pPr>
    <w:rPr>
      <w:rFonts w:ascii="Arial Unicode MS" w:hAnsi="Arial Unicode MS"/>
      <w:kern w:val="0"/>
      <w:sz w:val="12"/>
      <w:szCs w:val="12"/>
    </w:rPr>
  </w:style>
  <w:style w:type="paragraph" w:customStyle="1" w:styleId="772">
    <w:name w:val="xl17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73">
    <w:name w:val="xl180"/>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74">
    <w:name w:val="xl18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75">
    <w:name w:val="xl18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776">
    <w:name w:val="xl18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77">
    <w:name w:val="xl1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78">
    <w:name w:val="xl185"/>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79">
    <w:name w:val="xl18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780">
    <w:name w:val="xl18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781">
    <w:name w:val="xl188"/>
    <w:basedOn w:val="1"/>
    <w:autoRedefine/>
    <w:qFormat/>
    <w:uiPriority w:val="0"/>
    <w:pPr>
      <w:widowControl/>
      <w:spacing w:before="100" w:beforeAutospacing="1" w:after="100" w:afterAutospacing="1"/>
      <w:jc w:val="left"/>
      <w:textAlignment w:val="center"/>
    </w:pPr>
    <w:rPr>
      <w:kern w:val="0"/>
      <w:sz w:val="12"/>
      <w:szCs w:val="12"/>
    </w:rPr>
  </w:style>
  <w:style w:type="paragraph" w:customStyle="1" w:styleId="782">
    <w:name w:val="xl189"/>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783">
    <w:name w:val="xl190"/>
    <w:basedOn w:val="1"/>
    <w:autoRedefine/>
    <w:qFormat/>
    <w:uiPriority w:val="0"/>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784">
    <w:name w:val="xl19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85">
    <w:name w:val="xl19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86">
    <w:name w:val="xl19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787">
    <w:name w:val="xl194"/>
    <w:basedOn w:val="1"/>
    <w:autoRedefine/>
    <w:qFormat/>
    <w:uiPriority w:val="0"/>
    <w:pPr>
      <w:widowControl/>
      <w:spacing w:before="100" w:beforeAutospacing="1" w:after="100" w:afterAutospacing="1"/>
      <w:jc w:val="center"/>
    </w:pPr>
    <w:rPr>
      <w:kern w:val="0"/>
      <w:sz w:val="16"/>
      <w:szCs w:val="16"/>
    </w:rPr>
  </w:style>
  <w:style w:type="paragraph" w:customStyle="1" w:styleId="788">
    <w:name w:val="xl19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789">
    <w:name w:val="xl196"/>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790">
    <w:name w:val="xl197"/>
    <w:basedOn w:val="1"/>
    <w:autoRedefine/>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rPr>
  </w:style>
  <w:style w:type="paragraph" w:customStyle="1" w:styleId="791">
    <w:name w:val="xl198"/>
    <w:basedOn w:val="1"/>
    <w:autoRedefine/>
    <w:qFormat/>
    <w:uiPriority w:val="0"/>
    <w:pPr>
      <w:widowControl/>
      <w:pBdr>
        <w:bottom w:val="single" w:color="auto" w:sz="8" w:space="0"/>
      </w:pBdr>
      <w:spacing w:before="100" w:beforeAutospacing="1" w:after="100" w:afterAutospacing="1"/>
      <w:jc w:val="center"/>
    </w:pPr>
    <w:rPr>
      <w:rFonts w:ascii="Arial Unicode MS" w:hAnsi="Arial Unicode MS"/>
      <w:kern w:val="0"/>
      <w:sz w:val="16"/>
      <w:szCs w:val="16"/>
    </w:rPr>
  </w:style>
  <w:style w:type="character" w:customStyle="1" w:styleId="792">
    <w:name w:val="css-text3"/>
    <w:autoRedefine/>
    <w:qFormat/>
    <w:uiPriority w:val="0"/>
  </w:style>
  <w:style w:type="paragraph" w:customStyle="1" w:styleId="793">
    <w:name w:val="style12"/>
    <w:basedOn w:val="1"/>
    <w:autoRedefine/>
    <w:qFormat/>
    <w:uiPriority w:val="0"/>
    <w:pPr>
      <w:widowControl/>
      <w:spacing w:before="100" w:beforeAutospacing="1" w:after="100" w:afterAutospacing="1"/>
      <w:jc w:val="left"/>
    </w:pPr>
    <w:rPr>
      <w:rFonts w:ascii="Arial" w:hAnsi="Arial" w:cs="Arial"/>
      <w:color w:val="666666"/>
      <w:kern w:val="0"/>
      <w:sz w:val="18"/>
      <w:szCs w:val="18"/>
    </w:rPr>
  </w:style>
  <w:style w:type="paragraph" w:customStyle="1" w:styleId="794">
    <w:name w:val="图框"/>
    <w:basedOn w:val="1"/>
    <w:autoRedefine/>
    <w:qFormat/>
    <w:uiPriority w:val="0"/>
    <w:pPr>
      <w:jc w:val="center"/>
    </w:pPr>
    <w:rPr>
      <w:szCs w:val="15"/>
    </w:rPr>
  </w:style>
  <w:style w:type="paragraph" w:customStyle="1" w:styleId="795">
    <w:name w:val="图注"/>
    <w:basedOn w:val="1"/>
    <w:next w:val="1"/>
    <w:autoRedefine/>
    <w:qFormat/>
    <w:uiPriority w:val="0"/>
    <w:pPr>
      <w:spacing w:before="120" w:line="320" w:lineRule="atLeast"/>
      <w:ind w:left="7" w:leftChars="-27" w:hanging="72" w:hangingChars="30"/>
      <w:jc w:val="center"/>
    </w:pPr>
    <w:rPr>
      <w:rFonts w:ascii="宋体" w:hAnsi="宋体"/>
      <w:bCs/>
      <w:color w:val="000000"/>
      <w:kern w:val="0"/>
      <w:sz w:val="24"/>
    </w:rPr>
  </w:style>
  <w:style w:type="paragraph" w:customStyle="1" w:styleId="796">
    <w:name w:val="h"/>
    <w:basedOn w:val="1"/>
    <w:autoRedefine/>
    <w:qFormat/>
    <w:uiPriority w:val="0"/>
    <w:pPr>
      <w:spacing w:before="60"/>
      <w:ind w:firstLine="482"/>
    </w:pPr>
    <w:rPr>
      <w:rFonts w:ascii="Arial" w:hAnsi="Arial" w:eastAsia="仿宋_GB2312"/>
      <w:kern w:val="0"/>
      <w:sz w:val="24"/>
      <w:szCs w:val="20"/>
    </w:rPr>
  </w:style>
  <w:style w:type="paragraph" w:customStyle="1" w:styleId="797">
    <w:name w:val="heading"/>
    <w:basedOn w:val="1"/>
    <w:next w:val="1"/>
    <w:autoRedefine/>
    <w:qFormat/>
    <w:uiPriority w:val="0"/>
    <w:pPr>
      <w:keepNext/>
      <w:keepLines/>
      <w:tabs>
        <w:tab w:val="left" w:pos="576"/>
      </w:tabs>
      <w:spacing w:line="360" w:lineRule="auto"/>
      <w:ind w:left="576"/>
      <w:outlineLvl w:val="1"/>
    </w:pPr>
    <w:rPr>
      <w:rFonts w:ascii="宋体" w:hAnsi="Arial Black" w:cs="宋体"/>
      <w:sz w:val="24"/>
    </w:rPr>
  </w:style>
  <w:style w:type="character" w:customStyle="1" w:styleId="798">
    <w:name w:val="content1"/>
    <w:autoRedefine/>
    <w:qFormat/>
    <w:uiPriority w:val="0"/>
    <w:rPr>
      <w:sz w:val="20"/>
      <w:szCs w:val="20"/>
    </w:rPr>
  </w:style>
  <w:style w:type="character" w:customStyle="1" w:styleId="799">
    <w:name w:val="HTML 地址 Char"/>
    <w:link w:val="42"/>
    <w:autoRedefine/>
    <w:qFormat/>
    <w:uiPriority w:val="0"/>
    <w:rPr>
      <w:rFonts w:ascii="Arial" w:hAnsi="Arial" w:eastAsia="仿宋_GB2312"/>
      <w:i/>
      <w:iCs/>
      <w:sz w:val="24"/>
    </w:rPr>
  </w:style>
  <w:style w:type="character" w:customStyle="1" w:styleId="800">
    <w:name w:val="称呼 Char"/>
    <w:link w:val="32"/>
    <w:autoRedefine/>
    <w:qFormat/>
    <w:uiPriority w:val="0"/>
    <w:rPr>
      <w:rFonts w:ascii="Arial" w:hAnsi="Arial" w:eastAsia="仿宋_GB2312"/>
      <w:sz w:val="24"/>
    </w:rPr>
  </w:style>
  <w:style w:type="character" w:customStyle="1" w:styleId="801">
    <w:name w:val="电子邮件签名 Char"/>
    <w:link w:val="22"/>
    <w:autoRedefine/>
    <w:qFormat/>
    <w:uiPriority w:val="0"/>
    <w:rPr>
      <w:rFonts w:ascii="Arial" w:hAnsi="Arial" w:eastAsia="仿宋_GB2312"/>
      <w:sz w:val="24"/>
    </w:rPr>
  </w:style>
  <w:style w:type="paragraph" w:customStyle="1" w:styleId="802">
    <w:name w:val="封面"/>
    <w:basedOn w:val="1"/>
    <w:autoRedefine/>
    <w:qFormat/>
    <w:uiPriority w:val="0"/>
    <w:pPr>
      <w:adjustRightInd w:val="0"/>
      <w:spacing w:before="60" w:line="360" w:lineRule="auto"/>
      <w:ind w:firstLine="482"/>
      <w:jc w:val="center"/>
      <w:textAlignment w:val="baseline"/>
    </w:pPr>
    <w:rPr>
      <w:rFonts w:ascii="Arial" w:hAnsi="Arial" w:eastAsia="仿宋_GB2312"/>
      <w:b/>
      <w:kern w:val="0"/>
      <w:sz w:val="30"/>
      <w:szCs w:val="20"/>
    </w:rPr>
  </w:style>
  <w:style w:type="character" w:customStyle="1" w:styleId="803">
    <w:name w:val="结束语 Char"/>
    <w:link w:val="34"/>
    <w:autoRedefine/>
    <w:qFormat/>
    <w:uiPriority w:val="0"/>
    <w:rPr>
      <w:rFonts w:ascii="Arial" w:hAnsi="Arial" w:eastAsia="仿宋_GB2312"/>
      <w:sz w:val="24"/>
    </w:rPr>
  </w:style>
  <w:style w:type="character" w:customStyle="1" w:styleId="804">
    <w:name w:val="签名 Char"/>
    <w:link w:val="58"/>
    <w:autoRedefine/>
    <w:qFormat/>
    <w:uiPriority w:val="0"/>
    <w:rPr>
      <w:rFonts w:ascii="Arial" w:hAnsi="Arial" w:eastAsia="仿宋_GB2312"/>
      <w:sz w:val="24"/>
    </w:rPr>
  </w:style>
  <w:style w:type="character" w:customStyle="1" w:styleId="805">
    <w:name w:val="副标题 Char"/>
    <w:link w:val="64"/>
    <w:autoRedefine/>
    <w:qFormat/>
    <w:uiPriority w:val="0"/>
    <w:rPr>
      <w:rFonts w:ascii="Arial" w:hAnsi="Arial" w:eastAsia="仿宋_GB2312"/>
      <w:b/>
      <w:bCs/>
      <w:kern w:val="28"/>
      <w:sz w:val="32"/>
      <w:szCs w:val="32"/>
    </w:rPr>
  </w:style>
  <w:style w:type="paragraph" w:customStyle="1" w:styleId="806">
    <w:name w:val="项目段落"/>
    <w:basedOn w:val="1"/>
    <w:autoRedefine/>
    <w:qFormat/>
    <w:uiPriority w:val="0"/>
    <w:pPr>
      <w:spacing w:before="60" w:line="360" w:lineRule="auto"/>
      <w:ind w:left="476" w:firstLine="482"/>
    </w:pPr>
    <w:rPr>
      <w:rFonts w:ascii="Arial" w:hAnsi="Arial" w:eastAsia="仿宋_GB2312"/>
      <w:kern w:val="0"/>
      <w:sz w:val="24"/>
      <w:szCs w:val="20"/>
    </w:rPr>
  </w:style>
  <w:style w:type="character" w:customStyle="1" w:styleId="807">
    <w:name w:val="信息标题 Char"/>
    <w:link w:val="79"/>
    <w:autoRedefine/>
    <w:qFormat/>
    <w:uiPriority w:val="0"/>
    <w:rPr>
      <w:rFonts w:ascii="Arial" w:hAnsi="Arial" w:eastAsia="仿宋_GB2312"/>
      <w:sz w:val="24"/>
      <w:shd w:val="pct20" w:color="auto" w:fill="auto"/>
    </w:rPr>
  </w:style>
  <w:style w:type="paragraph" w:customStyle="1" w:styleId="808">
    <w:name w:val="源程序"/>
    <w:autoRedefine/>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809">
    <w:name w:val="正文文本首行缩进 21"/>
    <w:basedOn w:val="36"/>
    <w:link w:val="810"/>
    <w:autoRedefine/>
    <w:qFormat/>
    <w:locked/>
    <w:uiPriority w:val="0"/>
    <w:pPr>
      <w:spacing w:before="60"/>
      <w:ind w:left="0" w:leftChars="0" w:firstLine="210"/>
    </w:pPr>
    <w:rPr>
      <w:kern w:val="2"/>
      <w:sz w:val="18"/>
      <w:szCs w:val="24"/>
    </w:rPr>
  </w:style>
  <w:style w:type="character" w:customStyle="1" w:styleId="810">
    <w:name w:val="正文文本首行缩进 2 字符"/>
    <w:link w:val="809"/>
    <w:autoRedefine/>
    <w:qFormat/>
    <w:uiPriority w:val="0"/>
    <w:rPr>
      <w:rFonts w:ascii="Times New Roman" w:hAnsi="Times New Roman" w:eastAsia="宋体"/>
      <w:kern w:val="2"/>
      <w:sz w:val="18"/>
      <w:szCs w:val="24"/>
    </w:rPr>
  </w:style>
  <w:style w:type="paragraph" w:customStyle="1" w:styleId="811">
    <w:name w:val="样式"/>
    <w:basedOn w:val="1"/>
    <w:next w:val="1"/>
    <w:autoRedefine/>
    <w:qFormat/>
    <w:uiPriority w:val="0"/>
    <w:pPr>
      <w:ind w:firstLine="420"/>
    </w:pPr>
    <w:rPr>
      <w:rFonts w:ascii="宋体" w:hAnsi="Arial Black" w:cs="宋体"/>
      <w:sz w:val="24"/>
    </w:rPr>
  </w:style>
  <w:style w:type="paragraph" w:customStyle="1" w:styleId="812">
    <w:name w:val="样式8"/>
    <w:basedOn w:val="1"/>
    <w:next w:val="1"/>
    <w:autoRedefine/>
    <w:qFormat/>
    <w:uiPriority w:val="0"/>
    <w:pPr>
      <w:ind w:firstLine="420"/>
    </w:pPr>
    <w:rPr>
      <w:rFonts w:ascii="宋体" w:hAnsi="Arial Black" w:cs="宋体"/>
      <w:sz w:val="24"/>
    </w:rPr>
  </w:style>
  <w:style w:type="paragraph" w:customStyle="1" w:styleId="813">
    <w:name w:val="样式a"/>
    <w:basedOn w:val="1"/>
    <w:autoRedefine/>
    <w:qFormat/>
    <w:uiPriority w:val="0"/>
    <w:pPr>
      <w:adjustRightInd w:val="0"/>
      <w:snapToGrid w:val="0"/>
      <w:spacing w:line="420" w:lineRule="exact"/>
      <w:ind w:firstLine="200" w:firstLineChars="200"/>
      <w:textAlignment w:val="baseline"/>
    </w:pPr>
    <w:rPr>
      <w:kern w:val="0"/>
      <w:sz w:val="24"/>
    </w:rPr>
  </w:style>
  <w:style w:type="paragraph" w:customStyle="1" w:styleId="814">
    <w:name w:val="样式5"/>
    <w:basedOn w:val="2"/>
    <w:autoRedefine/>
    <w:qFormat/>
    <w:uiPriority w:val="0"/>
    <w:pPr>
      <w:widowControl w:val="0"/>
      <w:snapToGrid/>
      <w:spacing w:before="0" w:after="0" w:line="240" w:lineRule="auto"/>
      <w:ind w:right="-105" w:rightChars="-50"/>
      <w:jc w:val="center"/>
    </w:pPr>
    <w:rPr>
      <w:rFonts w:ascii="宋体" w:cs="宋体"/>
      <w:kern w:val="2"/>
      <w:sz w:val="21"/>
      <w:szCs w:val="21"/>
    </w:rPr>
  </w:style>
  <w:style w:type="character" w:customStyle="1" w:styleId="815">
    <w:name w:val="标题3 Char"/>
    <w:autoRedefine/>
    <w:qFormat/>
    <w:uiPriority w:val="0"/>
    <w:rPr>
      <w:rFonts w:eastAsia="黑体"/>
      <w:kern w:val="2"/>
      <w:sz w:val="24"/>
      <w:szCs w:val="24"/>
      <w:lang w:val="en-US" w:eastAsia="zh-CN"/>
    </w:rPr>
  </w:style>
  <w:style w:type="paragraph" w:customStyle="1" w:styleId="816">
    <w:name w:val="表居中（中文）"/>
    <w:basedOn w:val="1"/>
    <w:autoRedefine/>
    <w:qFormat/>
    <w:uiPriority w:val="0"/>
    <w:pPr>
      <w:adjustRightInd w:val="0"/>
      <w:spacing w:line="380" w:lineRule="atLeast"/>
      <w:jc w:val="center"/>
      <w:textAlignment w:val="baseline"/>
    </w:pPr>
    <w:rPr>
      <w:rFonts w:eastAsia="楷体_GB2312"/>
      <w:kern w:val="0"/>
      <w:sz w:val="24"/>
    </w:rPr>
  </w:style>
  <w:style w:type="paragraph" w:customStyle="1" w:styleId="817">
    <w:name w:val="6"/>
    <w:basedOn w:val="1"/>
    <w:next w:val="76"/>
    <w:autoRedefine/>
    <w:qFormat/>
    <w:uiPriority w:val="0"/>
    <w:pPr>
      <w:spacing w:after="120" w:line="480" w:lineRule="auto"/>
    </w:pPr>
  </w:style>
  <w:style w:type="character" w:customStyle="1" w:styleId="818">
    <w:name w:val="16p"/>
    <w:autoRedefine/>
    <w:qFormat/>
    <w:uiPriority w:val="0"/>
  </w:style>
  <w:style w:type="character" w:customStyle="1" w:styleId="819">
    <w:name w:val="show"/>
    <w:autoRedefine/>
    <w:qFormat/>
    <w:uiPriority w:val="0"/>
  </w:style>
  <w:style w:type="paragraph" w:customStyle="1" w:styleId="820">
    <w:name w:val="文件名称"/>
    <w:basedOn w:val="1"/>
    <w:next w:val="1"/>
    <w:autoRedefine/>
    <w:qFormat/>
    <w:uiPriority w:val="0"/>
    <w:pPr>
      <w:spacing w:beforeLines="100"/>
      <w:jc w:val="center"/>
    </w:pPr>
    <w:rPr>
      <w:rFonts w:ascii="黑体" w:eastAsia="黑体"/>
      <w:sz w:val="84"/>
      <w:szCs w:val="84"/>
    </w:rPr>
  </w:style>
  <w:style w:type="paragraph" w:customStyle="1" w:styleId="821">
    <w:name w:val="参加人员"/>
    <w:basedOn w:val="1"/>
    <w:autoRedefine/>
    <w:qFormat/>
    <w:uiPriority w:val="0"/>
    <w:rPr>
      <w:sz w:val="24"/>
      <w:szCs w:val="28"/>
    </w:rPr>
  </w:style>
  <w:style w:type="character" w:customStyle="1" w:styleId="822">
    <w:name w:val="e91"/>
    <w:autoRedefine/>
    <w:qFormat/>
    <w:uiPriority w:val="0"/>
    <w:rPr>
      <w:rFonts w:hint="default" w:ascii="Arial" w:hAnsi="Arial" w:cs="Arial"/>
      <w:sz w:val="21"/>
      <w:szCs w:val="21"/>
    </w:rPr>
  </w:style>
  <w:style w:type="paragraph" w:customStyle="1" w:styleId="823">
    <w:name w:val="项目名称"/>
    <w:basedOn w:val="1"/>
    <w:next w:val="1"/>
    <w:autoRedefine/>
    <w:qFormat/>
    <w:uiPriority w:val="0"/>
    <w:pPr>
      <w:spacing w:line="800" w:lineRule="atLeast"/>
      <w:jc w:val="center"/>
      <w:outlineLvl w:val="0"/>
    </w:pPr>
    <w:rPr>
      <w:rFonts w:ascii="黑体" w:eastAsia="黑体"/>
      <w:sz w:val="52"/>
      <w:szCs w:val="52"/>
    </w:rPr>
  </w:style>
  <w:style w:type="paragraph" w:customStyle="1" w:styleId="824">
    <w:name w:val="单位名称"/>
    <w:basedOn w:val="1"/>
    <w:next w:val="1"/>
    <w:autoRedefine/>
    <w:qFormat/>
    <w:uiPriority w:val="0"/>
    <w:pPr>
      <w:jc w:val="center"/>
    </w:pPr>
    <w:rPr>
      <w:sz w:val="44"/>
      <w:szCs w:val="44"/>
    </w:rPr>
  </w:style>
  <w:style w:type="paragraph" w:customStyle="1" w:styleId="825">
    <w:name w:val="文件册号"/>
    <w:basedOn w:val="1"/>
    <w:next w:val="1"/>
    <w:autoRedefine/>
    <w:qFormat/>
    <w:uiPriority w:val="0"/>
    <w:pPr>
      <w:spacing w:line="800" w:lineRule="atLeast"/>
      <w:jc w:val="center"/>
    </w:pPr>
    <w:rPr>
      <w:sz w:val="52"/>
      <w:szCs w:val="52"/>
    </w:rPr>
  </w:style>
  <w:style w:type="paragraph" w:customStyle="1" w:styleId="826">
    <w:name w:val="文件编号"/>
    <w:basedOn w:val="1"/>
    <w:next w:val="1"/>
    <w:autoRedefine/>
    <w:qFormat/>
    <w:uiPriority w:val="0"/>
    <w:pPr>
      <w:jc w:val="center"/>
    </w:pPr>
    <w:rPr>
      <w:rFonts w:ascii="黑体" w:eastAsia="黑体"/>
      <w:sz w:val="44"/>
      <w:szCs w:val="44"/>
    </w:rPr>
  </w:style>
  <w:style w:type="paragraph" w:customStyle="1" w:styleId="827">
    <w:name w:val="主要负责人"/>
    <w:basedOn w:val="1"/>
    <w:next w:val="1"/>
    <w:autoRedefine/>
    <w:qFormat/>
    <w:uiPriority w:val="0"/>
    <w:pPr>
      <w:jc w:val="center"/>
    </w:pPr>
    <w:rPr>
      <w:sz w:val="36"/>
      <w:szCs w:val="36"/>
    </w:rPr>
  </w:style>
  <w:style w:type="paragraph" w:customStyle="1" w:styleId="828">
    <w:name w:val="参加人员名单"/>
    <w:basedOn w:val="1"/>
    <w:next w:val="1"/>
    <w:autoRedefine/>
    <w:qFormat/>
    <w:uiPriority w:val="0"/>
    <w:pPr>
      <w:jc w:val="center"/>
      <w:outlineLvl w:val="0"/>
    </w:pPr>
    <w:rPr>
      <w:sz w:val="32"/>
      <w:szCs w:val="32"/>
    </w:rPr>
  </w:style>
  <w:style w:type="paragraph" w:customStyle="1" w:styleId="829">
    <w:name w:val="标号正文"/>
    <w:basedOn w:val="1"/>
    <w:next w:val="1"/>
    <w:autoRedefine/>
    <w:qFormat/>
    <w:uiPriority w:val="0"/>
    <w:pPr>
      <w:tabs>
        <w:tab w:val="left" w:pos="765"/>
      </w:tabs>
      <w:overflowPunct w:val="0"/>
      <w:snapToGrid w:val="0"/>
      <w:spacing w:line="480" w:lineRule="exact"/>
      <w:ind w:left="765" w:hanging="765"/>
      <w:jc w:val="left"/>
    </w:pPr>
    <w:rPr>
      <w:rFonts w:ascii="Arial" w:hAnsi="Arial" w:eastAsia="仿宋_GB2312"/>
      <w:sz w:val="28"/>
      <w:szCs w:val="20"/>
    </w:rPr>
  </w:style>
  <w:style w:type="character" w:customStyle="1" w:styleId="830">
    <w:name w:val="font141"/>
    <w:autoRedefine/>
    <w:qFormat/>
    <w:uiPriority w:val="0"/>
    <w:rPr>
      <w:rFonts w:hint="default"/>
      <w:color w:val="000000"/>
    </w:rPr>
  </w:style>
  <w:style w:type="paragraph" w:customStyle="1" w:styleId="831">
    <w:name w:val="页眉左"/>
    <w:basedOn w:val="57"/>
    <w:autoRedefine/>
    <w:qFormat/>
    <w:uiPriority w:val="0"/>
    <w:pPr>
      <w:pBdr>
        <w:bottom w:val="none" w:color="auto" w:sz="0" w:space="0"/>
      </w:pBdr>
      <w:adjustRightInd w:val="0"/>
      <w:snapToGrid/>
      <w:spacing w:before="60" w:after="60" w:line="240" w:lineRule="atLeast"/>
      <w:jc w:val="left"/>
      <w:textAlignment w:val="baseline"/>
    </w:pPr>
    <w:rPr>
      <w:sz w:val="22"/>
      <w:lang w:val="en-GB"/>
    </w:rPr>
  </w:style>
  <w:style w:type="paragraph" w:customStyle="1" w:styleId="832">
    <w:name w:val="宏福3"/>
    <w:basedOn w:val="7"/>
    <w:autoRedefine/>
    <w:qFormat/>
    <w:uiPriority w:val="0"/>
    <w:pPr>
      <w:tabs>
        <w:tab w:val="left" w:pos="1077"/>
      </w:tabs>
      <w:ind w:left="1077" w:hanging="357"/>
    </w:pPr>
    <w:rPr>
      <w:lang w:val="zh-CN"/>
    </w:rPr>
  </w:style>
  <w:style w:type="paragraph" w:customStyle="1" w:styleId="833">
    <w:name w:val="宏福正文-2"/>
    <w:basedOn w:val="316"/>
    <w:autoRedefine/>
    <w:qFormat/>
    <w:uiPriority w:val="0"/>
    <w:pPr>
      <w:widowControl w:val="0"/>
      <w:snapToGrid w:val="0"/>
      <w:spacing w:before="240" w:after="0" w:line="400" w:lineRule="atLeast"/>
      <w:ind w:firstLine="567" w:firstLineChars="0"/>
      <w:jc w:val="both"/>
    </w:pPr>
    <w:rPr>
      <w:rFonts w:ascii="Times New Roman" w:hAnsi="Times New Roman"/>
      <w:kern w:val="2"/>
      <w:sz w:val="28"/>
      <w:szCs w:val="20"/>
    </w:rPr>
  </w:style>
  <w:style w:type="character" w:customStyle="1" w:styleId="834">
    <w:name w:val="f241"/>
    <w:autoRedefine/>
    <w:qFormat/>
    <w:uiPriority w:val="0"/>
    <w:rPr>
      <w:sz w:val="36"/>
      <w:szCs w:val="36"/>
    </w:rPr>
  </w:style>
  <w:style w:type="character" w:customStyle="1" w:styleId="835">
    <w:name w:val="pccs1"/>
    <w:autoRedefine/>
    <w:qFormat/>
    <w:uiPriority w:val="0"/>
    <w:rPr>
      <w:sz w:val="18"/>
      <w:szCs w:val="18"/>
    </w:rPr>
  </w:style>
  <w:style w:type="character" w:customStyle="1" w:styleId="836">
    <w:name w:val="t_tag"/>
    <w:autoRedefine/>
    <w:qFormat/>
    <w:uiPriority w:val="0"/>
  </w:style>
  <w:style w:type="paragraph" w:customStyle="1" w:styleId="837">
    <w:name w:val="Char Char Char Char Char Char Char Char Char1 Char Char Char Char Char Char Char Char1 Char Char Char"/>
    <w:basedOn w:val="1"/>
    <w:autoRedefine/>
    <w:qFormat/>
    <w:uiPriority w:val="0"/>
    <w:pPr>
      <w:snapToGrid w:val="0"/>
      <w:spacing w:line="360" w:lineRule="auto"/>
      <w:ind w:firstLine="200" w:firstLineChars="200"/>
    </w:pPr>
    <w:rPr>
      <w:rFonts w:eastAsia="仿宋_GB2312"/>
      <w:sz w:val="24"/>
    </w:rPr>
  </w:style>
  <w:style w:type="paragraph" w:customStyle="1" w:styleId="838">
    <w:name w:val="样式 标题 2 + 段前: 0 磅"/>
    <w:basedOn w:val="6"/>
    <w:autoRedefine/>
    <w:qFormat/>
    <w:uiPriority w:val="0"/>
    <w:pPr>
      <w:tabs>
        <w:tab w:val="left" w:pos="720"/>
      </w:tabs>
      <w:ind w:left="720" w:hanging="363"/>
    </w:pPr>
    <w:rPr>
      <w:kern w:val="0"/>
      <w:lang w:val="zh-CN"/>
    </w:rPr>
  </w:style>
  <w:style w:type="paragraph" w:customStyle="1" w:styleId="839">
    <w:name w:val="小四表文居中"/>
    <w:autoRedefine/>
    <w:qFormat/>
    <w:uiPriority w:val="0"/>
    <w:pPr>
      <w:widowControl w:val="0"/>
      <w:jc w:val="center"/>
    </w:pPr>
    <w:rPr>
      <w:rFonts w:ascii="Times New Roman" w:hAnsi="Times New Roman" w:eastAsia="宋体" w:cs="Times New Roman"/>
      <w:color w:val="000000"/>
      <w:kern w:val="2"/>
      <w:sz w:val="21"/>
      <w:szCs w:val="21"/>
      <w:lang w:val="en-US" w:eastAsia="zh-CN" w:bidi="ar-SA"/>
    </w:rPr>
  </w:style>
  <w:style w:type="character" w:customStyle="1" w:styleId="840">
    <w:name w:val="Char Char7"/>
    <w:autoRedefine/>
    <w:qFormat/>
    <w:uiPriority w:val="0"/>
    <w:rPr>
      <w:rFonts w:eastAsia="宋体"/>
      <w:kern w:val="2"/>
      <w:sz w:val="21"/>
      <w:szCs w:val="24"/>
      <w:lang w:val="en-US" w:eastAsia="zh-CN" w:bidi="ar-SA"/>
    </w:rPr>
  </w:style>
  <w:style w:type="character" w:customStyle="1" w:styleId="841">
    <w:name w:val="Char Char10"/>
    <w:autoRedefine/>
    <w:qFormat/>
    <w:uiPriority w:val="0"/>
    <w:rPr>
      <w:rFonts w:eastAsia="宋体"/>
      <w:kern w:val="2"/>
      <w:sz w:val="21"/>
      <w:szCs w:val="24"/>
      <w:lang w:val="en-US" w:eastAsia="zh-CN" w:bidi="ar-SA"/>
    </w:rPr>
  </w:style>
  <w:style w:type="table" w:customStyle="1" w:styleId="842">
    <w:name w:val="环评格式"/>
    <w:basedOn w:val="224"/>
    <w:autoRedefine/>
    <w:qFormat/>
    <w:uiPriority w:val="0"/>
    <w:rPr>
      <w:sz w:val="21"/>
    </w:rPr>
    <w:tblPr>
      <w:jc w:val="center"/>
      <w:tblBorders>
        <w:right w:val="single" w:color="auto" w:sz="2" w:space="0"/>
      </w:tblBorders>
      <w:tblCellMar>
        <w:top w:w="0" w:type="dxa"/>
        <w:left w:w="108" w:type="dxa"/>
        <w:bottom w:w="0" w:type="dxa"/>
        <w:right w:w="108" w:type="dxa"/>
      </w:tblCellMar>
    </w:tblPr>
    <w:trPr>
      <w:jc w:val="center"/>
    </w:trPr>
    <w:tcPr>
      <w:vAlign w:val="center"/>
    </w:tc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tcPr>
        <w:tcBorders>
          <w:tl2br w:val="nil"/>
          <w:tr2bl w:val="nil"/>
        </w:tcBorders>
      </w:tcPr>
    </w:tblStylePr>
    <w:tblStylePr w:type="swCell">
      <w:tcPr>
        <w:tcBorders>
          <w:tl2br w:val="nil"/>
          <w:tr2bl w:val="nil"/>
        </w:tcBorders>
      </w:tcPr>
    </w:tblStylePr>
  </w:style>
  <w:style w:type="character" w:customStyle="1" w:styleId="843">
    <w:name w:val="Char Char5"/>
    <w:autoRedefine/>
    <w:qFormat/>
    <w:uiPriority w:val="0"/>
    <w:rPr>
      <w:rFonts w:ascii="宋体" w:hAnsi="Courier New" w:eastAsia="宋体"/>
      <w:kern w:val="2"/>
      <w:sz w:val="21"/>
      <w:lang w:val="en-US" w:eastAsia="zh-CN" w:bidi="ar-SA"/>
    </w:rPr>
  </w:style>
  <w:style w:type="paragraph" w:customStyle="1" w:styleId="844">
    <w:name w:val="正文改动"/>
    <w:basedOn w:val="1"/>
    <w:autoRedefine/>
    <w:qFormat/>
    <w:uiPriority w:val="0"/>
    <w:rPr>
      <w:color w:val="0000FF"/>
    </w:rPr>
  </w:style>
  <w:style w:type="character" w:customStyle="1" w:styleId="845">
    <w:name w:val="unnamed2"/>
    <w:autoRedefine/>
    <w:qFormat/>
    <w:uiPriority w:val="0"/>
  </w:style>
  <w:style w:type="paragraph" w:customStyle="1" w:styleId="846">
    <w:name w:val="样式 正文"/>
    <w:basedOn w:val="1"/>
    <w:autoRedefine/>
    <w:qFormat/>
    <w:uiPriority w:val="0"/>
    <w:pPr>
      <w:spacing w:line="360" w:lineRule="auto"/>
      <w:ind w:firstLine="200" w:firstLineChars="200"/>
    </w:pPr>
    <w:rPr>
      <w:rFonts w:ascii="宋体" w:hAnsi="宋体" w:cs="宋体"/>
      <w:color w:val="000000"/>
      <w:sz w:val="28"/>
      <w:szCs w:val="28"/>
    </w:rPr>
  </w:style>
  <w:style w:type="character" w:customStyle="1" w:styleId="847">
    <w:name w:val="b2 Char"/>
    <w:autoRedefine/>
    <w:qFormat/>
    <w:uiPriority w:val="0"/>
    <w:rPr>
      <w:rFonts w:ascii="Arial" w:hAnsi="Arial" w:eastAsia="黑体" w:cs="Times New Roman"/>
      <w:b/>
      <w:bCs/>
      <w:kern w:val="0"/>
      <w:sz w:val="30"/>
      <w:szCs w:val="32"/>
    </w:rPr>
  </w:style>
  <w:style w:type="character" w:customStyle="1" w:styleId="848">
    <w:name w:val="Char Char18"/>
    <w:autoRedefine/>
    <w:qFormat/>
    <w:uiPriority w:val="0"/>
    <w:rPr>
      <w:rFonts w:ascii="宋体" w:hAnsi="宋体" w:eastAsia="宋体" w:cs="Times New Roman"/>
      <w:color w:val="800000"/>
      <w:kern w:val="0"/>
      <w:sz w:val="28"/>
      <w:szCs w:val="20"/>
    </w:rPr>
  </w:style>
  <w:style w:type="paragraph" w:customStyle="1" w:styleId="849">
    <w:name w:val="正文表头"/>
    <w:basedOn w:val="1"/>
    <w:next w:val="1"/>
    <w:autoRedefine/>
    <w:qFormat/>
    <w:uiPriority w:val="0"/>
    <w:pPr>
      <w:keepNext/>
      <w:tabs>
        <w:tab w:val="center" w:pos="4253"/>
        <w:tab w:val="center" w:pos="6804"/>
        <w:tab w:val="right" w:pos="8505"/>
      </w:tabs>
      <w:overflowPunct w:val="0"/>
      <w:adjustRightInd w:val="0"/>
      <w:spacing w:before="120" w:line="360" w:lineRule="auto"/>
      <w:jc w:val="center"/>
      <w:textAlignment w:val="baseline"/>
    </w:pPr>
    <w:rPr>
      <w:rFonts w:eastAsia="黑体"/>
      <w:kern w:val="0"/>
      <w:sz w:val="28"/>
      <w:szCs w:val="20"/>
    </w:rPr>
  </w:style>
  <w:style w:type="character" w:customStyle="1" w:styleId="850">
    <w:name w:val="Char Char Char1 Char Char"/>
    <w:autoRedefine/>
    <w:qFormat/>
    <w:uiPriority w:val="0"/>
    <w:rPr>
      <w:rFonts w:ascii="Times New Roman" w:hAnsi="Times New Roman" w:eastAsia="宋体" w:cs="Times New Roman"/>
      <w:kern w:val="0"/>
      <w:sz w:val="18"/>
      <w:szCs w:val="18"/>
    </w:rPr>
  </w:style>
  <w:style w:type="paragraph" w:customStyle="1" w:styleId="851">
    <w:name w:val="标4"/>
    <w:basedOn w:val="852"/>
    <w:autoRedefine/>
    <w:qFormat/>
    <w:uiPriority w:val="0"/>
    <w:pPr>
      <w:tabs>
        <w:tab w:val="left" w:pos="360"/>
        <w:tab w:val="left" w:pos="1021"/>
        <w:tab w:val="left" w:pos="1077"/>
        <w:tab w:val="left" w:pos="1275"/>
        <w:tab w:val="center" w:pos="6804"/>
        <w:tab w:val="right" w:pos="7371"/>
      </w:tabs>
      <w:overflowPunct w:val="0"/>
      <w:adjustRightInd/>
      <w:spacing w:before="0" w:line="500" w:lineRule="exact"/>
      <w:jc w:val="both"/>
    </w:pPr>
    <w:rPr>
      <w:rFonts w:ascii="宋体" w:hAnsi="宋体" w:eastAsia="宋体"/>
      <w:bCs/>
      <w:color w:val="0000FF"/>
      <w:kern w:val="2"/>
      <w:szCs w:val="20"/>
      <w:lang w:val="en-US"/>
    </w:rPr>
  </w:style>
  <w:style w:type="paragraph" w:customStyle="1" w:styleId="852">
    <w:name w:val="标3"/>
    <w:basedOn w:val="7"/>
    <w:next w:val="46"/>
    <w:autoRedefine/>
    <w:qFormat/>
    <w:uiPriority w:val="1"/>
    <w:pPr>
      <w:tabs>
        <w:tab w:val="left" w:pos="1077"/>
      </w:tabs>
      <w:ind w:left="1077" w:hanging="357"/>
    </w:pPr>
    <w:rPr>
      <w:lang w:val="zh-CN"/>
    </w:rPr>
  </w:style>
  <w:style w:type="character" w:customStyle="1" w:styleId="853">
    <w:name w:val="Char Char11"/>
    <w:autoRedefine/>
    <w:qFormat/>
    <w:uiPriority w:val="0"/>
    <w:rPr>
      <w:rFonts w:ascii="Times New Roman" w:hAnsi="Times New Roman" w:eastAsia="宋体" w:cs="Times New Roman"/>
      <w:kern w:val="0"/>
      <w:sz w:val="24"/>
      <w:szCs w:val="24"/>
    </w:rPr>
  </w:style>
  <w:style w:type="paragraph" w:customStyle="1" w:styleId="854">
    <w:name w:val="Standard"/>
    <w:basedOn w:val="1"/>
    <w:next w:val="1"/>
    <w:autoRedefine/>
    <w:qFormat/>
    <w:uiPriority w:val="0"/>
    <w:pPr>
      <w:autoSpaceDE w:val="0"/>
      <w:autoSpaceDN w:val="0"/>
      <w:adjustRightInd w:val="0"/>
      <w:jc w:val="left"/>
    </w:pPr>
    <w:rPr>
      <w:rFonts w:ascii="Arial" w:hAnsi="Arial" w:cs="Arial"/>
      <w:kern w:val="0"/>
      <w:sz w:val="24"/>
    </w:rPr>
  </w:style>
  <w:style w:type="character" w:customStyle="1" w:styleId="855">
    <w:name w:val="正文（首行缩进两字） Char Char Char Char Char Char Char Char Char Char Char Char Char Char Char Char Char Char Char Char Char Char Char Char Char Char Char Char Char Char Char Char Char Char Char Char Char Char Char Char1"/>
    <w:autoRedefine/>
    <w:qFormat/>
    <w:uiPriority w:val="0"/>
    <w:rPr>
      <w:rFonts w:eastAsia="宋体"/>
      <w:sz w:val="24"/>
      <w:lang w:val="en-US" w:eastAsia="zh-CN" w:bidi="ar-SA"/>
    </w:rPr>
  </w:style>
  <w:style w:type="paragraph" w:customStyle="1" w:styleId="856">
    <w:name w:val="标2"/>
    <w:basedOn w:val="6"/>
    <w:next w:val="46"/>
    <w:autoRedefine/>
    <w:qFormat/>
    <w:uiPriority w:val="0"/>
    <w:pPr>
      <w:tabs>
        <w:tab w:val="left" w:pos="720"/>
      </w:tabs>
      <w:ind w:left="720" w:hanging="363"/>
    </w:pPr>
    <w:rPr>
      <w:kern w:val="0"/>
      <w:lang w:val="zh-CN"/>
    </w:rPr>
  </w:style>
  <w:style w:type="paragraph" w:customStyle="1" w:styleId="857">
    <w:name w:val="13"/>
    <w:basedOn w:val="1"/>
    <w:next w:val="36"/>
    <w:autoRedefine/>
    <w:qFormat/>
    <w:uiPriority w:val="0"/>
    <w:pPr>
      <w:ind w:firstLine="538" w:firstLineChars="192"/>
    </w:pPr>
    <w:rPr>
      <w:rFonts w:ascii="宋体" w:hAnsi="宋体"/>
      <w:sz w:val="28"/>
    </w:rPr>
  </w:style>
  <w:style w:type="paragraph" w:customStyle="1" w:styleId="858">
    <w:name w:val="Default Text:1"/>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859">
    <w:name w:val="表格头"/>
    <w:autoRedefine/>
    <w:qFormat/>
    <w:uiPriority w:val="0"/>
    <w:pPr>
      <w:spacing w:before="120" w:after="120" w:line="480" w:lineRule="atLeast"/>
      <w:jc w:val="center"/>
    </w:pPr>
    <w:rPr>
      <w:rFonts w:ascii="Times New Roman" w:hAnsi="Times New Roman" w:eastAsia="宋体" w:cs="Times New Roman"/>
      <w:sz w:val="24"/>
      <w:lang w:val="en-US" w:eastAsia="zh-CN" w:bidi="ar-SA"/>
    </w:rPr>
  </w:style>
  <w:style w:type="character" w:customStyle="1" w:styleId="860">
    <w:name w:val="n41"/>
    <w:autoRedefine/>
    <w:qFormat/>
    <w:uiPriority w:val="0"/>
    <w:rPr>
      <w:color w:val="000099"/>
      <w:sz w:val="18"/>
      <w:szCs w:val="18"/>
      <w:u w:val="none"/>
    </w:rPr>
  </w:style>
  <w:style w:type="paragraph" w:customStyle="1" w:styleId="861">
    <w:name w:val="5"/>
    <w:basedOn w:val="1"/>
    <w:next w:val="51"/>
    <w:autoRedefine/>
    <w:qFormat/>
    <w:uiPriority w:val="0"/>
    <w:pPr>
      <w:spacing w:line="360" w:lineRule="auto"/>
      <w:ind w:firstLine="525"/>
    </w:pPr>
    <w:rPr>
      <w:sz w:val="24"/>
      <w:szCs w:val="20"/>
    </w:rPr>
  </w:style>
  <w:style w:type="character" w:customStyle="1" w:styleId="862">
    <w:name w:val="nors1"/>
    <w:autoRedefine/>
    <w:qFormat/>
    <w:uiPriority w:val="0"/>
    <w:rPr>
      <w:rFonts w:ascii="宋体" w:hAnsi="宋体" w:eastAsia="宋体"/>
      <w:sz w:val="21"/>
    </w:rPr>
  </w:style>
  <w:style w:type="character" w:customStyle="1" w:styleId="863">
    <w:name w:val="标题 1 Char Char Char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ascii="黑体" w:hAnsi="Arial Unicode MS" w:eastAsia="黑体"/>
      <w:kern w:val="44"/>
      <w:sz w:val="28"/>
      <w:szCs w:val="28"/>
      <w:lang w:val="en-US" w:eastAsia="zh-CN" w:bidi="ar-SA"/>
    </w:rPr>
  </w:style>
  <w:style w:type="character" w:customStyle="1" w:styleId="864">
    <w:name w:val="标题 Char Char Char Char Char Char Char Char Char Char Char Char Char Char Char Char Char Char Char Char Char Char Char Char Char1"/>
    <w:autoRedefine/>
    <w:qFormat/>
    <w:uiPriority w:val="0"/>
    <w:rPr>
      <w:rFonts w:ascii="Times New Roman" w:hAnsi="Times New Roman" w:eastAsia="黑体" w:cs="Times New Roman"/>
      <w:sz w:val="32"/>
      <w:szCs w:val="24"/>
    </w:rPr>
  </w:style>
  <w:style w:type="character" w:customStyle="1" w:styleId="865">
    <w:name w:val="标题 Char Char Char Char Char Char Char Char Char Char Char Char Char Char Char Char Char Char Char Char Char Char Char Char Char"/>
    <w:autoRedefine/>
    <w:qFormat/>
    <w:uiPriority w:val="0"/>
    <w:rPr>
      <w:rFonts w:eastAsia="黑体"/>
      <w:kern w:val="2"/>
      <w:sz w:val="32"/>
      <w:szCs w:val="24"/>
      <w:lang w:val="en-US" w:eastAsia="zh-CN" w:bidi="ar-SA"/>
    </w:rPr>
  </w:style>
  <w:style w:type="character" w:customStyle="1" w:styleId="866">
    <w:name w:val="tpc_content1"/>
    <w:autoRedefine/>
    <w:qFormat/>
    <w:uiPriority w:val="0"/>
    <w:rPr>
      <w:sz w:val="20"/>
      <w:szCs w:val="20"/>
    </w:rPr>
  </w:style>
  <w:style w:type="character" w:customStyle="1" w:styleId="867">
    <w:name w:val="tpc_title1"/>
    <w:autoRedefine/>
    <w:qFormat/>
    <w:uiPriority w:val="0"/>
    <w:rPr>
      <w:b/>
      <w:bCs/>
      <w:sz w:val="18"/>
      <w:szCs w:val="18"/>
    </w:rPr>
  </w:style>
  <w:style w:type="paragraph" w:customStyle="1" w:styleId="868">
    <w:name w:val="image_subtitle"/>
    <w:basedOn w:val="1"/>
    <w:autoRedefine/>
    <w:qFormat/>
    <w:uiPriority w:val="0"/>
    <w:pPr>
      <w:widowControl/>
      <w:jc w:val="left"/>
    </w:pPr>
    <w:rPr>
      <w:rFonts w:ascii="宋体" w:hAnsi="宋体" w:cs="宋体"/>
      <w:kern w:val="0"/>
      <w:sz w:val="15"/>
      <w:szCs w:val="15"/>
    </w:rPr>
  </w:style>
  <w:style w:type="character" w:customStyle="1" w:styleId="869">
    <w:name w:val="red1"/>
    <w:autoRedefine/>
    <w:qFormat/>
    <w:uiPriority w:val="0"/>
    <w:rPr>
      <w:color w:val="FF3300"/>
    </w:rPr>
  </w:style>
  <w:style w:type="paragraph" w:customStyle="1" w:styleId="870">
    <w:name w:val="标准中文版式_正文"/>
    <w:basedOn w:val="1"/>
    <w:autoRedefine/>
    <w:qFormat/>
    <w:uiPriority w:val="0"/>
    <w:pPr>
      <w:spacing w:before="30" w:line="360" w:lineRule="auto"/>
    </w:pPr>
    <w:rPr>
      <w:rFonts w:ascii="Arial" w:hAnsi="Arial"/>
      <w:sz w:val="24"/>
      <w:szCs w:val="20"/>
    </w:rPr>
  </w:style>
  <w:style w:type="paragraph" w:customStyle="1" w:styleId="871">
    <w:name w:val="正文文字3"/>
    <w:basedOn w:val="1"/>
    <w:autoRedefine/>
    <w:qFormat/>
    <w:uiPriority w:val="0"/>
    <w:pPr>
      <w:spacing w:before="60" w:after="60" w:line="500" w:lineRule="exact"/>
      <w:ind w:left="1021" w:firstLine="567"/>
    </w:pPr>
    <w:rPr>
      <w:sz w:val="28"/>
      <w:szCs w:val="20"/>
    </w:rPr>
  </w:style>
  <w:style w:type="paragraph" w:customStyle="1" w:styleId="872">
    <w:name w:val="myfont9new"/>
    <w:basedOn w:val="1"/>
    <w:autoRedefine/>
    <w:qFormat/>
    <w:uiPriority w:val="0"/>
    <w:pPr>
      <w:widowControl/>
      <w:spacing w:before="100" w:beforeAutospacing="1" w:after="100" w:afterAutospacing="1"/>
      <w:jc w:val="left"/>
    </w:pPr>
    <w:rPr>
      <w:rFonts w:ascii="宋体" w:hAnsi="宋体"/>
      <w:kern w:val="0"/>
      <w:sz w:val="24"/>
    </w:rPr>
  </w:style>
  <w:style w:type="character" w:customStyle="1" w:styleId="873">
    <w:name w:val="maintext"/>
    <w:autoRedefine/>
    <w:qFormat/>
    <w:uiPriority w:val="0"/>
  </w:style>
  <w:style w:type="paragraph" w:customStyle="1" w:styleId="874">
    <w:name w:val="正文2"/>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875">
    <w:name w:val="首消息标题"/>
    <w:basedOn w:val="79"/>
    <w:next w:val="79"/>
    <w:autoRedefine/>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left" w:pos="4320"/>
        <w:tab w:val="left" w:pos="5040"/>
        <w:tab w:val="right" w:pos="8640"/>
      </w:tabs>
      <w:spacing w:before="0" w:after="40" w:line="440" w:lineRule="atLeast"/>
      <w:ind w:left="0" w:firstLine="0"/>
      <w:jc w:val="left"/>
    </w:pPr>
    <w:rPr>
      <w:rFonts w:eastAsia="宋体"/>
      <w:spacing w:val="-5"/>
      <w:sz w:val="21"/>
      <w:lang w:bidi="he-IL"/>
    </w:rPr>
  </w:style>
  <w:style w:type="character" w:customStyle="1" w:styleId="876">
    <w:name w:val="消息标题标签"/>
    <w:autoRedefine/>
    <w:qFormat/>
    <w:uiPriority w:val="0"/>
    <w:rPr>
      <w:rFonts w:ascii="Arial Black" w:hAnsi="Arial Black" w:eastAsia="黑体"/>
      <w:b/>
      <w:sz w:val="18"/>
      <w:lang w:eastAsia="zh-CN"/>
    </w:rPr>
  </w:style>
  <w:style w:type="paragraph" w:customStyle="1" w:styleId="877">
    <w:name w:val="文档标签"/>
    <w:basedOn w:val="1"/>
    <w:autoRedefine/>
    <w:qFormat/>
    <w:uiPriority w:val="0"/>
    <w:pPr>
      <w:keepNext/>
      <w:keepLines/>
      <w:widowControl/>
      <w:spacing w:before="400" w:after="120" w:line="240" w:lineRule="atLeast"/>
      <w:jc w:val="left"/>
    </w:pPr>
    <w:rPr>
      <w:rFonts w:ascii="Arial Black" w:hAnsi="Arial Black"/>
      <w:spacing w:val="-100"/>
      <w:kern w:val="28"/>
      <w:sz w:val="108"/>
      <w:szCs w:val="20"/>
      <w:lang w:bidi="he-IL"/>
    </w:rPr>
  </w:style>
  <w:style w:type="character" w:customStyle="1" w:styleId="878">
    <w:name w:val="头 Char Char"/>
    <w:autoRedefine/>
    <w:qFormat/>
    <w:uiPriority w:val="0"/>
    <w:rPr>
      <w:rFonts w:ascii="宋体" w:hAnsi="宋体" w:eastAsia="宋体"/>
      <w:b/>
      <w:bCs/>
      <w:color w:val="0000FF"/>
      <w:sz w:val="28"/>
      <w:lang w:val="en-US" w:eastAsia="zh-CN" w:bidi="ar-SA"/>
    </w:rPr>
  </w:style>
  <w:style w:type="paragraph" w:customStyle="1" w:styleId="879">
    <w:name w:val="7"/>
    <w:basedOn w:val="1"/>
    <w:next w:val="36"/>
    <w:link w:val="1762"/>
    <w:autoRedefine/>
    <w:qFormat/>
    <w:uiPriority w:val="0"/>
    <w:pPr>
      <w:ind w:firstLine="538" w:firstLineChars="192"/>
    </w:pPr>
    <w:rPr>
      <w:rFonts w:ascii="宋体" w:hAnsi="宋体"/>
      <w:sz w:val="28"/>
    </w:rPr>
  </w:style>
  <w:style w:type="character" w:customStyle="1" w:styleId="880">
    <w:name w:val="carboy"/>
    <w:autoRedefine/>
    <w:qFormat/>
    <w:uiPriority w:val="0"/>
  </w:style>
  <w:style w:type="character" w:customStyle="1" w:styleId="881">
    <w:name w:val="12h"/>
    <w:autoRedefine/>
    <w:qFormat/>
    <w:uiPriority w:val="0"/>
  </w:style>
  <w:style w:type="character" w:customStyle="1" w:styleId="882">
    <w:name w:val="unnamed21"/>
    <w:autoRedefine/>
    <w:qFormat/>
    <w:uiPriority w:val="0"/>
    <w:rPr>
      <w:color w:val="000000"/>
    </w:rPr>
  </w:style>
  <w:style w:type="paragraph" w:customStyle="1" w:styleId="883">
    <w:name w:val="说明1"/>
    <w:basedOn w:val="1"/>
    <w:autoRedefine/>
    <w:qFormat/>
    <w:uiPriority w:val="0"/>
    <w:pPr>
      <w:keepLines/>
      <w:widowControl/>
      <w:suppressLineNumbers/>
      <w:suppressAutoHyphens/>
      <w:spacing w:before="60" w:after="60" w:line="320" w:lineRule="atLeast"/>
    </w:pPr>
    <w:rPr>
      <w:kern w:val="21"/>
      <w:szCs w:val="20"/>
    </w:rPr>
  </w:style>
  <w:style w:type="paragraph" w:customStyle="1" w:styleId="884">
    <w:name w:val="p9"/>
    <w:basedOn w:val="1"/>
    <w:autoRedefine/>
    <w:qFormat/>
    <w:uiPriority w:val="0"/>
    <w:pPr>
      <w:widowControl/>
      <w:spacing w:before="100" w:beforeAutospacing="1" w:after="100" w:afterAutospacing="1" w:line="432" w:lineRule="auto"/>
      <w:jc w:val="left"/>
    </w:pPr>
    <w:rPr>
      <w:rFonts w:ascii="ˎ̥" w:hAnsi="ˎ̥" w:cs="宋体"/>
      <w:color w:val="000000"/>
      <w:kern w:val="0"/>
      <w:sz w:val="18"/>
      <w:szCs w:val="18"/>
    </w:rPr>
  </w:style>
  <w:style w:type="paragraph" w:customStyle="1" w:styleId="885">
    <w:name w:val="12"/>
    <w:basedOn w:val="1"/>
    <w:next w:val="46"/>
    <w:autoRedefine/>
    <w:qFormat/>
    <w:uiPriority w:val="0"/>
    <w:pPr>
      <w:widowControl/>
      <w:jc w:val="left"/>
    </w:pPr>
    <w:rPr>
      <w:rFonts w:ascii="Arial" w:hAnsi="Arial" w:eastAsia="Times"/>
      <w:kern w:val="0"/>
      <w:sz w:val="24"/>
      <w:szCs w:val="20"/>
      <w:lang w:eastAsia="en-US"/>
    </w:rPr>
  </w:style>
  <w:style w:type="character" w:customStyle="1" w:styleId="886">
    <w:name w:val="text3"/>
    <w:autoRedefine/>
    <w:qFormat/>
    <w:uiPriority w:val="0"/>
    <w:rPr>
      <w:rFonts w:hint="default" w:ascii="ˎ̥" w:hAnsi="ˎ̥"/>
      <w:color w:val="000000"/>
      <w:sz w:val="12"/>
      <w:szCs w:val="12"/>
    </w:rPr>
  </w:style>
  <w:style w:type="character" w:customStyle="1" w:styleId="887">
    <w:name w:val="正文（首行缩进两字）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sz w:val="24"/>
      <w:lang w:val="en-US" w:eastAsia="zh-CN" w:bidi="ar-SA"/>
    </w:rPr>
  </w:style>
  <w:style w:type="paragraph" w:customStyle="1" w:styleId="888">
    <w:name w:val="11"/>
    <w:basedOn w:val="1"/>
    <w:next w:val="36"/>
    <w:autoRedefine/>
    <w:qFormat/>
    <w:uiPriority w:val="0"/>
    <w:pPr>
      <w:spacing w:line="360" w:lineRule="auto"/>
      <w:ind w:firstLine="500"/>
    </w:pPr>
    <w:rPr>
      <w:rFonts w:ascii="Plotter" w:hAnsi="Plotter"/>
      <w:sz w:val="24"/>
      <w:szCs w:val="20"/>
    </w:rPr>
  </w:style>
  <w:style w:type="paragraph" w:customStyle="1" w:styleId="889">
    <w:name w:val="10"/>
    <w:basedOn w:val="1"/>
    <w:next w:val="2"/>
    <w:autoRedefine/>
    <w:qFormat/>
    <w:uiPriority w:val="0"/>
    <w:pPr>
      <w:spacing w:after="120"/>
    </w:pPr>
  </w:style>
  <w:style w:type="character" w:customStyle="1" w:styleId="890">
    <w:name w:val="font1"/>
    <w:autoRedefine/>
    <w:qFormat/>
    <w:uiPriority w:val="0"/>
    <w:rPr>
      <w:rFonts w:hint="default" w:ascii="GB2312" w:hAnsi="GB2312"/>
      <w:sz w:val="18"/>
      <w:szCs w:val="18"/>
    </w:rPr>
  </w:style>
  <w:style w:type="character" w:customStyle="1" w:styleId="891">
    <w:name w:val="s14zong1"/>
    <w:autoRedefine/>
    <w:qFormat/>
    <w:uiPriority w:val="0"/>
    <w:rPr>
      <w:rFonts w:hint="eastAsia" w:ascii="宋体" w:hAnsi="宋体" w:eastAsia="宋体"/>
      <w:color w:val="663333"/>
      <w:sz w:val="21"/>
      <w:szCs w:val="21"/>
    </w:rPr>
  </w:style>
  <w:style w:type="character" w:customStyle="1" w:styleId="892">
    <w:name w:val="标题 Char Char Char Char Char Char Char Char"/>
    <w:autoRedefine/>
    <w:qFormat/>
    <w:uiPriority w:val="0"/>
    <w:rPr>
      <w:rFonts w:eastAsia="黑体"/>
      <w:kern w:val="2"/>
      <w:sz w:val="32"/>
      <w:szCs w:val="24"/>
      <w:lang w:val="en-US" w:eastAsia="zh-CN" w:bidi="ar-SA"/>
    </w:rPr>
  </w:style>
  <w:style w:type="character" w:customStyle="1" w:styleId="893">
    <w:name w:val="black12px1"/>
    <w:autoRedefine/>
    <w:qFormat/>
    <w:uiPriority w:val="0"/>
    <w:rPr>
      <w:rFonts w:hint="default" w:ascii="ˎ̥" w:hAnsi="ˎ̥"/>
      <w:color w:val="000000"/>
      <w:sz w:val="18"/>
      <w:szCs w:val="18"/>
    </w:rPr>
  </w:style>
  <w:style w:type="paragraph" w:customStyle="1" w:styleId="894">
    <w:name w:val="9"/>
    <w:basedOn w:val="1"/>
    <w:next w:val="2"/>
    <w:autoRedefine/>
    <w:qFormat/>
    <w:uiPriority w:val="0"/>
    <w:rPr>
      <w:sz w:val="28"/>
      <w:szCs w:val="20"/>
    </w:rPr>
  </w:style>
  <w:style w:type="paragraph" w:customStyle="1" w:styleId="895">
    <w:name w:val="8"/>
    <w:basedOn w:val="1"/>
    <w:next w:val="51"/>
    <w:autoRedefine/>
    <w:qFormat/>
    <w:uiPriority w:val="0"/>
    <w:pPr>
      <w:widowControl/>
      <w:spacing w:line="360" w:lineRule="auto"/>
      <w:ind w:firstLine="560"/>
      <w:jc w:val="left"/>
    </w:pPr>
    <w:rPr>
      <w:kern w:val="0"/>
      <w:sz w:val="28"/>
    </w:rPr>
  </w:style>
  <w:style w:type="character" w:customStyle="1" w:styleId="896">
    <w:name w:val="样式 正文 Char"/>
    <w:autoRedefine/>
    <w:qFormat/>
    <w:uiPriority w:val="0"/>
    <w:rPr>
      <w:rFonts w:ascii="宋体" w:hAnsi="宋体" w:eastAsia="宋体" w:cs="宋体"/>
      <w:color w:val="000000"/>
      <w:kern w:val="2"/>
      <w:sz w:val="28"/>
      <w:szCs w:val="28"/>
      <w:lang w:val="en-US" w:eastAsia="zh-CN" w:bidi="ar-SA"/>
    </w:rPr>
  </w:style>
  <w:style w:type="paragraph" w:customStyle="1" w:styleId="897">
    <w:name w:val="样式 标题1"/>
    <w:basedOn w:val="846"/>
    <w:autoRedefine/>
    <w:qFormat/>
    <w:uiPriority w:val="0"/>
    <w:pPr>
      <w:tabs>
        <w:tab w:val="left" w:pos="0"/>
      </w:tabs>
      <w:ind w:firstLine="0" w:firstLineChars="0"/>
      <w:outlineLvl w:val="0"/>
    </w:pPr>
    <w:rPr>
      <w:b/>
    </w:rPr>
  </w:style>
  <w:style w:type="paragraph" w:customStyle="1" w:styleId="898">
    <w:name w:val="样式 标题2"/>
    <w:basedOn w:val="846"/>
    <w:autoRedefine/>
    <w:qFormat/>
    <w:uiPriority w:val="0"/>
    <w:pPr>
      <w:tabs>
        <w:tab w:val="left" w:pos="0"/>
      </w:tabs>
      <w:ind w:firstLine="0" w:firstLineChars="0"/>
      <w:outlineLvl w:val="1"/>
    </w:pPr>
    <w:rPr>
      <w:b/>
    </w:rPr>
  </w:style>
  <w:style w:type="paragraph" w:customStyle="1" w:styleId="899">
    <w:name w:val="样式 标题3"/>
    <w:basedOn w:val="846"/>
    <w:autoRedefine/>
    <w:qFormat/>
    <w:uiPriority w:val="0"/>
    <w:pPr>
      <w:tabs>
        <w:tab w:val="left" w:pos="0"/>
      </w:tabs>
      <w:ind w:firstLine="0" w:firstLineChars="0"/>
      <w:outlineLvl w:val="2"/>
    </w:pPr>
    <w:rPr>
      <w:b/>
    </w:rPr>
  </w:style>
  <w:style w:type="paragraph" w:customStyle="1" w:styleId="900">
    <w:name w:val="样式 标题4"/>
    <w:basedOn w:val="846"/>
    <w:autoRedefine/>
    <w:qFormat/>
    <w:uiPriority w:val="0"/>
    <w:pPr>
      <w:tabs>
        <w:tab w:val="left" w:pos="0"/>
      </w:tabs>
      <w:ind w:firstLine="0" w:firstLineChars="0"/>
      <w:outlineLvl w:val="3"/>
    </w:pPr>
    <w:rPr>
      <w:rFonts w:hAnsi="Times New Roman"/>
    </w:rPr>
  </w:style>
  <w:style w:type="paragraph" w:customStyle="1" w:styleId="901">
    <w:name w:val="10 Char Char Char Char Char Char Char"/>
    <w:basedOn w:val="1"/>
    <w:autoRedefine/>
    <w:qFormat/>
    <w:uiPriority w:val="0"/>
    <w:rPr>
      <w:szCs w:val="21"/>
    </w:rPr>
  </w:style>
  <w:style w:type="paragraph" w:customStyle="1" w:styleId="902">
    <w:name w:val="样式 表格文字"/>
    <w:basedOn w:val="846"/>
    <w:autoRedefine/>
    <w:qFormat/>
    <w:uiPriority w:val="0"/>
    <w:pPr>
      <w:spacing w:beforeLines="25" w:afterLines="25" w:line="240" w:lineRule="auto"/>
      <w:ind w:firstLine="0" w:firstLineChars="0"/>
    </w:pPr>
    <w:rPr>
      <w:sz w:val="24"/>
      <w:szCs w:val="24"/>
    </w:rPr>
  </w:style>
  <w:style w:type="paragraph" w:customStyle="1" w:styleId="903">
    <w:name w:val="样式 表格文字 Char + 段前: 0.5 行"/>
    <w:basedOn w:val="1"/>
    <w:autoRedefine/>
    <w:qFormat/>
    <w:uiPriority w:val="0"/>
    <w:pPr>
      <w:spacing w:beforeLines="50"/>
      <w:jc w:val="center"/>
    </w:pPr>
    <w:rPr>
      <w:sz w:val="24"/>
      <w:szCs w:val="20"/>
    </w:rPr>
  </w:style>
  <w:style w:type="paragraph" w:customStyle="1" w:styleId="904">
    <w:name w:val="Char9"/>
    <w:basedOn w:val="1"/>
    <w:autoRedefine/>
    <w:qFormat/>
    <w:uiPriority w:val="0"/>
    <w:rPr>
      <w:szCs w:val="21"/>
    </w:rPr>
  </w:style>
  <w:style w:type="character" w:customStyle="1" w:styleId="905">
    <w:name w:val="style21"/>
    <w:autoRedefine/>
    <w:qFormat/>
    <w:uiPriority w:val="0"/>
    <w:rPr>
      <w:b/>
      <w:color w:val="993300"/>
      <w:sz w:val="27"/>
    </w:rPr>
  </w:style>
  <w:style w:type="paragraph" w:customStyle="1" w:styleId="906">
    <w:name w:val="样式 样式 标题3 + 小四"/>
    <w:basedOn w:val="899"/>
    <w:autoRedefine/>
    <w:qFormat/>
    <w:uiPriority w:val="0"/>
    <w:pPr>
      <w:tabs>
        <w:tab w:val="left" w:pos="1418"/>
        <w:tab w:val="clear" w:pos="0"/>
      </w:tabs>
      <w:ind w:left="1418" w:hanging="567"/>
    </w:pPr>
    <w:rPr>
      <w:bCs/>
      <w:sz w:val="24"/>
    </w:rPr>
  </w:style>
  <w:style w:type="character" w:customStyle="1" w:styleId="907">
    <w:name w:val="正文文字缩进 2 Char Char"/>
    <w:autoRedefine/>
    <w:qFormat/>
    <w:uiPriority w:val="0"/>
    <w:rPr>
      <w:rFonts w:eastAsia="宋体"/>
      <w:sz w:val="28"/>
      <w:szCs w:val="24"/>
      <w:lang w:val="en-US" w:eastAsia="zh-CN" w:bidi="ar-SA"/>
    </w:rPr>
  </w:style>
  <w:style w:type="character" w:customStyle="1" w:styleId="908">
    <w:name w:val="XYF1 Char"/>
    <w:autoRedefine/>
    <w:qFormat/>
    <w:uiPriority w:val="0"/>
    <w:rPr>
      <w:kern w:val="2"/>
      <w:sz w:val="24"/>
      <w:szCs w:val="24"/>
    </w:rPr>
  </w:style>
  <w:style w:type="paragraph" w:customStyle="1" w:styleId="909">
    <w:name w:val="样式15"/>
    <w:basedOn w:val="1"/>
    <w:autoRedefine/>
    <w:qFormat/>
    <w:uiPriority w:val="0"/>
    <w:pPr>
      <w:shd w:val="clear" w:color="auto" w:fill="FFFFFF"/>
      <w:adjustRightInd w:val="0"/>
      <w:jc w:val="center"/>
      <w:textAlignment w:val="baseline"/>
    </w:pPr>
    <w:rPr>
      <w:rFonts w:ascii="仿宋_GB2312" w:hAnsi="宋体" w:eastAsia="仿宋_GB2312"/>
      <w:sz w:val="24"/>
    </w:rPr>
  </w:style>
  <w:style w:type="character" w:customStyle="1" w:styleId="910">
    <w:name w:val="1) Char"/>
    <w:autoRedefine/>
    <w:qFormat/>
    <w:uiPriority w:val="0"/>
    <w:rPr>
      <w:rFonts w:ascii="仿宋_GB2312" w:hAnsi="宋体" w:eastAsia="仿宋_GB2312" w:cs="宋体"/>
      <w:color w:val="FF0000"/>
      <w:sz w:val="28"/>
      <w:szCs w:val="24"/>
    </w:rPr>
  </w:style>
  <w:style w:type="character" w:customStyle="1" w:styleId="911">
    <w:name w:val="无节 Char"/>
    <w:autoRedefine/>
    <w:qFormat/>
    <w:uiPriority w:val="0"/>
    <w:rPr>
      <w:rFonts w:ascii="Arial" w:hAnsi="Arial" w:eastAsia="黑体"/>
      <w:b/>
      <w:bCs/>
      <w:sz w:val="24"/>
      <w:szCs w:val="24"/>
    </w:rPr>
  </w:style>
  <w:style w:type="character" w:customStyle="1" w:styleId="912">
    <w:name w:val="无节款 Char"/>
    <w:autoRedefine/>
    <w:qFormat/>
    <w:uiPriority w:val="0"/>
    <w:rPr>
      <w:rFonts w:ascii="Arial" w:hAnsi="Arial" w:eastAsia="黑体"/>
      <w:sz w:val="24"/>
      <w:szCs w:val="24"/>
    </w:rPr>
  </w:style>
  <w:style w:type="character" w:customStyle="1" w:styleId="913">
    <w:name w:val="h9 Char"/>
    <w:autoRedefine/>
    <w:qFormat/>
    <w:uiPriority w:val="0"/>
    <w:rPr>
      <w:rFonts w:ascii="Arial" w:hAnsi="Arial" w:eastAsia="黑体"/>
      <w:sz w:val="21"/>
      <w:szCs w:val="21"/>
    </w:rPr>
  </w:style>
  <w:style w:type="character" w:customStyle="1" w:styleId="914">
    <w:name w:val="标题周 Char"/>
    <w:autoRedefine/>
    <w:qFormat/>
    <w:uiPriority w:val="0"/>
    <w:rPr>
      <w:rFonts w:ascii="Arial" w:hAnsi="Arial" w:eastAsia="黑体" w:cs="Arial"/>
      <w:b/>
      <w:bCs/>
      <w:sz w:val="32"/>
      <w:szCs w:val="32"/>
      <w:lang w:val="en-US" w:eastAsia="zh-CN" w:bidi="ar-SA"/>
    </w:rPr>
  </w:style>
  <w:style w:type="paragraph" w:customStyle="1" w:styleId="915">
    <w:name w:val="Char Char Char Char Char Char Char Char Char1 Char Char Char Char1"/>
    <w:basedOn w:val="1"/>
    <w:autoRedefine/>
    <w:qFormat/>
    <w:uiPriority w:val="0"/>
    <w:pPr>
      <w:widowControl/>
      <w:jc w:val="left"/>
    </w:pPr>
    <w:rPr>
      <w:rFonts w:ascii="宋体" w:hAnsi="宋体" w:cs="宋体"/>
      <w:kern w:val="0"/>
      <w:sz w:val="24"/>
      <w:szCs w:val="21"/>
    </w:rPr>
  </w:style>
  <w:style w:type="character" w:customStyle="1" w:styleId="916">
    <w:name w:val="Char Char22"/>
    <w:autoRedefine/>
    <w:qFormat/>
    <w:uiPriority w:val="0"/>
    <w:rPr>
      <w:rFonts w:ascii="Arial" w:hAnsi="Arial" w:eastAsia="楷体_GB2312" w:cs="Arial"/>
      <w:b/>
      <w:sz w:val="24"/>
      <w:lang w:val="en-US" w:eastAsia="zh-CN" w:bidi="ar-SA"/>
    </w:rPr>
  </w:style>
  <w:style w:type="paragraph" w:customStyle="1" w:styleId="917">
    <w:name w:val="Char1 Char Char Char Char Char1 Char2"/>
    <w:basedOn w:val="1"/>
    <w:autoRedefine/>
    <w:qFormat/>
    <w:uiPriority w:val="0"/>
    <w:rPr>
      <w:szCs w:val="21"/>
    </w:rPr>
  </w:style>
  <w:style w:type="character" w:customStyle="1" w:styleId="918">
    <w:name w:val="Char Char62"/>
    <w:autoRedefine/>
    <w:qFormat/>
    <w:uiPriority w:val="0"/>
    <w:rPr>
      <w:rFonts w:eastAsia="宋体"/>
      <w:kern w:val="2"/>
      <w:sz w:val="24"/>
      <w:lang w:val="en-US" w:eastAsia="zh-CN" w:bidi="ar-SA"/>
    </w:rPr>
  </w:style>
  <w:style w:type="paragraph" w:customStyle="1" w:styleId="919">
    <w:name w:val="Char Char Char Char Char Char1"/>
    <w:basedOn w:val="1"/>
    <w:autoRedefine/>
    <w:qFormat/>
    <w:uiPriority w:val="0"/>
    <w:rPr>
      <w:rFonts w:ascii="宋体" w:hAnsi="宋体"/>
      <w:sz w:val="24"/>
    </w:rPr>
  </w:style>
  <w:style w:type="paragraph" w:customStyle="1" w:styleId="920">
    <w:name w:val="Char Char Char Char Char Char Char Char Char1 Char Char Char Char Char Char Char Char1 Char Char Char3"/>
    <w:basedOn w:val="1"/>
    <w:autoRedefine/>
    <w:qFormat/>
    <w:uiPriority w:val="0"/>
    <w:pPr>
      <w:snapToGrid w:val="0"/>
      <w:spacing w:line="360" w:lineRule="auto"/>
      <w:ind w:firstLine="200" w:firstLineChars="200"/>
    </w:pPr>
    <w:rPr>
      <w:rFonts w:eastAsia="仿宋_GB2312"/>
      <w:sz w:val="24"/>
    </w:rPr>
  </w:style>
  <w:style w:type="character" w:customStyle="1" w:styleId="921">
    <w:name w:val="Char Char72"/>
    <w:autoRedefine/>
    <w:qFormat/>
    <w:uiPriority w:val="0"/>
    <w:rPr>
      <w:rFonts w:eastAsia="宋体"/>
      <w:kern w:val="2"/>
      <w:sz w:val="21"/>
      <w:szCs w:val="24"/>
      <w:lang w:val="en-US" w:eastAsia="zh-CN" w:bidi="ar-SA"/>
    </w:rPr>
  </w:style>
  <w:style w:type="character" w:customStyle="1" w:styleId="922">
    <w:name w:val="Char Char102"/>
    <w:autoRedefine/>
    <w:qFormat/>
    <w:uiPriority w:val="0"/>
    <w:rPr>
      <w:rFonts w:eastAsia="宋体"/>
      <w:kern w:val="2"/>
      <w:sz w:val="21"/>
      <w:szCs w:val="24"/>
      <w:lang w:val="en-US" w:eastAsia="zh-CN" w:bidi="ar-SA"/>
    </w:rPr>
  </w:style>
  <w:style w:type="character" w:customStyle="1" w:styleId="923">
    <w:name w:val="Char Char52"/>
    <w:autoRedefine/>
    <w:qFormat/>
    <w:uiPriority w:val="0"/>
    <w:rPr>
      <w:rFonts w:ascii="宋体" w:hAnsi="Courier New" w:eastAsia="宋体"/>
      <w:kern w:val="2"/>
      <w:sz w:val="21"/>
      <w:lang w:val="en-US" w:eastAsia="zh-CN" w:bidi="ar-SA"/>
    </w:rPr>
  </w:style>
  <w:style w:type="character" w:customStyle="1" w:styleId="924">
    <w:name w:val="Char Char182"/>
    <w:autoRedefine/>
    <w:qFormat/>
    <w:uiPriority w:val="0"/>
    <w:rPr>
      <w:rFonts w:ascii="宋体" w:hAnsi="宋体" w:eastAsia="宋体" w:cs="Times New Roman"/>
      <w:color w:val="800000"/>
      <w:kern w:val="0"/>
      <w:sz w:val="28"/>
      <w:szCs w:val="20"/>
    </w:rPr>
  </w:style>
  <w:style w:type="character" w:customStyle="1" w:styleId="925">
    <w:name w:val="Char Char Char1 Char Char2"/>
    <w:autoRedefine/>
    <w:qFormat/>
    <w:uiPriority w:val="0"/>
    <w:rPr>
      <w:rFonts w:ascii="Times New Roman" w:hAnsi="Times New Roman" w:eastAsia="宋体" w:cs="Times New Roman"/>
      <w:kern w:val="0"/>
      <w:sz w:val="18"/>
      <w:szCs w:val="18"/>
    </w:rPr>
  </w:style>
  <w:style w:type="character" w:customStyle="1" w:styleId="926">
    <w:name w:val="Char Char112"/>
    <w:autoRedefine/>
    <w:qFormat/>
    <w:uiPriority w:val="0"/>
    <w:rPr>
      <w:rFonts w:ascii="Times New Roman" w:hAnsi="Times New Roman" w:eastAsia="宋体" w:cs="Times New Roman"/>
      <w:kern w:val="0"/>
      <w:sz w:val="24"/>
      <w:szCs w:val="24"/>
    </w:rPr>
  </w:style>
  <w:style w:type="character" w:customStyle="1" w:styleId="927">
    <w:name w:val="标题 1 Char Char Char Char Char Char Char Char Char Char Char Char Char Char Char Char Char Char Char Char Char Char Char Char Char Char Char Char Char Char Char Char Char Char Char Char Char Char Char Char Char Char Char Char Char Char Char Char Char2"/>
    <w:autoRedefine/>
    <w:qFormat/>
    <w:uiPriority w:val="0"/>
    <w:rPr>
      <w:rFonts w:ascii="黑体" w:hAnsi="Arial Unicode MS" w:eastAsia="黑体"/>
      <w:kern w:val="44"/>
      <w:sz w:val="28"/>
      <w:szCs w:val="28"/>
      <w:lang w:val="en-US" w:eastAsia="zh-CN" w:bidi="ar-SA"/>
    </w:rPr>
  </w:style>
  <w:style w:type="paragraph" w:customStyle="1" w:styleId="928">
    <w:name w:val="正文22"/>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929">
    <w:name w:val="Char92"/>
    <w:basedOn w:val="1"/>
    <w:autoRedefine/>
    <w:qFormat/>
    <w:uiPriority w:val="0"/>
    <w:rPr>
      <w:szCs w:val="21"/>
    </w:rPr>
  </w:style>
  <w:style w:type="character" w:customStyle="1" w:styleId="930">
    <w:name w:val="headline-content2"/>
    <w:autoRedefine/>
    <w:qFormat/>
    <w:uiPriority w:val="0"/>
  </w:style>
  <w:style w:type="character" w:customStyle="1" w:styleId="931">
    <w:name w:val="正文文字 Char2"/>
    <w:autoRedefine/>
    <w:qFormat/>
    <w:uiPriority w:val="0"/>
    <w:rPr>
      <w:rFonts w:ascii="宋体" w:hAnsi="宋体" w:eastAsia="宋体" w:cs="宋体"/>
      <w:spacing w:val="6"/>
      <w:sz w:val="24"/>
      <w:lang w:val="en-US" w:eastAsia="zh-CN" w:bidi="ar-SA"/>
    </w:rPr>
  </w:style>
  <w:style w:type="character" w:customStyle="1" w:styleId="932">
    <w:name w:val="标题周 Char1"/>
    <w:autoRedefine/>
    <w:qFormat/>
    <w:uiPriority w:val="0"/>
    <w:rPr>
      <w:rFonts w:ascii="Arial" w:hAnsi="Arial" w:eastAsia="黑体" w:cs="Arial"/>
      <w:b/>
      <w:bCs/>
      <w:sz w:val="32"/>
      <w:szCs w:val="32"/>
      <w:lang w:val="en-US" w:eastAsia="zh-CN" w:bidi="ar-SA"/>
    </w:rPr>
  </w:style>
  <w:style w:type="character" w:customStyle="1" w:styleId="933">
    <w:name w:val="1) Char1"/>
    <w:autoRedefine/>
    <w:qFormat/>
    <w:uiPriority w:val="0"/>
    <w:rPr>
      <w:rFonts w:ascii="仿宋_GB2312" w:hAnsi="宋体" w:eastAsia="仿宋_GB2312" w:cs="宋体"/>
      <w:color w:val="FF0000"/>
      <w:sz w:val="28"/>
      <w:szCs w:val="24"/>
      <w:lang w:val="en-US" w:eastAsia="zh-CN" w:bidi="ar-SA"/>
    </w:rPr>
  </w:style>
  <w:style w:type="character" w:customStyle="1" w:styleId="934">
    <w:name w:val="无节 Char1"/>
    <w:autoRedefine/>
    <w:qFormat/>
    <w:uiPriority w:val="0"/>
    <w:rPr>
      <w:rFonts w:ascii="Arial" w:hAnsi="Arial" w:eastAsia="黑体"/>
      <w:b/>
      <w:bCs/>
      <w:sz w:val="24"/>
      <w:szCs w:val="24"/>
      <w:lang w:val="en-US" w:eastAsia="zh-CN" w:bidi="ar-SA"/>
    </w:rPr>
  </w:style>
  <w:style w:type="character" w:customStyle="1" w:styleId="935">
    <w:name w:val="无节款 Char1"/>
    <w:autoRedefine/>
    <w:qFormat/>
    <w:uiPriority w:val="0"/>
    <w:rPr>
      <w:rFonts w:ascii="Arial" w:hAnsi="Arial" w:eastAsia="黑体"/>
      <w:sz w:val="24"/>
      <w:szCs w:val="24"/>
      <w:lang w:val="en-US" w:eastAsia="zh-CN" w:bidi="ar-SA"/>
    </w:rPr>
  </w:style>
  <w:style w:type="character" w:customStyle="1" w:styleId="936">
    <w:name w:val="h9 Char1"/>
    <w:autoRedefine/>
    <w:qFormat/>
    <w:uiPriority w:val="0"/>
    <w:rPr>
      <w:rFonts w:ascii="Arial" w:hAnsi="Arial" w:eastAsia="黑体"/>
      <w:sz w:val="21"/>
      <w:szCs w:val="21"/>
      <w:lang w:val="en-US" w:eastAsia="zh-CN" w:bidi="ar-SA"/>
    </w:rPr>
  </w:style>
  <w:style w:type="character" w:customStyle="1" w:styleId="937">
    <w:name w:val="环评正文文字缩进（江东模板） Char2"/>
    <w:autoRedefine/>
    <w:qFormat/>
    <w:uiPriority w:val="0"/>
    <w:rPr>
      <w:rFonts w:ascii="宋体" w:hAnsi="宋体" w:eastAsia="仿宋_GB2312" w:cs="宋体"/>
      <w:sz w:val="24"/>
      <w:lang w:val="en-US" w:eastAsia="zh-CN" w:bidi="ar-SA"/>
    </w:rPr>
  </w:style>
  <w:style w:type="paragraph" w:customStyle="1" w:styleId="938">
    <w:name w:val="font14"/>
    <w:basedOn w:val="1"/>
    <w:autoRedefine/>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paragraph" w:customStyle="1" w:styleId="939">
    <w:name w:val="zw"/>
    <w:basedOn w:val="1"/>
    <w:autoRedefine/>
    <w:qFormat/>
    <w:uiPriority w:val="0"/>
    <w:pPr>
      <w:widowControl/>
      <w:spacing w:before="100" w:beforeAutospacing="1" w:after="100" w:afterAutospacing="1" w:line="440" w:lineRule="atLeast"/>
      <w:jc w:val="left"/>
    </w:pPr>
    <w:rPr>
      <w:rFonts w:ascii="宋体" w:hAnsi="宋体" w:cs="宋体"/>
      <w:kern w:val="0"/>
      <w:sz w:val="22"/>
      <w:szCs w:val="22"/>
    </w:rPr>
  </w:style>
  <w:style w:type="paragraph" w:customStyle="1" w:styleId="940">
    <w:name w:val="TOC 标题1"/>
    <w:basedOn w:val="5"/>
    <w:next w:val="1"/>
    <w:autoRedefine/>
    <w:unhideWhenUsed/>
    <w:qFormat/>
    <w:uiPriority w:val="0"/>
    <w:pPr>
      <w:keepLines/>
      <w:tabs>
        <w:tab w:val="left" w:pos="360"/>
      </w:tabs>
      <w:overflowPunct/>
      <w:snapToGrid/>
      <w:spacing w:before="340" w:after="330" w:line="578" w:lineRule="auto"/>
      <w:ind w:left="357" w:firstLine="0"/>
      <w:outlineLvl w:val="9"/>
    </w:pPr>
    <w:rPr>
      <w:rFonts w:eastAsia="宋体"/>
      <w:color w:val="auto"/>
      <w:sz w:val="44"/>
      <w:szCs w:val="44"/>
    </w:rPr>
  </w:style>
  <w:style w:type="character" w:customStyle="1" w:styleId="941">
    <w:name w:val="value"/>
    <w:autoRedefine/>
    <w:qFormat/>
    <w:uiPriority w:val="0"/>
  </w:style>
  <w:style w:type="character" w:customStyle="1" w:styleId="942">
    <w:name w:val="Char Char4"/>
    <w:autoRedefine/>
    <w:qFormat/>
    <w:uiPriority w:val="0"/>
    <w:rPr>
      <w:kern w:val="2"/>
      <w:sz w:val="18"/>
      <w:szCs w:val="18"/>
    </w:rPr>
  </w:style>
  <w:style w:type="paragraph" w:customStyle="1" w:styleId="943">
    <w:name w:val="font15"/>
    <w:basedOn w:val="1"/>
    <w:autoRedefine/>
    <w:qFormat/>
    <w:uiPriority w:val="0"/>
    <w:pPr>
      <w:widowControl/>
      <w:spacing w:before="100" w:beforeAutospacing="1" w:after="100" w:afterAutospacing="1"/>
      <w:jc w:val="left"/>
    </w:pPr>
    <w:rPr>
      <w:b/>
      <w:bCs/>
      <w:color w:val="000000"/>
      <w:kern w:val="0"/>
      <w:sz w:val="20"/>
      <w:szCs w:val="20"/>
    </w:rPr>
  </w:style>
  <w:style w:type="character" w:customStyle="1" w:styleId="944">
    <w:name w:val="图表文字 Char Char"/>
    <w:autoRedefine/>
    <w:qFormat/>
    <w:uiPriority w:val="0"/>
    <w:rPr>
      <w:rFonts w:ascii="仿宋_GB2312" w:hAnsi="宋体" w:eastAsia="仿宋_GB2312" w:cs="宋体"/>
      <w:kern w:val="0"/>
      <w:sz w:val="24"/>
      <w:szCs w:val="24"/>
    </w:rPr>
  </w:style>
  <w:style w:type="paragraph" w:customStyle="1" w:styleId="945">
    <w:name w:val="报告样式4"/>
    <w:basedOn w:val="8"/>
    <w:autoRedefine/>
    <w:qFormat/>
    <w:uiPriority w:val="0"/>
    <w:rPr>
      <w:kern w:val="0"/>
      <w:sz w:val="20"/>
      <w:lang w:val="zh-CN"/>
    </w:rPr>
  </w:style>
  <w:style w:type="character" w:customStyle="1" w:styleId="946">
    <w:name w:val="headline-content"/>
    <w:autoRedefine/>
    <w:qFormat/>
    <w:uiPriority w:val="0"/>
  </w:style>
  <w:style w:type="paragraph" w:customStyle="1" w:styleId="947">
    <w:name w:val="列出段落11"/>
    <w:basedOn w:val="1"/>
    <w:autoRedefine/>
    <w:qFormat/>
    <w:uiPriority w:val="0"/>
    <w:pPr>
      <w:ind w:firstLine="420" w:firstLineChars="200"/>
    </w:pPr>
    <w:rPr>
      <w:szCs w:val="20"/>
    </w:rPr>
  </w:style>
  <w:style w:type="character" w:customStyle="1" w:styleId="948">
    <w:name w:val="TBT Char"/>
    <w:link w:val="949"/>
    <w:autoRedefine/>
    <w:qFormat/>
    <w:uiPriority w:val="0"/>
    <w:rPr>
      <w:b/>
      <w:kern w:val="2"/>
      <w:sz w:val="24"/>
      <w:szCs w:val="24"/>
    </w:rPr>
  </w:style>
  <w:style w:type="paragraph" w:customStyle="1" w:styleId="949">
    <w:name w:val="TBT"/>
    <w:basedOn w:val="1"/>
    <w:link w:val="948"/>
    <w:autoRedefine/>
    <w:qFormat/>
    <w:uiPriority w:val="0"/>
    <w:pPr>
      <w:spacing w:line="500" w:lineRule="exact"/>
      <w:ind w:firstLine="482" w:firstLineChars="200"/>
      <w:jc w:val="center"/>
    </w:pPr>
    <w:rPr>
      <w:b/>
      <w:sz w:val="24"/>
    </w:rPr>
  </w:style>
  <w:style w:type="character" w:customStyle="1" w:styleId="950">
    <w:name w:val="ZW Char"/>
    <w:link w:val="951"/>
    <w:autoRedefine/>
    <w:qFormat/>
    <w:uiPriority w:val="0"/>
    <w:rPr>
      <w:rFonts w:cs="宋体"/>
      <w:kern w:val="2"/>
      <w:sz w:val="24"/>
      <w:szCs w:val="24"/>
    </w:rPr>
  </w:style>
  <w:style w:type="paragraph" w:customStyle="1" w:styleId="951">
    <w:name w:val="ZW"/>
    <w:basedOn w:val="1"/>
    <w:link w:val="950"/>
    <w:autoRedefine/>
    <w:qFormat/>
    <w:uiPriority w:val="0"/>
    <w:pPr>
      <w:spacing w:line="500" w:lineRule="exact"/>
      <w:ind w:firstLine="480" w:firstLineChars="200"/>
    </w:pPr>
    <w:rPr>
      <w:rFonts w:cs="宋体"/>
      <w:sz w:val="24"/>
    </w:rPr>
  </w:style>
  <w:style w:type="character" w:customStyle="1" w:styleId="952">
    <w:name w:val="TB Char"/>
    <w:link w:val="953"/>
    <w:autoRedefine/>
    <w:qFormat/>
    <w:uiPriority w:val="0"/>
    <w:rPr>
      <w:kern w:val="2"/>
      <w:sz w:val="21"/>
      <w:szCs w:val="21"/>
    </w:rPr>
  </w:style>
  <w:style w:type="paragraph" w:customStyle="1" w:styleId="953">
    <w:name w:val="TB"/>
    <w:basedOn w:val="1"/>
    <w:link w:val="952"/>
    <w:autoRedefine/>
    <w:qFormat/>
    <w:uiPriority w:val="0"/>
    <w:pPr>
      <w:adjustRightInd w:val="0"/>
      <w:snapToGrid w:val="0"/>
      <w:spacing w:line="240" w:lineRule="exact"/>
      <w:jc w:val="center"/>
    </w:pPr>
    <w:rPr>
      <w:szCs w:val="21"/>
    </w:rPr>
  </w:style>
  <w:style w:type="paragraph" w:customStyle="1" w:styleId="954">
    <w:name w:val="标题 41"/>
    <w:basedOn w:val="1"/>
    <w:autoRedefine/>
    <w:qFormat/>
    <w:uiPriority w:val="0"/>
    <w:pPr>
      <w:spacing w:line="500" w:lineRule="exact"/>
      <w:jc w:val="left"/>
    </w:pPr>
    <w:rPr>
      <w:rFonts w:ascii="仿宋_GB2312" w:hAnsi="仿宋_GB2312" w:eastAsia="仿宋_GB2312"/>
      <w:sz w:val="28"/>
      <w:szCs w:val="21"/>
    </w:rPr>
  </w:style>
  <w:style w:type="table" w:customStyle="1" w:styleId="955">
    <w:name w:val="图表样式-HX"/>
    <w:basedOn w:val="87"/>
    <w:autoRedefine/>
    <w:qFormat/>
    <w:uiPriority w:val="99"/>
    <w:rPr>
      <w:rFonts w:ascii="仿宋_GB2312" w:eastAsia="仿宋_GB2312"/>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vAlign w:val="center"/>
    </w:tcPr>
  </w:style>
  <w:style w:type="paragraph" w:customStyle="1" w:styleId="956">
    <w:name w:val="附件表格文字"/>
    <w:basedOn w:val="1"/>
    <w:autoRedefine/>
    <w:qFormat/>
    <w:uiPriority w:val="0"/>
    <w:pPr>
      <w:jc w:val="center"/>
    </w:pPr>
    <w:rPr>
      <w:rFonts w:ascii="仿宋_GB2312" w:hAnsi="Arial" w:eastAsia="仿宋_GB2312" w:cs="Arial"/>
      <w:sz w:val="28"/>
      <w:szCs w:val="28"/>
    </w:rPr>
  </w:style>
  <w:style w:type="table" w:customStyle="1" w:styleId="957">
    <w:name w:val="灰度表格122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58">
    <w:name w:val="9 Char Char Char7 Char"/>
    <w:basedOn w:val="1"/>
    <w:autoRedefine/>
    <w:qFormat/>
    <w:uiPriority w:val="0"/>
    <w:pPr>
      <w:spacing w:line="240" w:lineRule="exact"/>
      <w:ind w:firstLine="200" w:firstLineChars="200"/>
    </w:pPr>
    <w:rPr>
      <w:sz w:val="28"/>
      <w:szCs w:val="28"/>
    </w:rPr>
  </w:style>
  <w:style w:type="paragraph" w:customStyle="1" w:styleId="959">
    <w:name w:val="样式 标题4 + (中文) 宋体"/>
    <w:basedOn w:val="8"/>
    <w:next w:val="2"/>
    <w:link w:val="960"/>
    <w:autoRedefine/>
    <w:qFormat/>
    <w:uiPriority w:val="0"/>
    <w:rPr>
      <w:kern w:val="0"/>
      <w:sz w:val="20"/>
      <w:lang w:val="zh-CN"/>
    </w:rPr>
  </w:style>
  <w:style w:type="character" w:customStyle="1" w:styleId="960">
    <w:name w:val="样式 标题4 + (中文) 宋体 Char"/>
    <w:link w:val="959"/>
    <w:autoRedefine/>
    <w:qFormat/>
    <w:uiPriority w:val="0"/>
    <w:rPr>
      <w:lang w:val="zh-CN" w:eastAsia="zh-CN"/>
    </w:rPr>
  </w:style>
  <w:style w:type="character" w:customStyle="1" w:styleId="961">
    <w:name w:val="表格 Char Char Char"/>
    <w:autoRedefine/>
    <w:qFormat/>
    <w:uiPriority w:val="0"/>
    <w:rPr>
      <w:rFonts w:ascii="楷体_GB2312" w:hAnsi="楷体_GB2312" w:eastAsia="楷体_GB2312" w:cs="宋体"/>
      <w:b/>
      <w:sz w:val="21"/>
      <w:szCs w:val="24"/>
      <w:lang w:val="en-US" w:eastAsia="zh-CN" w:bidi="ar-SA"/>
    </w:rPr>
  </w:style>
  <w:style w:type="paragraph" w:customStyle="1" w:styleId="962">
    <w:name w:val="Char2 Char Char Char Char Char Char"/>
    <w:basedOn w:val="1"/>
    <w:autoRedefine/>
    <w:qFormat/>
    <w:uiPriority w:val="0"/>
    <w:rPr>
      <w:sz w:val="24"/>
    </w:rPr>
  </w:style>
  <w:style w:type="paragraph" w:customStyle="1" w:styleId="963">
    <w:name w:val="其他发布部门"/>
    <w:basedOn w:val="1"/>
    <w:autoRedefine/>
    <w:qFormat/>
    <w:uiPriority w:val="0"/>
    <w:pPr>
      <w:widowControl/>
      <w:spacing w:line="0" w:lineRule="atLeast"/>
      <w:jc w:val="center"/>
    </w:pPr>
    <w:rPr>
      <w:rFonts w:ascii="黑体" w:eastAsia="黑体"/>
      <w:spacing w:val="20"/>
      <w:w w:val="135"/>
      <w:kern w:val="0"/>
      <w:sz w:val="28"/>
      <w:szCs w:val="20"/>
    </w:rPr>
  </w:style>
  <w:style w:type="character" w:customStyle="1" w:styleId="964">
    <w:name w:val="图内文字－小五 Char Char"/>
    <w:link w:val="965"/>
    <w:autoRedefine/>
    <w:qFormat/>
    <w:uiPriority w:val="0"/>
    <w:rPr>
      <w:kern w:val="2"/>
      <w:sz w:val="18"/>
    </w:rPr>
  </w:style>
  <w:style w:type="paragraph" w:customStyle="1" w:styleId="965">
    <w:name w:val="图内文字－小五"/>
    <w:basedOn w:val="1"/>
    <w:link w:val="964"/>
    <w:autoRedefine/>
    <w:qFormat/>
    <w:uiPriority w:val="0"/>
    <w:pPr>
      <w:spacing w:line="240" w:lineRule="exact"/>
    </w:pPr>
    <w:rPr>
      <w:sz w:val="18"/>
      <w:szCs w:val="20"/>
    </w:rPr>
  </w:style>
  <w:style w:type="table" w:customStyle="1" w:styleId="966">
    <w:name w:val="黄桥表3"/>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7">
    <w:name w:val="灰度表格1222"/>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paragraph" w:customStyle="1" w:styleId="968">
    <w:name w:val="Char Char1 Char Char Char1 Char"/>
    <w:basedOn w:val="1"/>
    <w:autoRedefine/>
    <w:qFormat/>
    <w:uiPriority w:val="0"/>
    <w:pPr>
      <w:adjustRightInd w:val="0"/>
      <w:spacing w:line="360" w:lineRule="auto"/>
    </w:pPr>
    <w:rPr>
      <w:kern w:val="0"/>
      <w:sz w:val="24"/>
      <w:szCs w:val="20"/>
    </w:rPr>
  </w:style>
  <w:style w:type="character" w:customStyle="1" w:styleId="969">
    <w:name w:val="正文01 Char"/>
    <w:link w:val="304"/>
    <w:autoRedefine/>
    <w:qFormat/>
    <w:locked/>
    <w:uiPriority w:val="0"/>
    <w:rPr>
      <w:rFonts w:ascii="Arial" w:hAnsi="Arial"/>
      <w:sz w:val="24"/>
      <w:szCs w:val="24"/>
    </w:rPr>
  </w:style>
  <w:style w:type="paragraph" w:customStyle="1" w:styleId="970">
    <w:name w:val="修订1"/>
    <w:autoRedefine/>
    <w:hidden/>
    <w:qFormat/>
    <w:uiPriority w:val="99"/>
    <w:rPr>
      <w:rFonts w:ascii="仿宋_GB2312" w:hAnsi="仿宋_GB2312" w:eastAsia="仿宋_GB2312" w:cs="Times New Roman"/>
      <w:kern w:val="2"/>
      <w:sz w:val="28"/>
      <w:szCs w:val="21"/>
      <w:lang w:val="en-US" w:eastAsia="zh-CN" w:bidi="ar-SA"/>
    </w:rPr>
  </w:style>
  <w:style w:type="paragraph" w:customStyle="1" w:styleId="971">
    <w:name w:val="Char6"/>
    <w:basedOn w:val="1"/>
    <w:autoRedefine/>
    <w:qFormat/>
    <w:uiPriority w:val="0"/>
    <w:pPr>
      <w:adjustRightInd w:val="0"/>
      <w:spacing w:line="360" w:lineRule="auto"/>
    </w:pPr>
    <w:rPr>
      <w:kern w:val="0"/>
      <w:sz w:val="24"/>
      <w:szCs w:val="20"/>
    </w:rPr>
  </w:style>
  <w:style w:type="paragraph" w:customStyle="1" w:styleId="972">
    <w:name w:val="Char5"/>
    <w:basedOn w:val="1"/>
    <w:autoRedefine/>
    <w:qFormat/>
    <w:uiPriority w:val="0"/>
    <w:pPr>
      <w:adjustRightInd w:val="0"/>
      <w:spacing w:line="360" w:lineRule="auto"/>
    </w:pPr>
    <w:rPr>
      <w:kern w:val="0"/>
      <w:sz w:val="24"/>
      <w:szCs w:val="20"/>
    </w:rPr>
  </w:style>
  <w:style w:type="paragraph" w:customStyle="1" w:styleId="973">
    <w:name w:val="Char Char Char Char Char Char Char Char Char1 Char Char Char Char Char Char Char Char1 Char Char Char1"/>
    <w:basedOn w:val="1"/>
    <w:autoRedefine/>
    <w:qFormat/>
    <w:uiPriority w:val="0"/>
    <w:pPr>
      <w:snapToGrid w:val="0"/>
      <w:spacing w:line="360" w:lineRule="auto"/>
      <w:ind w:firstLine="200" w:firstLineChars="200"/>
    </w:pPr>
    <w:rPr>
      <w:rFonts w:eastAsia="仿宋_GB2312"/>
      <w:sz w:val="24"/>
    </w:rPr>
  </w:style>
  <w:style w:type="character" w:customStyle="1" w:styleId="974">
    <w:name w:val="main-1"/>
    <w:autoRedefine/>
    <w:qFormat/>
    <w:uiPriority w:val="0"/>
  </w:style>
  <w:style w:type="paragraph" w:customStyle="1" w:styleId="975">
    <w:name w:val="main"/>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76">
    <w:name w:val="表后文"/>
    <w:basedOn w:val="1"/>
    <w:autoRedefine/>
    <w:qFormat/>
    <w:uiPriority w:val="0"/>
    <w:pPr>
      <w:adjustRightInd w:val="0"/>
      <w:spacing w:before="120" w:line="400" w:lineRule="exact"/>
      <w:ind w:firstLine="601"/>
      <w:textAlignment w:val="baseline"/>
    </w:pPr>
    <w:rPr>
      <w:rFonts w:eastAsia="楷体_GB2312"/>
      <w:spacing w:val="8"/>
      <w:kern w:val="0"/>
      <w:sz w:val="28"/>
      <w:szCs w:val="20"/>
    </w:rPr>
  </w:style>
  <w:style w:type="paragraph" w:customStyle="1" w:styleId="977">
    <w:name w:val="正文文本缩进2"/>
    <w:basedOn w:val="1"/>
    <w:autoRedefine/>
    <w:qFormat/>
    <w:uiPriority w:val="0"/>
    <w:pPr>
      <w:spacing w:after="120" w:line="360" w:lineRule="auto"/>
      <w:ind w:left="420" w:leftChars="200" w:firstLine="200" w:firstLineChars="200"/>
    </w:pPr>
    <w:rPr>
      <w:sz w:val="24"/>
    </w:rPr>
  </w:style>
  <w:style w:type="paragraph" w:customStyle="1" w:styleId="978">
    <w:name w:val="样式11"/>
    <w:basedOn w:val="165"/>
    <w:autoRedefine/>
    <w:qFormat/>
    <w:uiPriority w:val="0"/>
    <w:pPr>
      <w:adjustRightInd w:val="0"/>
      <w:textAlignment w:val="baseline"/>
    </w:pPr>
    <w:rPr>
      <w:rFonts w:hAnsi="宋体"/>
      <w:color w:val="000000"/>
      <w:sz w:val="24"/>
      <w:szCs w:val="24"/>
      <w:lang w:val="en-US"/>
    </w:rPr>
  </w:style>
  <w:style w:type="paragraph" w:customStyle="1" w:styleId="979">
    <w:name w:val="样式111"/>
    <w:basedOn w:val="486"/>
    <w:autoRedefine/>
    <w:qFormat/>
    <w:uiPriority w:val="0"/>
    <w:rPr>
      <w:sz w:val="21"/>
      <w:szCs w:val="24"/>
    </w:rPr>
  </w:style>
  <w:style w:type="character" w:customStyle="1" w:styleId="980">
    <w:name w:val="text_new"/>
    <w:autoRedefine/>
    <w:qFormat/>
    <w:uiPriority w:val="0"/>
  </w:style>
  <w:style w:type="paragraph" w:customStyle="1" w:styleId="981">
    <w:name w:val="样式12"/>
    <w:basedOn w:val="469"/>
    <w:autoRedefine/>
    <w:qFormat/>
    <w:uiPriority w:val="0"/>
    <w:pPr>
      <w:adjustRightInd w:val="0"/>
    </w:pPr>
    <w:rPr>
      <w:rFonts w:ascii="仿宋_GB2312" w:hAnsi="宋体" w:eastAsia="仿宋_GB2312"/>
      <w:b/>
      <w:color w:val="FF0000"/>
      <w:szCs w:val="30"/>
    </w:rPr>
  </w:style>
  <w:style w:type="paragraph" w:customStyle="1" w:styleId="982">
    <w:name w:val="样式13"/>
    <w:basedOn w:val="1"/>
    <w:next w:val="33"/>
    <w:link w:val="1920"/>
    <w:autoRedefine/>
    <w:qFormat/>
    <w:uiPriority w:val="0"/>
    <w:pPr>
      <w:adjustRightInd w:val="0"/>
      <w:spacing w:line="500" w:lineRule="exact"/>
      <w:ind w:firstLine="200" w:firstLineChars="200"/>
      <w:textAlignment w:val="baseline"/>
    </w:pPr>
    <w:rPr>
      <w:rFonts w:ascii="仿宋_GB2312" w:hAnsi="宋体" w:eastAsia="仿宋_GB2312"/>
      <w:color w:val="FF0000"/>
      <w:sz w:val="28"/>
      <w:szCs w:val="28"/>
    </w:rPr>
  </w:style>
  <w:style w:type="paragraph" w:customStyle="1" w:styleId="983">
    <w:name w:val="样式14"/>
    <w:basedOn w:val="165"/>
    <w:autoRedefine/>
    <w:qFormat/>
    <w:uiPriority w:val="0"/>
    <w:pPr>
      <w:adjustRightInd w:val="0"/>
      <w:textAlignment w:val="baseline"/>
    </w:pPr>
    <w:rPr>
      <w:rFonts w:hAnsi="宋体"/>
      <w:bCs/>
      <w:sz w:val="24"/>
      <w:lang w:val="en-US"/>
    </w:rPr>
  </w:style>
  <w:style w:type="paragraph" w:customStyle="1" w:styleId="984">
    <w:name w:val="框图"/>
    <w:basedOn w:val="1"/>
    <w:autoRedefine/>
    <w:qFormat/>
    <w:uiPriority w:val="0"/>
    <w:pPr>
      <w:adjustRightInd w:val="0"/>
      <w:snapToGrid w:val="0"/>
      <w:ind w:left="2" w:leftChars="-38" w:right="-106" w:rightChars="-38" w:hanging="108" w:hangingChars="54"/>
      <w:jc w:val="center"/>
    </w:pPr>
    <w:rPr>
      <w:rFonts w:ascii="仿宋_GB2312" w:eastAsia="仿宋_GB2312"/>
      <w:sz w:val="20"/>
      <w:szCs w:val="20"/>
    </w:rPr>
  </w:style>
  <w:style w:type="character" w:customStyle="1" w:styleId="985">
    <w:name w:val="标题 12"/>
    <w:autoRedefine/>
    <w:qFormat/>
    <w:uiPriority w:val="0"/>
    <w:rPr>
      <w:rFonts w:ascii="黑体" w:eastAsia="黑体"/>
      <w:kern w:val="44"/>
      <w:sz w:val="44"/>
      <w:lang w:val="en-US" w:eastAsia="zh-CN" w:bidi="ar-SA"/>
    </w:rPr>
  </w:style>
  <w:style w:type="character" w:customStyle="1" w:styleId="986">
    <w:name w:val="标题 21"/>
    <w:autoRedefine/>
    <w:qFormat/>
    <w:uiPriority w:val="0"/>
    <w:rPr>
      <w:rFonts w:ascii="黑体" w:hAnsi="Arial" w:eastAsia="黑体"/>
      <w:kern w:val="2"/>
      <w:sz w:val="36"/>
      <w:szCs w:val="32"/>
      <w:lang w:val="en-US" w:eastAsia="zh-CN" w:bidi="ar-SA"/>
    </w:rPr>
  </w:style>
  <w:style w:type="character" w:customStyle="1" w:styleId="987">
    <w:name w:val="zjgblk1"/>
    <w:autoRedefine/>
    <w:qFormat/>
    <w:uiPriority w:val="0"/>
    <w:rPr>
      <w:rFonts w:hint="default"/>
      <w:color w:val="000000"/>
      <w:spacing w:val="336"/>
      <w:sz w:val="18"/>
      <w:szCs w:val="18"/>
      <w:u w:val="none"/>
    </w:rPr>
  </w:style>
  <w:style w:type="paragraph" w:customStyle="1" w:styleId="988">
    <w:name w:val="正文文本 21"/>
    <w:basedOn w:val="1"/>
    <w:autoRedefine/>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989">
    <w:name w:val="正文-1"/>
    <w:basedOn w:val="1"/>
    <w:autoRedefine/>
    <w:qFormat/>
    <w:uiPriority w:val="0"/>
    <w:pPr>
      <w:adjustRightInd w:val="0"/>
      <w:spacing w:line="440" w:lineRule="exact"/>
      <w:ind w:firstLine="200" w:firstLineChars="200"/>
    </w:pPr>
    <w:rPr>
      <w:sz w:val="24"/>
      <w:szCs w:val="20"/>
    </w:rPr>
  </w:style>
  <w:style w:type="paragraph" w:customStyle="1" w:styleId="990">
    <w:name w:val="表中文字"/>
    <w:basedOn w:val="1"/>
    <w:link w:val="2092"/>
    <w:autoRedefine/>
    <w:qFormat/>
    <w:uiPriority w:val="0"/>
    <w:pPr>
      <w:snapToGrid w:val="0"/>
    </w:pPr>
    <w:rPr>
      <w:szCs w:val="20"/>
    </w:rPr>
  </w:style>
  <w:style w:type="character" w:customStyle="1" w:styleId="991">
    <w:name w:val="c121"/>
    <w:autoRedefine/>
    <w:qFormat/>
    <w:uiPriority w:val="0"/>
    <w:rPr>
      <w:color w:val="666666"/>
      <w:sz w:val="18"/>
      <w:szCs w:val="18"/>
      <w:u w:val="none"/>
    </w:rPr>
  </w:style>
  <w:style w:type="character" w:customStyle="1" w:styleId="992">
    <w:name w:val="dectext1"/>
    <w:autoRedefine/>
    <w:qFormat/>
    <w:uiPriority w:val="0"/>
    <w:rPr>
      <w:rFonts w:hint="eastAsia" w:ascii="宋体" w:hAnsi="宋体" w:eastAsia="宋体"/>
      <w:color w:val="333333"/>
      <w:sz w:val="21"/>
      <w:szCs w:val="21"/>
      <w:u w:val="none"/>
    </w:rPr>
  </w:style>
  <w:style w:type="character" w:customStyle="1" w:styleId="993">
    <w:name w:val="xiaozhiti1"/>
    <w:autoRedefine/>
    <w:qFormat/>
    <w:uiPriority w:val="0"/>
    <w:rPr>
      <w:sz w:val="18"/>
      <w:szCs w:val="18"/>
    </w:rPr>
  </w:style>
  <w:style w:type="paragraph" w:customStyle="1" w:styleId="994">
    <w:name w:val="正文缩进5"/>
    <w:basedOn w:val="1"/>
    <w:autoRedefine/>
    <w:qFormat/>
    <w:uiPriority w:val="0"/>
    <w:pPr>
      <w:adjustRightInd w:val="0"/>
      <w:ind w:firstLine="420" w:firstLineChars="200"/>
      <w:textAlignment w:val="baseline"/>
    </w:pPr>
    <w:rPr>
      <w:rFonts w:hint="eastAsia" w:hAnsi="宋体"/>
      <w:sz w:val="24"/>
      <w:szCs w:val="20"/>
    </w:rPr>
  </w:style>
  <w:style w:type="character" w:customStyle="1" w:styleId="995">
    <w:name w:val="sub_title1"/>
    <w:autoRedefine/>
    <w:qFormat/>
    <w:uiPriority w:val="0"/>
    <w:rPr>
      <w:rFonts w:hint="default"/>
      <w:color w:val="FF6600"/>
      <w:sz w:val="21"/>
      <w:szCs w:val="21"/>
    </w:rPr>
  </w:style>
  <w:style w:type="character" w:customStyle="1" w:styleId="996">
    <w:name w:val="word131"/>
    <w:autoRedefine/>
    <w:qFormat/>
    <w:uiPriority w:val="0"/>
    <w:rPr>
      <w:rFonts w:hint="default" w:ascii="ˎ̥" w:hAnsi="ˎ̥"/>
      <w:color w:val="000000"/>
      <w:sz w:val="20"/>
      <w:szCs w:val="20"/>
      <w:u w:val="none"/>
    </w:rPr>
  </w:style>
  <w:style w:type="character" w:customStyle="1" w:styleId="997">
    <w:name w:val="报告表格 Char"/>
    <w:link w:val="292"/>
    <w:autoRedefine/>
    <w:qFormat/>
    <w:uiPriority w:val="0"/>
    <w:rPr>
      <w:rFonts w:ascii="宋体" w:hAnsi="宋体"/>
      <w:sz w:val="21"/>
      <w:szCs w:val="21"/>
    </w:rPr>
  </w:style>
  <w:style w:type="paragraph" w:customStyle="1" w:styleId="998">
    <w:name w:val="样式16"/>
    <w:basedOn w:val="1"/>
    <w:link w:val="999"/>
    <w:autoRedefine/>
    <w:qFormat/>
    <w:uiPriority w:val="0"/>
    <w:pPr>
      <w:spacing w:line="500" w:lineRule="exact"/>
      <w:jc w:val="left"/>
    </w:pPr>
    <w:rPr>
      <w:rFonts w:ascii="仿宋_GB2312" w:hAnsi="仿宋_GB2312" w:eastAsia="仿宋_GB2312"/>
      <w:szCs w:val="21"/>
    </w:rPr>
  </w:style>
  <w:style w:type="character" w:customStyle="1" w:styleId="999">
    <w:name w:val="样式16 Char"/>
    <w:link w:val="998"/>
    <w:autoRedefine/>
    <w:qFormat/>
    <w:uiPriority w:val="0"/>
    <w:rPr>
      <w:rFonts w:ascii="仿宋_GB2312" w:hAnsi="仿宋_GB2312" w:eastAsia="仿宋_GB2312"/>
      <w:kern w:val="2"/>
      <w:sz w:val="21"/>
      <w:szCs w:val="21"/>
    </w:rPr>
  </w:style>
  <w:style w:type="paragraph" w:customStyle="1" w:styleId="1000">
    <w:name w:val="正文缩进6"/>
    <w:basedOn w:val="1"/>
    <w:autoRedefine/>
    <w:qFormat/>
    <w:uiPriority w:val="0"/>
    <w:pPr>
      <w:adjustRightInd w:val="0"/>
      <w:ind w:firstLine="420" w:firstLineChars="200"/>
      <w:textAlignment w:val="baseline"/>
    </w:pPr>
    <w:rPr>
      <w:rFonts w:hint="eastAsia" w:hAnsi="宋体"/>
      <w:sz w:val="24"/>
      <w:szCs w:val="20"/>
    </w:rPr>
  </w:style>
  <w:style w:type="character" w:customStyle="1" w:styleId="1001">
    <w:name w:val="title41"/>
    <w:autoRedefine/>
    <w:qFormat/>
    <w:uiPriority w:val="0"/>
    <w:rPr>
      <w:rFonts w:hint="eastAsia" w:ascii="宋体" w:hAnsi="宋体" w:eastAsia="宋体"/>
      <w:color w:val="FF6600"/>
      <w:sz w:val="36"/>
      <w:szCs w:val="36"/>
    </w:rPr>
  </w:style>
  <w:style w:type="paragraph" w:customStyle="1" w:styleId="1002">
    <w:name w:val="Char12"/>
    <w:basedOn w:val="1"/>
    <w:autoRedefine/>
    <w:qFormat/>
    <w:uiPriority w:val="0"/>
    <w:pPr>
      <w:snapToGrid w:val="0"/>
      <w:spacing w:line="360" w:lineRule="auto"/>
      <w:ind w:firstLine="200" w:firstLineChars="200"/>
    </w:pPr>
    <w:rPr>
      <w:rFonts w:eastAsia="仿宋_GB2312"/>
      <w:sz w:val="24"/>
    </w:rPr>
  </w:style>
  <w:style w:type="paragraph" w:customStyle="1" w:styleId="1003">
    <w:name w:val="Char15"/>
    <w:basedOn w:val="1"/>
    <w:autoRedefine/>
    <w:qFormat/>
    <w:uiPriority w:val="0"/>
    <w:pPr>
      <w:snapToGrid w:val="0"/>
      <w:spacing w:line="360" w:lineRule="auto"/>
      <w:ind w:firstLine="200" w:firstLineChars="200"/>
    </w:pPr>
    <w:rPr>
      <w:rFonts w:eastAsia="仿宋_GB2312"/>
      <w:sz w:val="24"/>
    </w:rPr>
  </w:style>
  <w:style w:type="paragraph" w:customStyle="1" w:styleId="1004">
    <w:name w:val="Char14"/>
    <w:basedOn w:val="1"/>
    <w:autoRedefine/>
    <w:qFormat/>
    <w:uiPriority w:val="0"/>
    <w:pPr>
      <w:snapToGrid w:val="0"/>
      <w:spacing w:line="360" w:lineRule="auto"/>
      <w:ind w:firstLine="200" w:firstLineChars="200"/>
    </w:pPr>
    <w:rPr>
      <w:rFonts w:eastAsia="仿宋_GB2312"/>
      <w:sz w:val="24"/>
    </w:rPr>
  </w:style>
  <w:style w:type="paragraph" w:customStyle="1" w:styleId="1005">
    <w:name w:val="Char13"/>
    <w:basedOn w:val="1"/>
    <w:autoRedefine/>
    <w:qFormat/>
    <w:uiPriority w:val="0"/>
    <w:pPr>
      <w:snapToGrid w:val="0"/>
      <w:spacing w:line="360" w:lineRule="auto"/>
      <w:ind w:firstLine="200" w:firstLineChars="200"/>
    </w:pPr>
    <w:rPr>
      <w:rFonts w:eastAsia="仿宋_GB2312"/>
      <w:sz w:val="24"/>
    </w:rPr>
  </w:style>
  <w:style w:type="paragraph" w:customStyle="1" w:styleId="1006">
    <w:name w:val="Char16"/>
    <w:basedOn w:val="1"/>
    <w:autoRedefine/>
    <w:qFormat/>
    <w:uiPriority w:val="0"/>
    <w:pPr>
      <w:snapToGrid w:val="0"/>
      <w:spacing w:line="360" w:lineRule="auto"/>
      <w:ind w:firstLine="200" w:firstLineChars="200"/>
    </w:pPr>
    <w:rPr>
      <w:rFonts w:eastAsia="仿宋_GB2312"/>
      <w:sz w:val="24"/>
    </w:rPr>
  </w:style>
  <w:style w:type="paragraph" w:customStyle="1" w:styleId="1007">
    <w:name w:val="Char19"/>
    <w:basedOn w:val="1"/>
    <w:autoRedefine/>
    <w:qFormat/>
    <w:uiPriority w:val="0"/>
    <w:pPr>
      <w:snapToGrid w:val="0"/>
      <w:spacing w:line="360" w:lineRule="auto"/>
      <w:ind w:firstLine="200" w:firstLineChars="200"/>
    </w:pPr>
    <w:rPr>
      <w:rFonts w:eastAsia="仿宋_GB2312"/>
      <w:sz w:val="24"/>
    </w:rPr>
  </w:style>
  <w:style w:type="paragraph" w:customStyle="1" w:styleId="1008">
    <w:name w:val="Char18"/>
    <w:basedOn w:val="1"/>
    <w:autoRedefine/>
    <w:qFormat/>
    <w:uiPriority w:val="0"/>
    <w:pPr>
      <w:snapToGrid w:val="0"/>
      <w:spacing w:line="360" w:lineRule="auto"/>
      <w:ind w:firstLine="200" w:firstLineChars="200"/>
    </w:pPr>
    <w:rPr>
      <w:rFonts w:eastAsia="仿宋_GB2312"/>
      <w:sz w:val="24"/>
    </w:rPr>
  </w:style>
  <w:style w:type="paragraph" w:customStyle="1" w:styleId="1009">
    <w:name w:val="Char17"/>
    <w:basedOn w:val="1"/>
    <w:autoRedefine/>
    <w:qFormat/>
    <w:uiPriority w:val="0"/>
    <w:pPr>
      <w:snapToGrid w:val="0"/>
      <w:spacing w:line="360" w:lineRule="auto"/>
      <w:ind w:firstLine="200" w:firstLineChars="200"/>
    </w:pPr>
    <w:rPr>
      <w:rFonts w:eastAsia="仿宋_GB2312"/>
      <w:sz w:val="24"/>
    </w:rPr>
  </w:style>
  <w:style w:type="paragraph" w:customStyle="1" w:styleId="1010">
    <w:name w:val="Char110"/>
    <w:basedOn w:val="1"/>
    <w:autoRedefine/>
    <w:qFormat/>
    <w:uiPriority w:val="0"/>
    <w:pPr>
      <w:snapToGrid w:val="0"/>
      <w:spacing w:line="360" w:lineRule="auto"/>
      <w:ind w:firstLine="200" w:firstLineChars="200"/>
    </w:pPr>
    <w:rPr>
      <w:rFonts w:eastAsia="仿宋_GB2312"/>
      <w:sz w:val="24"/>
    </w:rPr>
  </w:style>
  <w:style w:type="character" w:customStyle="1" w:styleId="1011">
    <w:name w:val="表格文字 Char Char"/>
    <w:autoRedefine/>
    <w:qFormat/>
    <w:uiPriority w:val="0"/>
    <w:rPr>
      <w:rFonts w:ascii="仿宋_GB2312" w:hAnsi="Arial Black" w:eastAsia="仿宋_GB2312"/>
      <w:kern w:val="44"/>
      <w:sz w:val="24"/>
      <w:lang w:val="en-US" w:eastAsia="zh-CN" w:bidi="ar-SA"/>
    </w:rPr>
  </w:style>
  <w:style w:type="paragraph" w:customStyle="1" w:styleId="1012">
    <w:name w:val="Char7"/>
    <w:basedOn w:val="1"/>
    <w:autoRedefine/>
    <w:qFormat/>
    <w:uiPriority w:val="0"/>
    <w:rPr>
      <w:sz w:val="24"/>
    </w:rPr>
  </w:style>
  <w:style w:type="character" w:customStyle="1" w:styleId="1013">
    <w:name w:val="题注 Char2"/>
    <w:autoRedefine/>
    <w:qFormat/>
    <w:uiPriority w:val="0"/>
    <w:rPr>
      <w:rFonts w:ascii="仿宋_GB2312" w:eastAsia="仿宋_GB2312"/>
      <w:b/>
      <w:sz w:val="21"/>
      <w:szCs w:val="21"/>
    </w:rPr>
  </w:style>
  <w:style w:type="paragraph" w:customStyle="1" w:styleId="1014">
    <w:name w:val="Char Char Char3"/>
    <w:basedOn w:val="1"/>
    <w:autoRedefine/>
    <w:qFormat/>
    <w:uiPriority w:val="0"/>
    <w:pPr>
      <w:widowControl/>
      <w:jc w:val="left"/>
    </w:pPr>
    <w:rPr>
      <w:rFonts w:ascii="宋体" w:hAnsi="宋体" w:cs="宋体"/>
      <w:kern w:val="0"/>
      <w:sz w:val="24"/>
    </w:rPr>
  </w:style>
  <w:style w:type="paragraph" w:customStyle="1" w:styleId="1015">
    <w:name w:val="Char Char Char Char Char Char Char Char Char1 Char Char Char Char2"/>
    <w:basedOn w:val="1"/>
    <w:autoRedefine/>
    <w:qFormat/>
    <w:uiPriority w:val="0"/>
    <w:pPr>
      <w:widowControl/>
      <w:jc w:val="left"/>
    </w:pPr>
    <w:rPr>
      <w:rFonts w:ascii="宋体" w:hAnsi="宋体" w:cs="宋体"/>
      <w:kern w:val="0"/>
      <w:sz w:val="24"/>
      <w:szCs w:val="21"/>
    </w:rPr>
  </w:style>
  <w:style w:type="character" w:customStyle="1" w:styleId="1016">
    <w:name w:val="Char Char12"/>
    <w:autoRedefine/>
    <w:qFormat/>
    <w:uiPriority w:val="0"/>
    <w:rPr>
      <w:rFonts w:ascii="楷体_GB2312" w:hAnsi="Arial" w:eastAsia="楷体_GB2312" w:cs="Arial"/>
      <w:b/>
      <w:sz w:val="21"/>
      <w:szCs w:val="21"/>
      <w:lang w:val="en-US" w:eastAsia="zh-CN" w:bidi="ar-SA"/>
    </w:rPr>
  </w:style>
  <w:style w:type="paragraph" w:customStyle="1" w:styleId="1017">
    <w:name w:val="Char Char Char Char3"/>
    <w:basedOn w:val="28"/>
    <w:autoRedefine/>
    <w:qFormat/>
    <w:uiPriority w:val="0"/>
    <w:pPr>
      <w:widowControl/>
      <w:shd w:val="clear" w:color="auto" w:fill="FF99CC"/>
      <w:adjustRightInd w:val="0"/>
      <w:snapToGrid w:val="0"/>
      <w:spacing w:line="360" w:lineRule="auto"/>
      <w:jc w:val="left"/>
    </w:pPr>
    <w:rPr>
      <w:rFonts w:ascii="Tahoma" w:hAnsi="Tahoma" w:cs="宋体"/>
      <w:color w:val="008000"/>
      <w:kern w:val="0"/>
      <w:szCs w:val="21"/>
    </w:rPr>
  </w:style>
  <w:style w:type="character" w:customStyle="1" w:styleId="1018">
    <w:name w:val="Char Char Char Char Char Char Char2"/>
    <w:link w:val="1019"/>
    <w:autoRedefine/>
    <w:qFormat/>
    <w:locked/>
    <w:uiPriority w:val="0"/>
    <w:rPr>
      <w:rFonts w:ascii="宋体" w:hAnsi="宋体"/>
      <w:kern w:val="2"/>
      <w:sz w:val="24"/>
      <w:szCs w:val="24"/>
    </w:rPr>
  </w:style>
  <w:style w:type="paragraph" w:customStyle="1" w:styleId="1019">
    <w:name w:val="Char Char Char Char Char Char2"/>
    <w:basedOn w:val="1"/>
    <w:link w:val="1018"/>
    <w:autoRedefine/>
    <w:qFormat/>
    <w:uiPriority w:val="0"/>
    <w:rPr>
      <w:rFonts w:ascii="宋体" w:hAnsi="宋体"/>
      <w:sz w:val="24"/>
    </w:rPr>
  </w:style>
  <w:style w:type="paragraph" w:customStyle="1" w:styleId="1020">
    <w:name w:val="Char Char Char Char Char Char Char Char Char Char2"/>
    <w:basedOn w:val="1"/>
    <w:autoRedefine/>
    <w:qFormat/>
    <w:uiPriority w:val="0"/>
  </w:style>
  <w:style w:type="paragraph" w:customStyle="1" w:styleId="1021">
    <w:name w:val="正文文本缩进11"/>
    <w:basedOn w:val="1"/>
    <w:autoRedefine/>
    <w:qFormat/>
    <w:uiPriority w:val="0"/>
    <w:pPr>
      <w:widowControl/>
      <w:adjustRightInd w:val="0"/>
      <w:spacing w:after="120" w:line="360" w:lineRule="auto"/>
      <w:ind w:left="420" w:leftChars="200" w:firstLine="200" w:firstLineChars="200"/>
      <w:jc w:val="left"/>
      <w:textAlignment w:val="baseline"/>
    </w:pPr>
    <w:rPr>
      <w:rFonts w:ascii="宋体" w:hAnsi="宋体" w:cs="宋体"/>
      <w:kern w:val="0"/>
      <w:sz w:val="24"/>
    </w:rPr>
  </w:style>
  <w:style w:type="paragraph" w:customStyle="1" w:styleId="1022">
    <w:name w:val="正文缩进31"/>
    <w:basedOn w:val="1"/>
    <w:autoRedefine/>
    <w:qFormat/>
    <w:uiPriority w:val="0"/>
    <w:pPr>
      <w:widowControl/>
      <w:adjustRightInd w:val="0"/>
      <w:ind w:firstLine="420" w:firstLineChars="200"/>
      <w:jc w:val="left"/>
      <w:textAlignment w:val="baseline"/>
    </w:pPr>
    <w:rPr>
      <w:rFonts w:hint="eastAsia" w:ascii="宋体" w:hAnsi="宋体" w:cs="宋体"/>
      <w:kern w:val="0"/>
      <w:sz w:val="24"/>
      <w:szCs w:val="20"/>
    </w:rPr>
  </w:style>
  <w:style w:type="paragraph" w:customStyle="1" w:styleId="1023">
    <w:name w:val="Char Char Char Char Char Char Char Char Char Char Char Char Char Char Char Char Char Char Char Char Char Char Char Char Char Char Char Char Char Char2 Char Char Char Char Char Char Char3"/>
    <w:basedOn w:val="1"/>
    <w:autoRedefine/>
    <w:qFormat/>
    <w:uiPriority w:val="0"/>
    <w:pPr>
      <w:widowControl/>
      <w:jc w:val="left"/>
    </w:pPr>
    <w:rPr>
      <w:rFonts w:ascii="宋体" w:hAnsi="宋体" w:cs="宋体"/>
      <w:kern w:val="0"/>
      <w:sz w:val="24"/>
    </w:rPr>
  </w:style>
  <w:style w:type="paragraph" w:customStyle="1" w:styleId="1024">
    <w:name w:val="纯文本11"/>
    <w:basedOn w:val="1"/>
    <w:autoRedefine/>
    <w:qFormat/>
    <w:uiPriority w:val="0"/>
    <w:pPr>
      <w:adjustRightInd w:val="0"/>
      <w:textAlignment w:val="baseline"/>
    </w:pPr>
    <w:rPr>
      <w:rFonts w:ascii="宋体" w:hAnsi="Courier New"/>
      <w:szCs w:val="20"/>
    </w:rPr>
  </w:style>
  <w:style w:type="character" w:customStyle="1" w:styleId="1025">
    <w:name w:val="Char Char21"/>
    <w:autoRedefine/>
    <w:qFormat/>
    <w:uiPriority w:val="0"/>
    <w:rPr>
      <w:rFonts w:ascii="Arial" w:hAnsi="Arial" w:eastAsia="楷体_GB2312" w:cs="Arial"/>
      <w:b/>
      <w:sz w:val="24"/>
      <w:lang w:val="en-US" w:eastAsia="zh-CN" w:bidi="ar-SA"/>
    </w:rPr>
  </w:style>
  <w:style w:type="paragraph" w:customStyle="1" w:styleId="1026">
    <w:name w:val="Char1 Char Char Char Char Char1 Char1"/>
    <w:basedOn w:val="1"/>
    <w:autoRedefine/>
    <w:qFormat/>
    <w:uiPriority w:val="0"/>
    <w:rPr>
      <w:szCs w:val="21"/>
    </w:rPr>
  </w:style>
  <w:style w:type="character" w:customStyle="1" w:styleId="1027">
    <w:name w:val="Char Char61"/>
    <w:autoRedefine/>
    <w:qFormat/>
    <w:uiPriority w:val="0"/>
    <w:rPr>
      <w:rFonts w:eastAsia="宋体"/>
      <w:kern w:val="2"/>
      <w:sz w:val="24"/>
      <w:lang w:val="en-US" w:eastAsia="zh-CN" w:bidi="ar-SA"/>
    </w:rPr>
  </w:style>
  <w:style w:type="paragraph" w:customStyle="1" w:styleId="1028">
    <w:name w:val="Char Char Char Char Char Char Char Char Char1 Char Char Char Char Char Char Char Char1 Char Char Char2"/>
    <w:basedOn w:val="1"/>
    <w:autoRedefine/>
    <w:qFormat/>
    <w:uiPriority w:val="0"/>
    <w:pPr>
      <w:snapToGrid w:val="0"/>
      <w:spacing w:line="360" w:lineRule="auto"/>
      <w:ind w:firstLine="200" w:firstLineChars="200"/>
    </w:pPr>
    <w:rPr>
      <w:rFonts w:eastAsia="仿宋_GB2312"/>
      <w:sz w:val="24"/>
    </w:rPr>
  </w:style>
  <w:style w:type="paragraph" w:customStyle="1" w:styleId="1029">
    <w:name w:val="Char4 Char Char Char Char Char Char Char Char Char Char Char Char Char Char Char Char Char1 Char Char Char Char Char Char1 Char Char Char Char Char Char Char Char Char Char Char Char Char Char Char Char1"/>
    <w:basedOn w:val="1"/>
    <w:autoRedefine/>
    <w:qFormat/>
    <w:uiPriority w:val="0"/>
    <w:pPr>
      <w:spacing w:line="240" w:lineRule="exact"/>
      <w:ind w:firstLine="200" w:firstLineChars="200"/>
    </w:pPr>
    <w:rPr>
      <w:sz w:val="28"/>
      <w:szCs w:val="28"/>
    </w:rPr>
  </w:style>
  <w:style w:type="character" w:customStyle="1" w:styleId="1030">
    <w:name w:val="Char Char71"/>
    <w:autoRedefine/>
    <w:qFormat/>
    <w:uiPriority w:val="0"/>
    <w:rPr>
      <w:rFonts w:eastAsia="宋体"/>
      <w:kern w:val="2"/>
      <w:sz w:val="21"/>
      <w:szCs w:val="24"/>
      <w:lang w:val="en-US" w:eastAsia="zh-CN" w:bidi="ar-SA"/>
    </w:rPr>
  </w:style>
  <w:style w:type="character" w:customStyle="1" w:styleId="1031">
    <w:name w:val="Char Char101"/>
    <w:autoRedefine/>
    <w:qFormat/>
    <w:uiPriority w:val="0"/>
    <w:rPr>
      <w:rFonts w:eastAsia="宋体"/>
      <w:kern w:val="2"/>
      <w:sz w:val="21"/>
      <w:szCs w:val="24"/>
      <w:lang w:val="en-US" w:eastAsia="zh-CN" w:bidi="ar-SA"/>
    </w:rPr>
  </w:style>
  <w:style w:type="paragraph" w:customStyle="1" w:styleId="1032">
    <w:name w:val="Char Char Char1 Char1"/>
    <w:basedOn w:val="1"/>
    <w:autoRedefine/>
    <w:qFormat/>
    <w:uiPriority w:val="0"/>
  </w:style>
  <w:style w:type="paragraph" w:customStyle="1" w:styleId="1033">
    <w:name w:val="Char Char Char1 Char Char Char Char1"/>
    <w:basedOn w:val="1"/>
    <w:autoRedefine/>
    <w:qFormat/>
    <w:uiPriority w:val="0"/>
  </w:style>
  <w:style w:type="paragraph" w:customStyle="1" w:styleId="1034">
    <w:name w:val="Char Char Char Char Char Char Char Char Char Char Char Char Char Char Char Char1"/>
    <w:basedOn w:val="1"/>
    <w:autoRedefine/>
    <w:qFormat/>
    <w:uiPriority w:val="0"/>
  </w:style>
  <w:style w:type="character" w:customStyle="1" w:styleId="1035">
    <w:name w:val="Char Char51"/>
    <w:autoRedefine/>
    <w:qFormat/>
    <w:uiPriority w:val="0"/>
    <w:rPr>
      <w:rFonts w:ascii="宋体" w:hAnsi="Courier New" w:eastAsia="宋体"/>
      <w:kern w:val="2"/>
      <w:sz w:val="21"/>
      <w:lang w:val="en-US" w:eastAsia="zh-CN" w:bidi="ar-SA"/>
    </w:rPr>
  </w:style>
  <w:style w:type="character" w:customStyle="1" w:styleId="1036">
    <w:name w:val="Char Char181"/>
    <w:autoRedefine/>
    <w:qFormat/>
    <w:uiPriority w:val="0"/>
    <w:rPr>
      <w:rFonts w:ascii="宋体" w:hAnsi="宋体" w:eastAsia="宋体" w:cs="Times New Roman"/>
      <w:color w:val="800000"/>
      <w:kern w:val="0"/>
      <w:sz w:val="28"/>
      <w:szCs w:val="20"/>
    </w:rPr>
  </w:style>
  <w:style w:type="character" w:customStyle="1" w:styleId="1037">
    <w:name w:val="Char Char Char1 Char Char1"/>
    <w:autoRedefine/>
    <w:qFormat/>
    <w:uiPriority w:val="0"/>
    <w:rPr>
      <w:rFonts w:ascii="Times New Roman" w:hAnsi="Times New Roman" w:eastAsia="宋体" w:cs="Times New Roman"/>
      <w:kern w:val="0"/>
      <w:sz w:val="18"/>
      <w:szCs w:val="18"/>
    </w:rPr>
  </w:style>
  <w:style w:type="character" w:customStyle="1" w:styleId="1038">
    <w:name w:val="Char Char111"/>
    <w:autoRedefine/>
    <w:qFormat/>
    <w:uiPriority w:val="0"/>
    <w:rPr>
      <w:rFonts w:ascii="Times New Roman" w:hAnsi="Times New Roman" w:eastAsia="宋体" w:cs="Times New Roman"/>
      <w:kern w:val="0"/>
      <w:sz w:val="24"/>
      <w:szCs w:val="24"/>
    </w:rPr>
  </w:style>
  <w:style w:type="character" w:customStyle="1" w:styleId="1039">
    <w:name w:val="标题 1 Char Char Char Char Char Char Char Char Char Char Char Char Char Char Char Char Char Char Char Char Char Char Char Char Char Char Char Char Char Char Char Char Char Char Char Char Char Char Char Char Char Char Char Char Char Char Char Char Char1"/>
    <w:autoRedefine/>
    <w:qFormat/>
    <w:uiPriority w:val="0"/>
    <w:rPr>
      <w:rFonts w:ascii="黑体" w:hAnsi="Arial Unicode MS" w:eastAsia="黑体"/>
      <w:kern w:val="44"/>
      <w:sz w:val="28"/>
      <w:szCs w:val="28"/>
      <w:lang w:val="en-US" w:eastAsia="zh-CN" w:bidi="ar-SA"/>
    </w:rPr>
  </w:style>
  <w:style w:type="paragraph" w:customStyle="1" w:styleId="1040">
    <w:name w:val="正文21"/>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041">
    <w:name w:val="Char91"/>
    <w:basedOn w:val="1"/>
    <w:autoRedefine/>
    <w:qFormat/>
    <w:uiPriority w:val="0"/>
    <w:rPr>
      <w:szCs w:val="21"/>
    </w:rPr>
  </w:style>
  <w:style w:type="paragraph" w:customStyle="1" w:styleId="1042">
    <w:name w:val="T3"/>
    <w:basedOn w:val="1"/>
    <w:autoRedefine/>
    <w:qFormat/>
    <w:uiPriority w:val="0"/>
    <w:pPr>
      <w:tabs>
        <w:tab w:val="left" w:pos="1410"/>
        <w:tab w:val="left" w:pos="2523"/>
      </w:tabs>
      <w:adjustRightInd w:val="0"/>
      <w:spacing w:before="60" w:line="288" w:lineRule="auto"/>
      <w:textAlignment w:val="baseline"/>
    </w:pPr>
    <w:rPr>
      <w:spacing w:val="16"/>
      <w:kern w:val="20"/>
      <w:sz w:val="28"/>
      <w:szCs w:val="20"/>
    </w:rPr>
  </w:style>
  <w:style w:type="character" w:customStyle="1" w:styleId="1043">
    <w:name w:val="表题 Char"/>
    <w:autoRedefine/>
    <w:qFormat/>
    <w:uiPriority w:val="0"/>
    <w:rPr>
      <w:rFonts w:cs="新宋体"/>
      <w:lang w:val="en-US"/>
    </w:rPr>
  </w:style>
  <w:style w:type="paragraph" w:customStyle="1" w:styleId="1044">
    <w:name w:val="封面落款"/>
    <w:basedOn w:val="1"/>
    <w:autoRedefine/>
    <w:qFormat/>
    <w:uiPriority w:val="0"/>
    <w:pPr>
      <w:tabs>
        <w:tab w:val="left" w:pos="1134"/>
        <w:tab w:val="right" w:pos="7371"/>
      </w:tabs>
      <w:overflowPunct w:val="0"/>
      <w:adjustRightInd w:val="0"/>
      <w:spacing w:line="360" w:lineRule="auto"/>
      <w:jc w:val="center"/>
    </w:pPr>
    <w:rPr>
      <w:rFonts w:eastAsia="黑体"/>
      <w:color w:val="0000FF"/>
      <w:spacing w:val="20"/>
      <w:kern w:val="0"/>
      <w:sz w:val="32"/>
      <w:szCs w:val="20"/>
    </w:rPr>
  </w:style>
  <w:style w:type="paragraph" w:customStyle="1" w:styleId="1045">
    <w:name w:val="封面标题"/>
    <w:basedOn w:val="1"/>
    <w:next w:val="1044"/>
    <w:autoRedefine/>
    <w:qFormat/>
    <w:uiPriority w:val="0"/>
    <w:pPr>
      <w:tabs>
        <w:tab w:val="left" w:pos="1134"/>
        <w:tab w:val="right" w:pos="7371"/>
      </w:tabs>
      <w:overflowPunct w:val="0"/>
      <w:adjustRightInd w:val="0"/>
      <w:spacing w:line="360" w:lineRule="auto"/>
      <w:jc w:val="center"/>
    </w:pPr>
    <w:rPr>
      <w:rFonts w:ascii="Arial" w:eastAsia="黑体"/>
      <w:color w:val="FF0000"/>
      <w:spacing w:val="20"/>
      <w:kern w:val="52"/>
      <w:sz w:val="52"/>
      <w:szCs w:val="20"/>
    </w:rPr>
  </w:style>
  <w:style w:type="paragraph" w:customStyle="1" w:styleId="1046">
    <w:name w:val="表内字"/>
    <w:autoRedefine/>
    <w:qFormat/>
    <w:uiPriority w:val="0"/>
    <w:pPr>
      <w:widowControl w:val="0"/>
      <w:adjustRightInd w:val="0"/>
      <w:snapToGrid w:val="0"/>
    </w:pPr>
    <w:rPr>
      <w:rFonts w:ascii="宋体" w:hAnsi="宋体" w:eastAsia="宋体" w:cs="Times New Roman"/>
      <w:color w:val="000000"/>
      <w:kern w:val="2"/>
      <w:sz w:val="21"/>
      <w:szCs w:val="18"/>
      <w:lang w:val="en-US" w:eastAsia="zh-CN" w:bidi="ar-SA"/>
    </w:rPr>
  </w:style>
  <w:style w:type="paragraph" w:customStyle="1" w:styleId="1047">
    <w:name w:val="biao7-5"/>
    <w:basedOn w:val="14"/>
    <w:autoRedefine/>
    <w:qFormat/>
    <w:uiPriority w:val="0"/>
  </w:style>
  <w:style w:type="paragraph" w:customStyle="1" w:styleId="1048">
    <w:name w:val="正文表格"/>
    <w:basedOn w:val="1"/>
    <w:autoRedefine/>
    <w:qFormat/>
    <w:uiPriority w:val="0"/>
    <w:pPr>
      <w:keepNext/>
      <w:keepLines/>
      <w:overflowPunct w:val="0"/>
      <w:adjustRightInd w:val="0"/>
      <w:spacing w:before="80"/>
      <w:jc w:val="center"/>
      <w:textAlignment w:val="bottom"/>
    </w:pPr>
    <w:rPr>
      <w:kern w:val="0"/>
      <w:sz w:val="28"/>
      <w:szCs w:val="20"/>
    </w:rPr>
  </w:style>
  <w:style w:type="paragraph" w:customStyle="1" w:styleId="1049">
    <w:name w:val="样式－表"/>
    <w:basedOn w:val="1"/>
    <w:autoRedefine/>
    <w:qFormat/>
    <w:uiPriority w:val="0"/>
    <w:pPr>
      <w:adjustRightInd w:val="0"/>
      <w:snapToGrid w:val="0"/>
      <w:spacing w:before="62"/>
      <w:jc w:val="center"/>
    </w:pPr>
    <w:rPr>
      <w:snapToGrid w:val="0"/>
      <w:color w:val="000000"/>
      <w:kern w:val="0"/>
      <w:sz w:val="24"/>
      <w:szCs w:val="20"/>
    </w:rPr>
  </w:style>
  <w:style w:type="paragraph" w:customStyle="1" w:styleId="1050">
    <w:name w:val="表第一列"/>
    <w:basedOn w:val="316"/>
    <w:autoRedefine/>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color w:val="000000"/>
      <w:spacing w:val="-4"/>
      <w:kern w:val="2"/>
      <w:sz w:val="21"/>
      <w:szCs w:val="20"/>
    </w:rPr>
  </w:style>
  <w:style w:type="paragraph" w:customStyle="1" w:styleId="1051">
    <w:name w:val="高表内"/>
    <w:basedOn w:val="46"/>
    <w:autoRedefine/>
    <w:qFormat/>
    <w:uiPriority w:val="0"/>
    <w:rPr>
      <w:rFonts w:cs="Times New Roman"/>
      <w:kern w:val="0"/>
      <w:sz w:val="20"/>
      <w:lang w:val="zh-CN"/>
    </w:rPr>
  </w:style>
  <w:style w:type="paragraph" w:customStyle="1" w:styleId="1052">
    <w:name w:val="Checkboxes"/>
    <w:basedOn w:val="1"/>
    <w:autoRedefine/>
    <w:qFormat/>
    <w:uiPriority w:val="0"/>
    <w:pPr>
      <w:widowControl/>
      <w:spacing w:before="360" w:after="360"/>
      <w:jc w:val="left"/>
    </w:pPr>
    <w:rPr>
      <w:kern w:val="0"/>
      <w:sz w:val="24"/>
      <w:szCs w:val="20"/>
    </w:rPr>
  </w:style>
  <w:style w:type="paragraph" w:customStyle="1" w:styleId="1053">
    <w:name w:val="表小4"/>
    <w:basedOn w:val="1"/>
    <w:autoRedefine/>
    <w:qFormat/>
    <w:uiPriority w:val="0"/>
    <w:pPr>
      <w:tabs>
        <w:tab w:val="left" w:pos="0"/>
        <w:tab w:val="left" w:pos="2619"/>
      </w:tabs>
      <w:adjustRightInd w:val="0"/>
      <w:spacing w:line="0" w:lineRule="atLeast"/>
      <w:jc w:val="center"/>
    </w:pPr>
    <w:rPr>
      <w:rFonts w:ascii="宋体" w:hAnsi="宋体"/>
      <w:sz w:val="28"/>
      <w:szCs w:val="20"/>
      <w:lang w:val="en-GB"/>
    </w:rPr>
  </w:style>
  <w:style w:type="paragraph" w:customStyle="1" w:styleId="1054">
    <w:name w:val="c"/>
    <w:autoRedefine/>
    <w:qFormat/>
    <w:uiPriority w:val="0"/>
    <w:pPr>
      <w:widowControl w:val="0"/>
      <w:autoSpaceDE w:val="0"/>
      <w:autoSpaceDN w:val="0"/>
      <w:adjustRightInd w:val="0"/>
      <w:jc w:val="both"/>
    </w:pPr>
    <w:rPr>
      <w:rFonts w:ascii="Arial" w:hAnsi="Arial" w:eastAsia="宋体" w:cs="Times New Roman"/>
      <w:kern w:val="2"/>
      <w:sz w:val="24"/>
      <w:szCs w:val="18"/>
      <w:lang w:val="en-US" w:eastAsia="zh-CN" w:bidi="ar-SA"/>
    </w:rPr>
  </w:style>
  <w:style w:type="paragraph" w:customStyle="1" w:styleId="1055">
    <w:name w:val="表格文字自调"/>
    <w:basedOn w:val="46"/>
    <w:autoRedefine/>
    <w:qFormat/>
    <w:uiPriority w:val="0"/>
    <w:rPr>
      <w:rFonts w:cs="Times New Roman"/>
      <w:kern w:val="0"/>
      <w:sz w:val="20"/>
      <w:lang w:val="zh-CN"/>
    </w:rPr>
  </w:style>
  <w:style w:type="paragraph" w:customStyle="1" w:styleId="1056">
    <w:name w:val="表标"/>
    <w:basedOn w:val="1"/>
    <w:next w:val="1"/>
    <w:autoRedefine/>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right="181" w:firstLine="200" w:firstLineChars="200"/>
      <w:jc w:val="right"/>
      <w:textAlignment w:val="baseline"/>
    </w:pPr>
    <w:rPr>
      <w:rFonts w:ascii="黑体" w:hAnsi="宋体" w:eastAsia="黑体"/>
      <w:kern w:val="0"/>
      <w:sz w:val="24"/>
      <w:szCs w:val="20"/>
    </w:rPr>
  </w:style>
  <w:style w:type="paragraph" w:customStyle="1" w:styleId="1057">
    <w:name w:val="样式 小四 黑色 首行缩进:  0.36 厘米 行距: 1.5 倍行距"/>
    <w:basedOn w:val="1"/>
    <w:autoRedefine/>
    <w:qFormat/>
    <w:uiPriority w:val="0"/>
    <w:pPr>
      <w:spacing w:line="360" w:lineRule="auto"/>
    </w:pPr>
    <w:rPr>
      <w:color w:val="000000"/>
      <w:sz w:val="24"/>
      <w:szCs w:val="20"/>
    </w:rPr>
  </w:style>
  <w:style w:type="paragraph" w:customStyle="1" w:styleId="1058">
    <w:name w:val="可研"/>
    <w:basedOn w:val="59"/>
    <w:autoRedefine/>
    <w:qFormat/>
    <w:uiPriority w:val="0"/>
    <w:pPr>
      <w:tabs>
        <w:tab w:val="left" w:pos="420"/>
        <w:tab w:val="right" w:leader="dot" w:pos="8040"/>
        <w:tab w:val="right" w:leader="dot" w:pos="8296"/>
        <w:tab w:val="right" w:leader="dot" w:pos="9345"/>
        <w:tab w:val="right" w:leader="dot" w:pos="9628"/>
      </w:tabs>
      <w:spacing w:line="360" w:lineRule="auto"/>
      <w:jc w:val="left"/>
    </w:pPr>
    <w:rPr>
      <w:rFonts w:ascii="黑体" w:hAnsi="Times New Roman" w:eastAsia="黑体"/>
      <w:bCs/>
      <w:caps/>
      <w:sz w:val="24"/>
      <w:szCs w:val="24"/>
    </w:rPr>
  </w:style>
  <w:style w:type="paragraph" w:customStyle="1" w:styleId="1059">
    <w:name w:val="Char1 Char Char Char"/>
    <w:basedOn w:val="1"/>
    <w:autoRedefine/>
    <w:qFormat/>
    <w:uiPriority w:val="0"/>
    <w:rPr>
      <w:sz w:val="24"/>
      <w:szCs w:val="20"/>
    </w:rPr>
  </w:style>
  <w:style w:type="paragraph" w:customStyle="1" w:styleId="1060">
    <w:name w:val="样式 标题 2 + 宋体 居中"/>
    <w:basedOn w:val="6"/>
    <w:autoRedefine/>
    <w:qFormat/>
    <w:uiPriority w:val="0"/>
    <w:pPr>
      <w:tabs>
        <w:tab w:val="left" w:pos="720"/>
      </w:tabs>
      <w:ind w:left="720" w:hanging="363"/>
    </w:pPr>
    <w:rPr>
      <w:kern w:val="0"/>
      <w:lang w:val="zh-CN"/>
    </w:rPr>
  </w:style>
  <w:style w:type="paragraph" w:customStyle="1" w:styleId="1061">
    <w:name w:val="表格文字居中"/>
    <w:basedOn w:val="1"/>
    <w:next w:val="316"/>
    <w:autoRedefine/>
    <w:qFormat/>
    <w:uiPriority w:val="0"/>
    <w:pPr>
      <w:keepNext/>
      <w:tabs>
        <w:tab w:val="left" w:pos="628"/>
        <w:tab w:val="left" w:pos="1727"/>
        <w:tab w:val="left" w:pos="1884"/>
      </w:tabs>
      <w:adjustRightInd w:val="0"/>
      <w:snapToGrid w:val="0"/>
    </w:pPr>
    <w:rPr>
      <w:rFonts w:ascii="宋体" w:hAnsi="宋体" w:cs="Arial"/>
      <w:bCs/>
      <w:color w:val="000000"/>
      <w:kern w:val="0"/>
      <w:sz w:val="24"/>
      <w:szCs w:val="21"/>
    </w:rPr>
  </w:style>
  <w:style w:type="paragraph" w:customStyle="1" w:styleId="1062">
    <w:name w:val=":("/>
    <w:link w:val="1091"/>
    <w:autoRedefine/>
    <w:qFormat/>
    <w:uiPriority w:val="0"/>
    <w:pPr>
      <w:widowControl w:val="0"/>
      <w:adjustRightInd w:val="0"/>
      <w:spacing w:line="312" w:lineRule="atLeast"/>
      <w:jc w:val="both"/>
      <w:textAlignment w:val="baseline"/>
    </w:pPr>
    <w:rPr>
      <w:rFonts w:ascii="Times New Roman" w:hAnsi="Times New Roman" w:eastAsia="·s²Ó©úÅé" w:cs="Times New Roman"/>
      <w:kern w:val="2"/>
      <w:sz w:val="21"/>
      <w:szCs w:val="18"/>
      <w:lang w:val="en-US" w:eastAsia="zh-CN" w:bidi="ar-SA"/>
    </w:rPr>
  </w:style>
  <w:style w:type="paragraph" w:customStyle="1" w:styleId="1063">
    <w:name w:val="样式 (中文) 楷体_GB2312 四号 首行缩进:  0.99 厘米"/>
    <w:basedOn w:val="1"/>
    <w:autoRedefine/>
    <w:qFormat/>
    <w:uiPriority w:val="0"/>
    <w:pPr>
      <w:ind w:firstLine="560"/>
    </w:pPr>
    <w:rPr>
      <w:rFonts w:eastAsia="楷体_GB2312" w:cs="宋体"/>
      <w:spacing w:val="6"/>
      <w:kern w:val="0"/>
      <w:sz w:val="28"/>
      <w:szCs w:val="20"/>
    </w:rPr>
  </w:style>
  <w:style w:type="paragraph" w:customStyle="1" w:styleId="1064">
    <w:name w:val="样式 样式 表格标题 + 首行缩进:  2 字符 + 仿宋_GB2312 四号 加粗"/>
    <w:basedOn w:val="1"/>
    <w:autoRedefine/>
    <w:qFormat/>
    <w:uiPriority w:val="0"/>
    <w:pPr>
      <w:adjustRightInd w:val="0"/>
      <w:spacing w:before="120" w:line="360" w:lineRule="auto"/>
      <w:ind w:firstLine="480" w:firstLineChars="200"/>
      <w:jc w:val="center"/>
      <w:textAlignment w:val="baseline"/>
    </w:pPr>
    <w:rPr>
      <w:rFonts w:eastAsia="文鼎CS大宋" w:cs="宋体"/>
      <w:bCs/>
      <w:kern w:val="0"/>
      <w:sz w:val="24"/>
    </w:rPr>
  </w:style>
  <w:style w:type="paragraph" w:customStyle="1" w:styleId="1065">
    <w:name w:val="样式 小四 加粗 居中"/>
    <w:basedOn w:val="1"/>
    <w:autoRedefine/>
    <w:qFormat/>
    <w:uiPriority w:val="0"/>
    <w:pPr>
      <w:jc w:val="center"/>
    </w:pPr>
    <w:rPr>
      <w:rFonts w:eastAsia="楷体_GB2312" w:cs="宋体"/>
      <w:bCs/>
      <w:szCs w:val="21"/>
    </w:rPr>
  </w:style>
  <w:style w:type="paragraph" w:customStyle="1" w:styleId="1066">
    <w:name w:val="样式 样式 样式 样式 样式 样式 样式 样式 首行缩进:  2 字符 + 首行缩进:  2 字符2 + 仿宋_GB2312 行...1"/>
    <w:basedOn w:val="1"/>
    <w:autoRedefine/>
    <w:qFormat/>
    <w:uiPriority w:val="0"/>
    <w:pPr>
      <w:spacing w:line="520" w:lineRule="exact"/>
      <w:ind w:firstLine="200" w:firstLineChars="200"/>
    </w:pPr>
    <w:rPr>
      <w:rFonts w:eastAsia="楷体_GB2312"/>
      <w:spacing w:val="14"/>
      <w:kern w:val="0"/>
      <w:sz w:val="28"/>
      <w:szCs w:val="20"/>
    </w:rPr>
  </w:style>
  <w:style w:type="character" w:customStyle="1" w:styleId="1067">
    <w:name w:val="样式 样式 样式 样式 样式 样式 样式 样式 首行缩进:  2 字符 + 首行缩进:  2 字符2 + 仿宋_GB2312 行...1 Char"/>
    <w:autoRedefine/>
    <w:qFormat/>
    <w:uiPriority w:val="0"/>
    <w:rPr>
      <w:rFonts w:eastAsia="楷体_GB2312"/>
      <w:spacing w:val="14"/>
      <w:sz w:val="28"/>
      <w:lang w:val="en-US" w:eastAsia="zh-CN" w:bidi="ar-SA"/>
    </w:rPr>
  </w:style>
  <w:style w:type="character" w:customStyle="1" w:styleId="1068">
    <w:name w:val="xl58 Char"/>
    <w:autoRedefine/>
    <w:qFormat/>
    <w:uiPriority w:val="0"/>
    <w:rPr>
      <w:rFonts w:ascii="黑体" w:hAnsi="Arial Unicode MS" w:eastAsia="黑体"/>
      <w:sz w:val="22"/>
      <w:szCs w:val="22"/>
      <w:lang w:val="en-US" w:eastAsia="zh-CN" w:bidi="ar-SA"/>
    </w:rPr>
  </w:style>
  <w:style w:type="character" w:customStyle="1" w:styleId="1069">
    <w:name w:val="Char Char3"/>
    <w:autoRedefine/>
    <w:qFormat/>
    <w:locked/>
    <w:uiPriority w:val="9"/>
    <w:rPr>
      <w:rFonts w:ascii="宋体" w:hAnsi="宋体" w:eastAsia="宋体"/>
      <w:kern w:val="2"/>
      <w:sz w:val="18"/>
      <w:szCs w:val="18"/>
      <w:lang w:val="en-US" w:eastAsia="zh-CN" w:bidi="ar-SA"/>
    </w:rPr>
  </w:style>
  <w:style w:type="character" w:customStyle="1" w:styleId="1070">
    <w:name w:val="Char Char42"/>
    <w:autoRedefine/>
    <w:qFormat/>
    <w:locked/>
    <w:uiPriority w:val="0"/>
    <w:rPr>
      <w:rFonts w:ascii="宋体" w:hAnsi="宋体" w:eastAsia="宋体"/>
      <w:kern w:val="2"/>
      <w:sz w:val="18"/>
      <w:szCs w:val="18"/>
      <w:lang w:val="en-US" w:eastAsia="zh-CN" w:bidi="ar-SA"/>
    </w:rPr>
  </w:style>
  <w:style w:type="paragraph" w:customStyle="1" w:styleId="1071">
    <w:name w:val="样式 楷体_GB2312 四号 黑色"/>
    <w:basedOn w:val="1"/>
    <w:autoRedefine/>
    <w:qFormat/>
    <w:uiPriority w:val="0"/>
    <w:pPr>
      <w:spacing w:line="560" w:lineRule="exact"/>
      <w:ind w:firstLine="200" w:firstLineChars="200"/>
    </w:pPr>
    <w:rPr>
      <w:rFonts w:eastAsia="楷体_GB2312"/>
      <w:color w:val="000000"/>
      <w:sz w:val="28"/>
      <w:szCs w:val="20"/>
    </w:rPr>
  </w:style>
  <w:style w:type="paragraph" w:customStyle="1" w:styleId="1072">
    <w:name w:val="Char Char Char Char Char Char Char Char Char Char Char Char Char Char Char Char Char Char Char Char Char Char Char Char Char Char Char Char Char Char2 Char Char Char Char Char Char Char4"/>
    <w:basedOn w:val="1"/>
    <w:autoRedefine/>
    <w:qFormat/>
    <w:uiPriority w:val="0"/>
    <w:rPr>
      <w:sz w:val="24"/>
    </w:rPr>
  </w:style>
  <w:style w:type="character" w:customStyle="1" w:styleId="1073">
    <w:name w:val="desctext1"/>
    <w:autoRedefine/>
    <w:qFormat/>
    <w:uiPriority w:val="0"/>
    <w:rPr>
      <w:spacing w:val="15"/>
      <w:sz w:val="18"/>
      <w:szCs w:val="18"/>
    </w:rPr>
  </w:style>
  <w:style w:type="paragraph" w:customStyle="1" w:styleId="1074">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075">
    <w:name w:val="Char Char Char Char Char Char3"/>
    <w:basedOn w:val="1"/>
    <w:link w:val="1076"/>
    <w:autoRedefine/>
    <w:qFormat/>
    <w:uiPriority w:val="0"/>
    <w:rPr>
      <w:sz w:val="24"/>
    </w:rPr>
  </w:style>
  <w:style w:type="character" w:customStyle="1" w:styleId="1076">
    <w:name w:val="Char Char Char Char Char Char Char3"/>
    <w:link w:val="1075"/>
    <w:autoRedefine/>
    <w:qFormat/>
    <w:uiPriority w:val="0"/>
    <w:rPr>
      <w:kern w:val="2"/>
      <w:sz w:val="24"/>
      <w:szCs w:val="24"/>
    </w:rPr>
  </w:style>
  <w:style w:type="paragraph" w:customStyle="1" w:styleId="1077">
    <w:name w:val="Char10"/>
    <w:basedOn w:val="1"/>
    <w:autoRedefine/>
    <w:qFormat/>
    <w:uiPriority w:val="0"/>
    <w:rPr>
      <w:sz w:val="24"/>
    </w:rPr>
  </w:style>
  <w:style w:type="paragraph" w:customStyle="1" w:styleId="1078">
    <w:name w:val="正文文本缩进3"/>
    <w:basedOn w:val="1"/>
    <w:autoRedefine/>
    <w:qFormat/>
    <w:uiPriority w:val="0"/>
    <w:pPr>
      <w:adjustRightInd w:val="0"/>
      <w:spacing w:after="120" w:line="360" w:lineRule="auto"/>
      <w:ind w:left="420" w:leftChars="200" w:firstLine="200" w:firstLineChars="200"/>
      <w:textAlignment w:val="baseline"/>
    </w:pPr>
    <w:rPr>
      <w:sz w:val="24"/>
    </w:rPr>
  </w:style>
  <w:style w:type="paragraph" w:customStyle="1" w:styleId="1079">
    <w:name w:val="XYF表格"/>
    <w:basedOn w:val="339"/>
    <w:autoRedefine/>
    <w:qFormat/>
    <w:uiPriority w:val="0"/>
    <w:pPr>
      <w:ind w:firstLine="0" w:firstLineChars="0"/>
    </w:pPr>
    <w:rPr>
      <w:rFonts w:ascii="Times New Roman" w:hAnsi="Times New Roman" w:cs="Times New Roman"/>
      <w:kern w:val="2"/>
      <w:lang w:eastAsia="zh-CN"/>
    </w:rPr>
  </w:style>
  <w:style w:type="character" w:customStyle="1" w:styleId="1080">
    <w:name w:val="px14"/>
    <w:autoRedefine/>
    <w:qFormat/>
    <w:uiPriority w:val="0"/>
  </w:style>
  <w:style w:type="paragraph" w:customStyle="1" w:styleId="1081">
    <w:name w:val="环标2"/>
    <w:basedOn w:val="6"/>
    <w:autoRedefine/>
    <w:qFormat/>
    <w:uiPriority w:val="0"/>
    <w:pPr>
      <w:tabs>
        <w:tab w:val="left" w:pos="720"/>
      </w:tabs>
      <w:ind w:left="720" w:hanging="363"/>
    </w:pPr>
    <w:rPr>
      <w:kern w:val="0"/>
      <w:lang w:val="zh-CN"/>
    </w:rPr>
  </w:style>
  <w:style w:type="paragraph" w:customStyle="1" w:styleId="1082">
    <w:name w:val="Char Char Char1 Char4"/>
    <w:basedOn w:val="1"/>
    <w:autoRedefine/>
    <w:qFormat/>
    <w:uiPriority w:val="0"/>
    <w:rPr>
      <w:szCs w:val="20"/>
    </w:rPr>
  </w:style>
  <w:style w:type="paragraph" w:customStyle="1" w:styleId="1083">
    <w:name w:val="样式 左侧:  2 字符"/>
    <w:basedOn w:val="1"/>
    <w:autoRedefine/>
    <w:qFormat/>
    <w:uiPriority w:val="0"/>
    <w:pPr>
      <w:spacing w:line="560" w:lineRule="exact"/>
    </w:pPr>
    <w:rPr>
      <w:rFonts w:cs="宋体"/>
      <w:sz w:val="28"/>
      <w:szCs w:val="20"/>
    </w:rPr>
  </w:style>
  <w:style w:type="character" w:customStyle="1" w:styleId="1084">
    <w:name w:val="jianjun"/>
    <w:autoRedefine/>
    <w:qFormat/>
    <w:uiPriority w:val="0"/>
  </w:style>
  <w:style w:type="paragraph" w:customStyle="1" w:styleId="1085">
    <w:name w:val="简单回函地址"/>
    <w:basedOn w:val="1"/>
    <w:autoRedefine/>
    <w:qFormat/>
    <w:uiPriority w:val="0"/>
  </w:style>
  <w:style w:type="character" w:customStyle="1" w:styleId="1086">
    <w:name w:val="bbc1"/>
    <w:autoRedefine/>
    <w:qFormat/>
    <w:uiPriority w:val="0"/>
  </w:style>
  <w:style w:type="paragraph" w:customStyle="1" w:styleId="1087">
    <w:name w:val="样式 标题 21.1标题 21.1标题2标题 2 Char节_Heading 2. (1.1)§1.1.§1...."/>
    <w:basedOn w:val="6"/>
    <w:autoRedefine/>
    <w:qFormat/>
    <w:uiPriority w:val="0"/>
    <w:pPr>
      <w:tabs>
        <w:tab w:val="left" w:pos="720"/>
      </w:tabs>
      <w:ind w:left="720" w:hanging="363"/>
    </w:pPr>
    <w:rPr>
      <w:kern w:val="0"/>
      <w:lang w:val="zh-CN"/>
    </w:rPr>
  </w:style>
  <w:style w:type="paragraph" w:customStyle="1" w:styleId="1088">
    <w:name w:val="Char8"/>
    <w:basedOn w:val="1"/>
    <w:autoRedefine/>
    <w:qFormat/>
    <w:uiPriority w:val="0"/>
    <w:rPr>
      <w:sz w:val="24"/>
    </w:rPr>
  </w:style>
  <w:style w:type="paragraph" w:customStyle="1" w:styleId="1089">
    <w:name w:val="SCIDI标题4"/>
    <w:basedOn w:val="9"/>
    <w:autoRedefine/>
    <w:qFormat/>
    <w:uiPriority w:val="0"/>
    <w:rPr>
      <w:rFonts w:ascii="等线 Light" w:hAnsi="等线 Light" w:eastAsia="等线 Light"/>
      <w:kern w:val="0"/>
      <w:lang w:val="zh-CN"/>
    </w:rPr>
  </w:style>
  <w:style w:type="paragraph" w:customStyle="1" w:styleId="1090">
    <w:name w:val="样式 小四 行距: 1.5 倍行距"/>
    <w:basedOn w:val="1"/>
    <w:autoRedefine/>
    <w:qFormat/>
    <w:uiPriority w:val="0"/>
    <w:pPr>
      <w:spacing w:line="360" w:lineRule="auto"/>
    </w:pPr>
    <w:rPr>
      <w:sz w:val="24"/>
      <w:szCs w:val="20"/>
    </w:rPr>
  </w:style>
  <w:style w:type="character" w:customStyle="1" w:styleId="1091">
    <w:name w:val=":( Char"/>
    <w:link w:val="1062"/>
    <w:autoRedefine/>
    <w:qFormat/>
    <w:uiPriority w:val="0"/>
    <w:rPr>
      <w:rFonts w:eastAsia="·s²Ó©úÅé"/>
      <w:kern w:val="2"/>
      <w:sz w:val="21"/>
      <w:szCs w:val="18"/>
    </w:rPr>
  </w:style>
  <w:style w:type="character" w:customStyle="1" w:styleId="1092">
    <w:name w:val="linehei1"/>
    <w:autoRedefine/>
    <w:qFormat/>
    <w:uiPriority w:val="0"/>
    <w:rPr>
      <w:color w:val="00519C"/>
      <w:sz w:val="18"/>
      <w:szCs w:val="18"/>
      <w:u w:val="none"/>
    </w:rPr>
  </w:style>
  <w:style w:type="character" w:customStyle="1" w:styleId="1093">
    <w:name w:val="title31"/>
    <w:autoRedefine/>
    <w:qFormat/>
    <w:uiPriority w:val="0"/>
    <w:rPr>
      <w:rFonts w:hint="eastAsia" w:ascii="宋体" w:hAnsi="宋体" w:eastAsia="宋体"/>
      <w:color w:val="000000"/>
      <w:sz w:val="23"/>
      <w:szCs w:val="23"/>
    </w:rPr>
  </w:style>
  <w:style w:type="character" w:customStyle="1" w:styleId="1094">
    <w:name w:val="title21"/>
    <w:autoRedefine/>
    <w:qFormat/>
    <w:uiPriority w:val="0"/>
    <w:rPr>
      <w:rFonts w:hint="eastAsia" w:ascii="黑体" w:eastAsia="黑体"/>
      <w:b/>
      <w:bCs/>
      <w:sz w:val="27"/>
      <w:szCs w:val="27"/>
    </w:rPr>
  </w:style>
  <w:style w:type="paragraph" w:customStyle="1" w:styleId="1095">
    <w:name w:val="Char Char Char Char4"/>
    <w:basedOn w:val="1"/>
    <w:autoRedefine/>
    <w:qFormat/>
    <w:uiPriority w:val="0"/>
  </w:style>
  <w:style w:type="character" w:customStyle="1" w:styleId="1096">
    <w:name w:val="htd01"/>
    <w:autoRedefine/>
    <w:qFormat/>
    <w:uiPriority w:val="0"/>
    <w:rPr>
      <w:spacing w:val="240"/>
    </w:rPr>
  </w:style>
  <w:style w:type="character" w:customStyle="1" w:styleId="1097">
    <w:name w:val="Char Char41"/>
    <w:autoRedefine/>
    <w:qFormat/>
    <w:uiPriority w:val="0"/>
    <w:rPr>
      <w:rFonts w:eastAsia="宋体"/>
      <w:kern w:val="2"/>
      <w:sz w:val="21"/>
      <w:szCs w:val="24"/>
      <w:lang w:val="en-US" w:eastAsia="zh-CN" w:bidi="ar-SA"/>
    </w:rPr>
  </w:style>
  <w:style w:type="character" w:customStyle="1" w:styleId="1098">
    <w:name w:val="content_size_131"/>
    <w:autoRedefine/>
    <w:qFormat/>
    <w:uiPriority w:val="0"/>
    <w:rPr>
      <w:sz w:val="20"/>
      <w:szCs w:val="20"/>
    </w:rPr>
  </w:style>
  <w:style w:type="paragraph" w:customStyle="1" w:styleId="1099">
    <w:name w:val="样式 XYF1 + 宋体"/>
    <w:basedOn w:val="339"/>
    <w:autoRedefine/>
    <w:qFormat/>
    <w:uiPriority w:val="0"/>
    <w:pPr>
      <w:spacing w:line="480" w:lineRule="exact"/>
      <w:ind w:firstLine="200" w:firstLineChars="200"/>
    </w:pPr>
    <w:rPr>
      <w:rFonts w:ascii="宋体" w:hAnsi="宋体" w:cs="宋体"/>
      <w:kern w:val="2"/>
      <w:sz w:val="28"/>
      <w:szCs w:val="20"/>
      <w:lang w:eastAsia="zh-CN"/>
    </w:rPr>
  </w:style>
  <w:style w:type="paragraph" w:customStyle="1" w:styleId="1100">
    <w:name w:val="样式 正文缩进 + 宋体 段后: 6 磅 行距: 单倍行距"/>
    <w:basedOn w:val="8"/>
    <w:autoRedefine/>
    <w:qFormat/>
    <w:uiPriority w:val="0"/>
    <w:rPr>
      <w:kern w:val="0"/>
      <w:sz w:val="20"/>
      <w:lang w:val="zh-CN"/>
    </w:rPr>
  </w:style>
  <w:style w:type="character" w:customStyle="1" w:styleId="1101">
    <w:name w:val="f14bb style2"/>
    <w:autoRedefine/>
    <w:qFormat/>
    <w:uiPriority w:val="0"/>
  </w:style>
  <w:style w:type="paragraph" w:customStyle="1" w:styleId="1102">
    <w:name w:val="33333"/>
    <w:basedOn w:val="1"/>
    <w:link w:val="1103"/>
    <w:autoRedefine/>
    <w:qFormat/>
    <w:uiPriority w:val="0"/>
    <w:pPr>
      <w:spacing w:line="440" w:lineRule="exact"/>
      <w:ind w:firstLine="480" w:firstLineChars="200"/>
    </w:pPr>
    <w:rPr>
      <w:rFonts w:ascii="Arial" w:hAnsi="宋体" w:cs="宋体"/>
      <w:sz w:val="24"/>
      <w:szCs w:val="20"/>
    </w:rPr>
  </w:style>
  <w:style w:type="character" w:customStyle="1" w:styleId="1103">
    <w:name w:val="33333 Char"/>
    <w:link w:val="1102"/>
    <w:autoRedefine/>
    <w:qFormat/>
    <w:uiPriority w:val="0"/>
    <w:rPr>
      <w:rFonts w:ascii="Arial" w:hAnsi="宋体" w:cs="宋体"/>
      <w:kern w:val="2"/>
      <w:sz w:val="24"/>
    </w:rPr>
  </w:style>
  <w:style w:type="paragraph" w:customStyle="1" w:styleId="1104">
    <w:name w:val="样式 表内容 + 居中 行距: 固定值 14 磅"/>
    <w:basedOn w:val="1"/>
    <w:link w:val="1105"/>
    <w:autoRedefine/>
    <w:qFormat/>
    <w:uiPriority w:val="0"/>
    <w:pPr>
      <w:adjustRightInd w:val="0"/>
      <w:snapToGrid w:val="0"/>
      <w:spacing w:line="280" w:lineRule="exact"/>
      <w:jc w:val="center"/>
      <w:textAlignment w:val="bottom"/>
    </w:pPr>
    <w:rPr>
      <w:rFonts w:eastAsia="楷体_GB2312"/>
      <w:kern w:val="0"/>
      <w:szCs w:val="20"/>
    </w:rPr>
  </w:style>
  <w:style w:type="character" w:customStyle="1" w:styleId="1105">
    <w:name w:val="样式 表内容 + 居中 行距: 固定值 14 磅 Char"/>
    <w:link w:val="1104"/>
    <w:autoRedefine/>
    <w:qFormat/>
    <w:uiPriority w:val="0"/>
    <w:rPr>
      <w:rFonts w:eastAsia="楷体_GB2312"/>
      <w:sz w:val="21"/>
    </w:rPr>
  </w:style>
  <w:style w:type="character" w:customStyle="1" w:styleId="1106">
    <w:name w:val="javascript1"/>
    <w:autoRedefine/>
    <w:qFormat/>
    <w:uiPriority w:val="0"/>
    <w:rPr>
      <w:rFonts w:hint="default" w:ascii="Tahoma" w:hAnsi="Tahoma" w:cs="Tahoma"/>
      <w:sz w:val="18"/>
      <w:szCs w:val="18"/>
    </w:rPr>
  </w:style>
  <w:style w:type="paragraph" w:customStyle="1" w:styleId="1107">
    <w:name w:val="Char Char Char1 Char3"/>
    <w:basedOn w:val="1"/>
    <w:autoRedefine/>
    <w:qFormat/>
    <w:uiPriority w:val="0"/>
    <w:rPr>
      <w:szCs w:val="20"/>
    </w:rPr>
  </w:style>
  <w:style w:type="paragraph" w:customStyle="1" w:styleId="1108">
    <w:name w:val="Char Char Char1 Char2"/>
    <w:basedOn w:val="1"/>
    <w:autoRedefine/>
    <w:qFormat/>
    <w:uiPriority w:val="0"/>
    <w:rPr>
      <w:szCs w:val="20"/>
    </w:rPr>
  </w:style>
  <w:style w:type="character" w:customStyle="1" w:styleId="1109">
    <w:name w:val="表格的文字 Char Char"/>
    <w:autoRedefine/>
    <w:qFormat/>
    <w:uiPriority w:val="0"/>
    <w:rPr>
      <w:rFonts w:ascii="仿宋_GB2312" w:eastAsia="仿宋_GB2312"/>
      <w:bCs/>
      <w:kern w:val="2"/>
      <w:sz w:val="21"/>
      <w:szCs w:val="24"/>
      <w:lang w:val="en-US" w:eastAsia="zh-CN" w:bidi="ar-SA"/>
    </w:rPr>
  </w:style>
  <w:style w:type="paragraph" w:customStyle="1" w:styleId="1110">
    <w:name w:val="样式 表文字 + 仿宋_GB2312 首行缩进:  0.99 厘米 行距: 固定值 15 磅"/>
    <w:basedOn w:val="1"/>
    <w:autoRedefine/>
    <w:qFormat/>
    <w:uiPriority w:val="0"/>
    <w:pPr>
      <w:widowControl/>
      <w:spacing w:line="240" w:lineRule="atLeast"/>
      <w:jc w:val="center"/>
    </w:pPr>
    <w:rPr>
      <w:rFonts w:ascii="仿宋_GB2312" w:hAnsi="宋体" w:eastAsia="仿宋_GB2312" w:cs="宋体"/>
      <w:kern w:val="0"/>
      <w:szCs w:val="20"/>
    </w:rPr>
  </w:style>
  <w:style w:type="paragraph" w:customStyle="1" w:styleId="1111">
    <w:name w:val="样式 文档结构图 + (符号) 宋体 首行缩进:  2 字符"/>
    <w:basedOn w:val="28"/>
    <w:autoRedefine/>
    <w:qFormat/>
    <w:uiPriority w:val="0"/>
    <w:pPr>
      <w:spacing w:line="500" w:lineRule="exact"/>
      <w:ind w:firstLine="560" w:firstLineChars="200"/>
      <w:jc w:val="left"/>
    </w:pPr>
    <w:rPr>
      <w:rFonts w:ascii="仿宋_GB2312" w:hAnsi="宋体" w:cs="宋体"/>
    </w:rPr>
  </w:style>
  <w:style w:type="paragraph" w:customStyle="1" w:styleId="1112">
    <w:name w:val="正文文本21"/>
    <w:autoRedefine/>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paragraph" w:customStyle="1" w:styleId="1113">
    <w:name w:val="正文文本缩进4"/>
    <w:basedOn w:val="1"/>
    <w:autoRedefine/>
    <w:qFormat/>
    <w:uiPriority w:val="0"/>
    <w:pPr>
      <w:adjustRightInd w:val="0"/>
      <w:spacing w:after="120" w:line="360" w:lineRule="auto"/>
      <w:ind w:left="420" w:leftChars="200" w:firstLine="200" w:firstLineChars="200"/>
      <w:textAlignment w:val="baseline"/>
    </w:pPr>
    <w:rPr>
      <w:sz w:val="24"/>
    </w:rPr>
  </w:style>
  <w:style w:type="paragraph" w:customStyle="1" w:styleId="1114">
    <w:name w:val="正文缩进7"/>
    <w:basedOn w:val="1"/>
    <w:autoRedefine/>
    <w:qFormat/>
    <w:uiPriority w:val="0"/>
    <w:pPr>
      <w:adjustRightInd w:val="0"/>
      <w:ind w:firstLine="420" w:firstLineChars="200"/>
      <w:textAlignment w:val="baseline"/>
    </w:pPr>
    <w:rPr>
      <w:rFonts w:hint="eastAsia" w:hAnsi="宋体"/>
      <w:sz w:val="24"/>
      <w:szCs w:val="20"/>
    </w:rPr>
  </w:style>
  <w:style w:type="table" w:customStyle="1" w:styleId="1115">
    <w:name w:val="灰度表格1223"/>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table" w:customStyle="1" w:styleId="1116">
    <w:name w:val="maoli11"/>
    <w:basedOn w:val="87"/>
    <w:autoRedefine/>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117">
    <w:name w:val="maoli12"/>
    <w:basedOn w:val="87"/>
    <w:autoRedefine/>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118">
    <w:name w:val="font16"/>
    <w:basedOn w:val="1"/>
    <w:autoRedefine/>
    <w:qFormat/>
    <w:uiPriority w:val="0"/>
    <w:pPr>
      <w:widowControl/>
      <w:spacing w:before="100" w:beforeAutospacing="1" w:after="100" w:afterAutospacing="1"/>
      <w:jc w:val="left"/>
    </w:pPr>
    <w:rPr>
      <w:rFonts w:ascii="宋体" w:hAnsi="宋体" w:cs="宋体"/>
      <w:b/>
      <w:bCs/>
      <w:color w:val="000000"/>
      <w:kern w:val="0"/>
      <w:szCs w:val="21"/>
    </w:rPr>
  </w:style>
  <w:style w:type="paragraph" w:customStyle="1" w:styleId="1119">
    <w:name w:val="Chi"/>
    <w:basedOn w:val="1"/>
    <w:autoRedefine/>
    <w:qFormat/>
    <w:uiPriority w:val="0"/>
    <w:pPr>
      <w:widowControl/>
      <w:spacing w:before="40" w:after="120"/>
      <w:ind w:left="851"/>
      <w:jc w:val="left"/>
    </w:pPr>
    <w:rPr>
      <w:rFonts w:ascii="Arial" w:hAnsi="Arial"/>
      <w:kern w:val="0"/>
      <w:sz w:val="20"/>
      <w:szCs w:val="20"/>
    </w:rPr>
  </w:style>
  <w:style w:type="paragraph" w:customStyle="1" w:styleId="1120">
    <w:name w:val="Eng"/>
    <w:basedOn w:val="1"/>
    <w:autoRedefine/>
    <w:qFormat/>
    <w:uiPriority w:val="0"/>
    <w:pPr>
      <w:widowControl/>
      <w:spacing w:before="120"/>
      <w:ind w:left="851"/>
      <w:jc w:val="left"/>
    </w:pPr>
    <w:rPr>
      <w:rFonts w:ascii="Arial" w:hAnsi="Arial" w:eastAsia="Arial" w:cs="Arial"/>
      <w:kern w:val="0"/>
      <w:sz w:val="20"/>
      <w:szCs w:val="20"/>
    </w:rPr>
  </w:style>
  <w:style w:type="paragraph" w:customStyle="1" w:styleId="1121">
    <w:name w:val="正文文本3"/>
    <w:autoRedefine/>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US" w:eastAsia="zh-CN" w:bidi="ar-SA"/>
    </w:rPr>
  </w:style>
  <w:style w:type="paragraph" w:customStyle="1" w:styleId="1122">
    <w:name w:val="TOC 标题11"/>
    <w:basedOn w:val="5"/>
    <w:next w:val="1"/>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123">
    <w:name w:val="列出段落2"/>
    <w:basedOn w:val="1"/>
    <w:autoRedefine/>
    <w:qFormat/>
    <w:uiPriority w:val="34"/>
    <w:pPr>
      <w:ind w:firstLine="420" w:firstLineChars="200"/>
    </w:pPr>
  </w:style>
  <w:style w:type="paragraph" w:customStyle="1" w:styleId="1124">
    <w:name w:val="日期1"/>
    <w:basedOn w:val="1"/>
    <w:next w:val="1"/>
    <w:autoRedefine/>
    <w:qFormat/>
    <w:uiPriority w:val="0"/>
    <w:pPr>
      <w:ind w:left="100" w:leftChars="2500"/>
    </w:pPr>
    <w:rPr>
      <w:rFonts w:ascii="宋体" w:hAnsi="宋体"/>
      <w:sz w:val="24"/>
    </w:rPr>
  </w:style>
  <w:style w:type="paragraph" w:customStyle="1" w:styleId="1125">
    <w:name w:val="正文文本缩进 31"/>
    <w:basedOn w:val="1"/>
    <w:autoRedefine/>
    <w:qFormat/>
    <w:uiPriority w:val="0"/>
    <w:pPr>
      <w:spacing w:line="360" w:lineRule="auto"/>
      <w:ind w:firstLine="480"/>
    </w:pPr>
    <w:rPr>
      <w:rFonts w:ascii="华文仿宋" w:hAnsi="华文仿宋" w:eastAsia="华文仿宋"/>
      <w:color w:val="000000"/>
      <w:sz w:val="24"/>
    </w:rPr>
  </w:style>
  <w:style w:type="paragraph" w:customStyle="1" w:styleId="1126">
    <w:name w:val="环表头"/>
    <w:basedOn w:val="1"/>
    <w:next w:val="1"/>
    <w:link w:val="2071"/>
    <w:autoRedefine/>
    <w:qFormat/>
    <w:uiPriority w:val="0"/>
    <w:pPr>
      <w:widowControl/>
      <w:suppressAutoHyphens/>
      <w:adjustRightInd w:val="0"/>
      <w:spacing w:line="560" w:lineRule="exact"/>
      <w:jc w:val="center"/>
      <w:textAlignment w:val="baseline"/>
    </w:pPr>
    <w:rPr>
      <w:rFonts w:ascii="仿宋_GB2312" w:hAnsi="宋体" w:eastAsia="仿宋_GB2312"/>
      <w:b/>
      <w:kern w:val="0"/>
      <w:szCs w:val="21"/>
    </w:rPr>
  </w:style>
  <w:style w:type="paragraph" w:customStyle="1" w:styleId="1127">
    <w:name w:val="文档结构图1"/>
    <w:basedOn w:val="1"/>
    <w:autoRedefine/>
    <w:qFormat/>
    <w:uiPriority w:val="0"/>
    <w:pPr>
      <w:shd w:val="clear" w:color="auto" w:fill="000080"/>
    </w:pPr>
    <w:rPr>
      <w:shd w:val="clear" w:color="auto" w:fill="000080"/>
    </w:rPr>
  </w:style>
  <w:style w:type="paragraph" w:customStyle="1" w:styleId="1128">
    <w:name w:val="列表2"/>
    <w:basedOn w:val="1"/>
    <w:autoRedefine/>
    <w:qFormat/>
    <w:uiPriority w:val="0"/>
    <w:pPr>
      <w:spacing w:line="320" w:lineRule="exact"/>
      <w:jc w:val="center"/>
    </w:pPr>
    <w:rPr>
      <w:rFonts w:ascii="仿宋_GB2312" w:eastAsia="仿宋_GB2312"/>
      <w:sz w:val="24"/>
      <w:szCs w:val="20"/>
    </w:rPr>
  </w:style>
  <w:style w:type="paragraph" w:customStyle="1" w:styleId="1129">
    <w:name w:val="正文文本 22"/>
    <w:basedOn w:val="1"/>
    <w:autoRedefine/>
    <w:qFormat/>
    <w:uiPriority w:val="0"/>
    <w:pPr>
      <w:spacing w:after="120" w:line="480" w:lineRule="auto"/>
    </w:pPr>
  </w:style>
  <w:style w:type="paragraph" w:customStyle="1" w:styleId="1130">
    <w:name w:val="样式 样式 标题 3 + 四号 + 四号"/>
    <w:basedOn w:val="1131"/>
    <w:autoRedefine/>
    <w:qFormat/>
    <w:uiPriority w:val="0"/>
    <w:pPr>
      <w:tabs>
        <w:tab w:val="left" w:pos="1077"/>
        <w:tab w:val="left" w:pos="1170"/>
      </w:tabs>
      <w:adjustRightInd/>
      <w:spacing w:beforeLines="30" w:after="260" w:afterLines="30" w:line="415" w:lineRule="auto"/>
      <w:ind w:left="0" w:firstLine="0"/>
      <w:jc w:val="both"/>
      <w:textAlignment w:val="auto"/>
    </w:pPr>
    <w:rPr>
      <w:rFonts w:ascii="宋体" w:hAnsi="宋体" w:eastAsia="宋体"/>
      <w:b/>
      <w:bCs/>
      <w:kern w:val="2"/>
    </w:rPr>
  </w:style>
  <w:style w:type="paragraph" w:customStyle="1" w:styleId="1131">
    <w:name w:val="样式 标题 3 + 四号"/>
    <w:basedOn w:val="7"/>
    <w:autoRedefine/>
    <w:qFormat/>
    <w:uiPriority w:val="0"/>
    <w:pPr>
      <w:tabs>
        <w:tab w:val="left" w:pos="1077"/>
      </w:tabs>
      <w:ind w:left="1077" w:hanging="357"/>
    </w:pPr>
    <w:rPr>
      <w:lang w:val="zh-CN"/>
    </w:rPr>
  </w:style>
  <w:style w:type="paragraph" w:customStyle="1" w:styleId="1132">
    <w:name w:val="正文文本缩进 21"/>
    <w:basedOn w:val="1"/>
    <w:autoRedefine/>
    <w:qFormat/>
    <w:uiPriority w:val="0"/>
    <w:pPr>
      <w:spacing w:line="500" w:lineRule="exact"/>
      <w:ind w:firstLine="567"/>
    </w:pPr>
    <w:rPr>
      <w:rFonts w:ascii="仿宋_GB2312" w:eastAsia="仿宋_GB2312"/>
      <w:sz w:val="28"/>
    </w:rPr>
  </w:style>
  <w:style w:type="paragraph" w:customStyle="1" w:styleId="1133">
    <w:name w:val="批注主题1"/>
    <w:basedOn w:val="30"/>
    <w:next w:val="30"/>
    <w:autoRedefine/>
    <w:qFormat/>
    <w:uiPriority w:val="0"/>
    <w:pPr>
      <w:widowControl/>
    </w:pPr>
    <w:rPr>
      <w:b/>
      <w:bCs/>
      <w:szCs w:val="24"/>
      <w:lang w:val="zh-CN"/>
    </w:rPr>
  </w:style>
  <w:style w:type="paragraph" w:customStyle="1" w:styleId="1134">
    <w:name w:val="样式 标题 2 + (符号) Times New Roman"/>
    <w:basedOn w:val="6"/>
    <w:link w:val="1146"/>
    <w:autoRedefine/>
    <w:qFormat/>
    <w:uiPriority w:val="0"/>
    <w:pPr>
      <w:tabs>
        <w:tab w:val="left" w:pos="720"/>
      </w:tabs>
      <w:ind w:left="720" w:hanging="363"/>
    </w:pPr>
    <w:rPr>
      <w:kern w:val="0"/>
      <w:lang w:val="zh-CN"/>
    </w:rPr>
  </w:style>
  <w:style w:type="paragraph" w:customStyle="1" w:styleId="1135">
    <w:name w:val="Char Char Char Char Char Char Char Char Char"/>
    <w:basedOn w:val="1"/>
    <w:autoRedefine/>
    <w:qFormat/>
    <w:uiPriority w:val="0"/>
    <w:pPr>
      <w:snapToGrid w:val="0"/>
    </w:pPr>
    <w:rPr>
      <w:rFonts w:ascii="Tahoma" w:hAnsi="Tahoma"/>
      <w:sz w:val="24"/>
      <w:szCs w:val="20"/>
    </w:rPr>
  </w:style>
  <w:style w:type="paragraph" w:customStyle="1" w:styleId="1136">
    <w:name w:val="样式 标题 5 + 段前: 0.5 行"/>
    <w:basedOn w:val="10"/>
    <w:autoRedefine/>
    <w:qFormat/>
    <w:uiPriority w:val="0"/>
  </w:style>
  <w:style w:type="paragraph" w:customStyle="1" w:styleId="1137">
    <w:name w:val="样式 标题 2 + (西文) Times New Roman"/>
    <w:basedOn w:val="6"/>
    <w:autoRedefine/>
    <w:qFormat/>
    <w:uiPriority w:val="0"/>
    <w:pPr>
      <w:tabs>
        <w:tab w:val="left" w:pos="720"/>
      </w:tabs>
      <w:ind w:left="720" w:hanging="363"/>
    </w:pPr>
    <w:rPr>
      <w:kern w:val="0"/>
      <w:lang w:val="zh-CN"/>
    </w:rPr>
  </w:style>
  <w:style w:type="paragraph" w:customStyle="1" w:styleId="1138">
    <w:name w:val="普通(网站)3"/>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139">
    <w:name w:val="Char Char1 Char Char Char Char Char Char"/>
    <w:basedOn w:val="1"/>
    <w:autoRedefine/>
    <w:qFormat/>
    <w:uiPriority w:val="0"/>
    <w:pPr>
      <w:widowControl/>
      <w:spacing w:after="160" w:line="240" w:lineRule="exact"/>
      <w:jc w:val="left"/>
    </w:pPr>
    <w:rPr>
      <w:rFonts w:ascii="宋体" w:hAnsi="宋体"/>
      <w:kern w:val="0"/>
      <w:szCs w:val="21"/>
      <w:lang w:eastAsia="en-US"/>
    </w:rPr>
  </w:style>
  <w:style w:type="paragraph" w:customStyle="1" w:styleId="1140">
    <w:name w:val="zheng"/>
    <w:basedOn w:val="1"/>
    <w:link w:val="1144"/>
    <w:autoRedefine/>
    <w:qFormat/>
    <w:uiPriority w:val="0"/>
    <w:pPr>
      <w:spacing w:line="440" w:lineRule="exact"/>
      <w:ind w:firstLine="480" w:firstLineChars="200"/>
    </w:pPr>
    <w:rPr>
      <w:kern w:val="0"/>
      <w:sz w:val="24"/>
      <w:lang w:val="zh-CN"/>
    </w:rPr>
  </w:style>
  <w:style w:type="character" w:customStyle="1" w:styleId="1141">
    <w:name w:val="报告表格 Char Char"/>
    <w:autoRedefine/>
    <w:qFormat/>
    <w:uiPriority w:val="0"/>
    <w:rPr>
      <w:rFonts w:ascii="Times New Roman" w:hAnsi="Times New Roman" w:eastAsia="宋体" w:cs="Times New Roman"/>
      <w:kern w:val="0"/>
      <w:sz w:val="18"/>
      <w:szCs w:val="18"/>
    </w:rPr>
  </w:style>
  <w:style w:type="character" w:customStyle="1" w:styleId="1142">
    <w:name w:val="页码1"/>
    <w:autoRedefine/>
    <w:qFormat/>
    <w:uiPriority w:val="0"/>
  </w:style>
  <w:style w:type="character" w:customStyle="1" w:styleId="1143">
    <w:name w:val="正文缩进 Char3"/>
    <w:autoRedefine/>
    <w:qFormat/>
    <w:uiPriority w:val="0"/>
    <w:rPr>
      <w:rFonts w:eastAsia="宋体"/>
      <w:kern w:val="2"/>
      <w:sz w:val="21"/>
      <w:szCs w:val="24"/>
      <w:lang w:val="en-US" w:eastAsia="zh-CN"/>
    </w:rPr>
  </w:style>
  <w:style w:type="character" w:customStyle="1" w:styleId="1144">
    <w:name w:val="zheng Char Char"/>
    <w:link w:val="1140"/>
    <w:autoRedefine/>
    <w:qFormat/>
    <w:uiPriority w:val="0"/>
    <w:rPr>
      <w:sz w:val="24"/>
      <w:szCs w:val="24"/>
      <w:lang w:val="zh-CN" w:eastAsia="zh-CN"/>
    </w:rPr>
  </w:style>
  <w:style w:type="character" w:customStyle="1" w:styleId="1145">
    <w:name w:val="ca-2"/>
    <w:autoRedefine/>
    <w:qFormat/>
    <w:uiPriority w:val="0"/>
  </w:style>
  <w:style w:type="character" w:customStyle="1" w:styleId="1146">
    <w:name w:val="样式 标题 2 + (符号) Times New Roman Char Char"/>
    <w:link w:val="1134"/>
    <w:autoRedefine/>
    <w:qFormat/>
    <w:uiPriority w:val="0"/>
    <w:rPr>
      <w:rFonts w:ascii="宋体"/>
      <w:sz w:val="28"/>
      <w:lang w:val="zh-CN" w:eastAsia="zh-CN"/>
    </w:rPr>
  </w:style>
  <w:style w:type="character" w:customStyle="1" w:styleId="1147">
    <w:name w:val="word1"/>
    <w:autoRedefine/>
    <w:qFormat/>
    <w:uiPriority w:val="0"/>
    <w:rPr>
      <w:rFonts w:hint="default" w:ascii="ˎ̥" w:hAnsi="ˎ̥"/>
      <w:sz w:val="23"/>
      <w:szCs w:val="23"/>
      <w:u w:val="none"/>
    </w:rPr>
  </w:style>
  <w:style w:type="paragraph" w:customStyle="1" w:styleId="1148">
    <w:name w:val="列出段落3"/>
    <w:basedOn w:val="1"/>
    <w:autoRedefine/>
    <w:qFormat/>
    <w:uiPriority w:val="0"/>
    <w:pPr>
      <w:ind w:firstLine="420" w:firstLineChars="200"/>
    </w:pPr>
    <w:rPr>
      <w:rFonts w:ascii="Calibri" w:hAnsi="Calibri"/>
      <w:szCs w:val="22"/>
    </w:rPr>
  </w:style>
  <w:style w:type="paragraph" w:customStyle="1" w:styleId="1149">
    <w:name w:val="Char32"/>
    <w:basedOn w:val="1"/>
    <w:autoRedefine/>
    <w:qFormat/>
    <w:uiPriority w:val="0"/>
    <w:pPr>
      <w:widowControl/>
      <w:spacing w:line="360" w:lineRule="auto"/>
    </w:pPr>
    <w:rPr>
      <w:rFonts w:cs="宋体"/>
      <w:color w:val="000000"/>
      <w:kern w:val="0"/>
      <w:szCs w:val="20"/>
    </w:rPr>
  </w:style>
  <w:style w:type="paragraph" w:customStyle="1" w:styleId="1150">
    <w:name w:val="Char Char1 Char Char Char1 Char1"/>
    <w:basedOn w:val="1"/>
    <w:autoRedefine/>
    <w:qFormat/>
    <w:uiPriority w:val="0"/>
    <w:pPr>
      <w:adjustRightInd w:val="0"/>
      <w:spacing w:line="360" w:lineRule="auto"/>
    </w:pPr>
    <w:rPr>
      <w:kern w:val="0"/>
      <w:sz w:val="24"/>
      <w:szCs w:val="20"/>
    </w:rPr>
  </w:style>
  <w:style w:type="table" w:customStyle="1" w:styleId="1151">
    <w:name w:val="黄桥表4"/>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52">
    <w:name w:val="article1"/>
    <w:autoRedefine/>
    <w:qFormat/>
    <w:uiPriority w:val="0"/>
    <w:rPr>
      <w:b/>
      <w:bCs/>
      <w:smallCaps/>
      <w:color w:val="FF0000"/>
      <w:sz w:val="43"/>
      <w:szCs w:val="43"/>
    </w:rPr>
  </w:style>
  <w:style w:type="character" w:customStyle="1" w:styleId="1153">
    <w:name w:val="zhenwen141"/>
    <w:autoRedefine/>
    <w:qFormat/>
    <w:uiPriority w:val="0"/>
    <w:rPr>
      <w:rFonts w:hint="default" w:ascii="ˎ̥" w:hAnsi="ˎ̥"/>
      <w:sz w:val="21"/>
      <w:szCs w:val="21"/>
    </w:rPr>
  </w:style>
  <w:style w:type="character" w:customStyle="1" w:styleId="1154">
    <w:name w:val="keyword"/>
    <w:autoRedefine/>
    <w:qFormat/>
    <w:uiPriority w:val="0"/>
  </w:style>
  <w:style w:type="character" w:customStyle="1" w:styleId="1155">
    <w:name w:val="style71"/>
    <w:autoRedefine/>
    <w:qFormat/>
    <w:uiPriority w:val="0"/>
    <w:rPr>
      <w:color w:val="000000"/>
    </w:rPr>
  </w:style>
  <w:style w:type="character" w:customStyle="1" w:styleId="1156">
    <w:name w:val="large1"/>
    <w:autoRedefine/>
    <w:qFormat/>
    <w:uiPriority w:val="0"/>
    <w:rPr>
      <w:sz w:val="22"/>
      <w:szCs w:val="22"/>
    </w:rPr>
  </w:style>
  <w:style w:type="paragraph" w:customStyle="1" w:styleId="1157">
    <w:name w:val="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158">
    <w:name w:val="样式 列表"/>
    <w:basedOn w:val="66"/>
    <w:autoRedefine/>
    <w:qFormat/>
    <w:uiPriority w:val="0"/>
  </w:style>
  <w:style w:type="paragraph" w:customStyle="1" w:styleId="1159">
    <w:name w:val="样式 样式 样式 样式 标题 2 + 段前: 0.25 行 段后: 0.25 行 + 段前: 0.25 行 段后: 0.25 行..."/>
    <w:basedOn w:val="1"/>
    <w:autoRedefine/>
    <w:qFormat/>
    <w:uiPriority w:val="0"/>
    <w:pPr>
      <w:keepNext/>
      <w:keepLines/>
      <w:tabs>
        <w:tab w:val="left" w:pos="1080"/>
      </w:tabs>
      <w:adjustRightInd w:val="0"/>
      <w:snapToGrid w:val="0"/>
      <w:spacing w:before="78" w:beforeLines="25" w:after="78" w:afterLines="25" w:line="360" w:lineRule="auto"/>
      <w:jc w:val="left"/>
      <w:outlineLvl w:val="1"/>
    </w:pPr>
    <w:rPr>
      <w:b/>
      <w:bCs/>
      <w:sz w:val="24"/>
      <w:szCs w:val="20"/>
    </w:rPr>
  </w:style>
  <w:style w:type="paragraph" w:customStyle="1" w:styleId="1160">
    <w:name w:val="样式 样式 标题 1 + 段前: 1.5 行 段后: 1.5 行 行距: 多倍行距 1.25 字行 + 段前: 0.5 行 段..."/>
    <w:basedOn w:val="1"/>
    <w:autoRedefine/>
    <w:qFormat/>
    <w:uiPriority w:val="0"/>
    <w:pPr>
      <w:keepNext/>
      <w:keepLines/>
      <w:tabs>
        <w:tab w:val="left" w:pos="720"/>
      </w:tabs>
      <w:snapToGrid w:val="0"/>
      <w:spacing w:before="156" w:beforeLines="50" w:after="156" w:afterLines="50" w:line="360" w:lineRule="auto"/>
      <w:ind w:left="431" w:hanging="431"/>
      <w:jc w:val="left"/>
      <w:outlineLvl w:val="0"/>
    </w:pPr>
    <w:rPr>
      <w:b/>
      <w:bCs/>
      <w:kern w:val="44"/>
      <w:sz w:val="28"/>
      <w:szCs w:val="20"/>
    </w:rPr>
  </w:style>
  <w:style w:type="paragraph" w:customStyle="1" w:styleId="1161">
    <w:name w:val="默认段落字体 Para Char Char Char Char Char Char Char"/>
    <w:basedOn w:val="1"/>
    <w:autoRedefine/>
    <w:qFormat/>
    <w:uiPriority w:val="0"/>
    <w:rPr>
      <w:szCs w:val="20"/>
    </w:rPr>
  </w:style>
  <w:style w:type="character" w:customStyle="1" w:styleId="1162">
    <w:name w:val="textcontents"/>
    <w:autoRedefine/>
    <w:qFormat/>
    <w:uiPriority w:val="0"/>
  </w:style>
  <w:style w:type="paragraph" w:customStyle="1" w:styleId="1163">
    <w:name w:val="f12"/>
    <w:basedOn w:val="1"/>
    <w:autoRedefine/>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1164">
    <w:name w:val="zxz5"/>
    <w:next w:val="1"/>
    <w:autoRedefine/>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165">
    <w:name w:val="样式 样式 首行缩进:  2 字符 + 首行缩进:  2 字符2"/>
    <w:basedOn w:val="1"/>
    <w:link w:val="1166"/>
    <w:autoRedefine/>
    <w:qFormat/>
    <w:uiPriority w:val="0"/>
    <w:pPr>
      <w:spacing w:line="440" w:lineRule="exact"/>
      <w:ind w:firstLine="584" w:firstLineChars="200"/>
    </w:pPr>
    <w:rPr>
      <w:rFonts w:eastAsia="楷体_GB2312"/>
      <w:spacing w:val="6"/>
      <w:kern w:val="0"/>
      <w:sz w:val="28"/>
      <w:szCs w:val="20"/>
      <w:lang w:val="zh-CN"/>
    </w:rPr>
  </w:style>
  <w:style w:type="character" w:customStyle="1" w:styleId="1166">
    <w:name w:val="样式 样式 首行缩进:  2 字符 + 首行缩进:  2 字符2 Char"/>
    <w:link w:val="1165"/>
    <w:autoRedefine/>
    <w:qFormat/>
    <w:uiPriority w:val="0"/>
    <w:rPr>
      <w:rFonts w:eastAsia="楷体_GB2312"/>
      <w:spacing w:val="6"/>
      <w:sz w:val="28"/>
      <w:lang w:val="zh-CN" w:eastAsia="zh-CN"/>
    </w:rPr>
  </w:style>
  <w:style w:type="paragraph" w:customStyle="1" w:styleId="1167">
    <w:name w:val="pic-info"/>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68">
    <w:name w:val="样式 标题 2 + Times New Roman"/>
    <w:basedOn w:val="6"/>
    <w:link w:val="1169"/>
    <w:autoRedefine/>
    <w:qFormat/>
    <w:uiPriority w:val="0"/>
    <w:pPr>
      <w:tabs>
        <w:tab w:val="left" w:pos="720"/>
      </w:tabs>
      <w:ind w:left="720" w:hanging="363"/>
    </w:pPr>
    <w:rPr>
      <w:kern w:val="0"/>
      <w:lang w:val="zh-CN"/>
    </w:rPr>
  </w:style>
  <w:style w:type="character" w:customStyle="1" w:styleId="1169">
    <w:name w:val="样式 标题 2 + Times New Roman Char"/>
    <w:link w:val="1168"/>
    <w:autoRedefine/>
    <w:qFormat/>
    <w:uiPriority w:val="0"/>
    <w:rPr>
      <w:rFonts w:ascii="宋体"/>
      <w:sz w:val="28"/>
      <w:lang w:val="zh-CN" w:eastAsia="zh-CN"/>
    </w:rPr>
  </w:style>
  <w:style w:type="table" w:customStyle="1" w:styleId="1170">
    <w:name w:val="网格型881"/>
    <w:basedOn w:val="8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71">
    <w:name w:val="Char2 Char Char Char Char Char Char1"/>
    <w:basedOn w:val="1"/>
    <w:autoRedefine/>
    <w:qFormat/>
    <w:uiPriority w:val="0"/>
    <w:rPr>
      <w:sz w:val="24"/>
    </w:rPr>
  </w:style>
  <w:style w:type="character" w:customStyle="1" w:styleId="1172">
    <w:name w:val="尾注文本 Char"/>
    <w:link w:val="52"/>
    <w:autoRedefine/>
    <w:qFormat/>
    <w:uiPriority w:val="99"/>
    <w:rPr>
      <w:rFonts w:ascii="仿宋_GB2312" w:hAnsi="仿宋_GB2312" w:eastAsia="仿宋_GB2312"/>
      <w:kern w:val="2"/>
      <w:sz w:val="28"/>
      <w:szCs w:val="21"/>
      <w:lang w:val="zh-CN" w:eastAsia="zh-CN"/>
    </w:rPr>
  </w:style>
  <w:style w:type="character" w:customStyle="1" w:styleId="1173">
    <w:name w:val="批注框文本 Char Char"/>
    <w:link w:val="1174"/>
    <w:autoRedefine/>
    <w:qFormat/>
    <w:uiPriority w:val="0"/>
    <w:rPr>
      <w:sz w:val="18"/>
    </w:rPr>
  </w:style>
  <w:style w:type="paragraph" w:customStyle="1" w:styleId="1174">
    <w:name w:val="批注框文本1"/>
    <w:basedOn w:val="1"/>
    <w:link w:val="1173"/>
    <w:autoRedefine/>
    <w:qFormat/>
    <w:uiPriority w:val="0"/>
    <w:rPr>
      <w:kern w:val="0"/>
      <w:sz w:val="18"/>
      <w:szCs w:val="20"/>
    </w:rPr>
  </w:style>
  <w:style w:type="paragraph" w:customStyle="1" w:styleId="1175">
    <w:name w:val="样式 标题 1章标题 1H1Section HeadHeader1h11st levell1Heading 0..."/>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176">
    <w:name w:val="正文文本缩进5"/>
    <w:basedOn w:val="1"/>
    <w:autoRedefine/>
    <w:qFormat/>
    <w:uiPriority w:val="0"/>
    <w:pPr>
      <w:adjustRightInd w:val="0"/>
      <w:spacing w:after="120" w:line="360" w:lineRule="auto"/>
      <w:ind w:left="420" w:leftChars="200" w:firstLine="200" w:firstLineChars="200"/>
      <w:textAlignment w:val="baseline"/>
    </w:pPr>
    <w:rPr>
      <w:sz w:val="24"/>
    </w:rPr>
  </w:style>
  <w:style w:type="paragraph" w:customStyle="1" w:styleId="1177">
    <w:name w:val="样式 居中 首行缩进:  2 字符 行距: 固定值 18 磅"/>
    <w:basedOn w:val="1"/>
    <w:autoRedefine/>
    <w:qFormat/>
    <w:uiPriority w:val="0"/>
    <w:pPr>
      <w:spacing w:line="240" w:lineRule="atLeast"/>
      <w:jc w:val="center"/>
    </w:pPr>
    <w:rPr>
      <w:rFonts w:ascii="仿宋_GB2312" w:hAnsi="仿宋_GB2312" w:eastAsia="仿宋_GB2312" w:cs="宋体"/>
      <w:color w:val="000000"/>
      <w:kern w:val="0"/>
      <w:szCs w:val="20"/>
    </w:rPr>
  </w:style>
  <w:style w:type="table" w:customStyle="1" w:styleId="1178">
    <w:name w:val="灰度表格1224"/>
    <w:basedOn w:val="8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79">
    <w:name w:val="灰度表格1225"/>
    <w:basedOn w:val="8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80">
    <w:name w:val="灰度表格1226"/>
    <w:basedOn w:val="8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81">
    <w:name w:val="maoli111"/>
    <w:basedOn w:val="87"/>
    <w:autoRedefine/>
    <w:qFormat/>
    <w:uiPriority w:val="0"/>
    <w:rPr>
      <w:rFonts w:eastAsia="仿宋_GB231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182">
    <w:name w:val="maoli13"/>
    <w:basedOn w:val="87"/>
    <w:autoRedefine/>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183">
    <w:name w:val="表格主题1"/>
    <w:basedOn w:val="87"/>
    <w:autoRedefine/>
    <w:qFormat/>
    <w:uiPriority w:val="0"/>
    <w:pPr>
      <w:widowControl w:val="0"/>
      <w:jc w:val="both"/>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1184">
    <w:name w:val="表格内容-中间对齐"/>
    <w:basedOn w:val="1"/>
    <w:autoRedefine/>
    <w:qFormat/>
    <w:uiPriority w:val="0"/>
    <w:pPr>
      <w:spacing w:line="240" w:lineRule="atLeast"/>
      <w:jc w:val="center"/>
    </w:pPr>
    <w:rPr>
      <w:bCs/>
      <w:kern w:val="0"/>
      <w:szCs w:val="20"/>
      <w:lang w:val="en-GB" w:bidi="he-IL"/>
    </w:rPr>
  </w:style>
  <w:style w:type="paragraph" w:customStyle="1" w:styleId="1185">
    <w:name w:val="xl115"/>
    <w:basedOn w:val="1"/>
    <w:autoRedefine/>
    <w:qFormat/>
    <w:uiPriority w:val="0"/>
    <w:pPr>
      <w:widowControl/>
      <w:spacing w:before="100" w:beforeAutospacing="1" w:after="100" w:afterAutospacing="1"/>
      <w:jc w:val="center"/>
    </w:pPr>
    <w:rPr>
      <w:rFonts w:ascii="宋体" w:hAnsi="宋体" w:cs="宋体"/>
      <w:kern w:val="0"/>
      <w:szCs w:val="21"/>
    </w:rPr>
  </w:style>
  <w:style w:type="paragraph" w:customStyle="1" w:styleId="1186">
    <w:name w:val="表格文字样式"/>
    <w:basedOn w:val="1"/>
    <w:autoRedefine/>
    <w:qFormat/>
    <w:uiPriority w:val="0"/>
    <w:pPr>
      <w:widowControl/>
      <w:tabs>
        <w:tab w:val="left" w:pos="567"/>
      </w:tabs>
      <w:jc w:val="center"/>
    </w:pPr>
    <w:rPr>
      <w:rFonts w:eastAsia="华文中宋"/>
      <w:kern w:val="0"/>
      <w:sz w:val="24"/>
    </w:rPr>
  </w:style>
  <w:style w:type="character" w:customStyle="1" w:styleId="1187">
    <w:name w:val="标题2 Char"/>
    <w:autoRedefine/>
    <w:qFormat/>
    <w:uiPriority w:val="0"/>
    <w:rPr>
      <w:rFonts w:ascii="Times New Roman" w:hAnsi="Times New Roman" w:eastAsia="方正楷体_GBK"/>
      <w:snapToGrid w:val="0"/>
      <w:sz w:val="32"/>
    </w:rPr>
  </w:style>
  <w:style w:type="paragraph" w:customStyle="1" w:styleId="1188">
    <w:name w:val="Char2 Char Char Char Char Char Char2"/>
    <w:basedOn w:val="1"/>
    <w:autoRedefine/>
    <w:qFormat/>
    <w:uiPriority w:val="0"/>
    <w:rPr>
      <w:sz w:val="24"/>
    </w:rPr>
  </w:style>
  <w:style w:type="paragraph" w:customStyle="1" w:styleId="1189">
    <w:name w:val="Char Char1 Char Char Char1 Char2"/>
    <w:basedOn w:val="1"/>
    <w:autoRedefine/>
    <w:qFormat/>
    <w:uiPriority w:val="0"/>
    <w:pPr>
      <w:adjustRightInd w:val="0"/>
      <w:spacing w:line="360" w:lineRule="auto"/>
    </w:pPr>
    <w:rPr>
      <w:kern w:val="0"/>
      <w:sz w:val="24"/>
      <w:szCs w:val="20"/>
    </w:rPr>
  </w:style>
  <w:style w:type="paragraph" w:customStyle="1" w:styleId="1190">
    <w:name w:val="Char33"/>
    <w:basedOn w:val="1"/>
    <w:autoRedefine/>
    <w:qFormat/>
    <w:uiPriority w:val="0"/>
    <w:pPr>
      <w:widowControl/>
      <w:spacing w:line="360" w:lineRule="auto"/>
    </w:pPr>
    <w:rPr>
      <w:rFonts w:cs="宋体"/>
      <w:color w:val="000000"/>
      <w:kern w:val="0"/>
      <w:szCs w:val="20"/>
    </w:rPr>
  </w:style>
  <w:style w:type="paragraph" w:customStyle="1" w:styleId="1191">
    <w:name w:val="Char2 Char Char Char Char Char Char3"/>
    <w:basedOn w:val="1"/>
    <w:autoRedefine/>
    <w:qFormat/>
    <w:uiPriority w:val="0"/>
    <w:rPr>
      <w:sz w:val="24"/>
    </w:rPr>
  </w:style>
  <w:style w:type="paragraph" w:customStyle="1" w:styleId="1192">
    <w:name w:val="Char Char1 Char Char Char1 Char3"/>
    <w:basedOn w:val="1"/>
    <w:autoRedefine/>
    <w:qFormat/>
    <w:uiPriority w:val="0"/>
    <w:pPr>
      <w:adjustRightInd w:val="0"/>
      <w:spacing w:line="360" w:lineRule="auto"/>
    </w:pPr>
    <w:rPr>
      <w:kern w:val="0"/>
      <w:sz w:val="24"/>
      <w:szCs w:val="20"/>
    </w:rPr>
  </w:style>
  <w:style w:type="character" w:customStyle="1" w:styleId="1193">
    <w:name w:val="正文文字缩进 2 Char1"/>
    <w:autoRedefine/>
    <w:qFormat/>
    <w:uiPriority w:val="0"/>
    <w:rPr>
      <w:rFonts w:eastAsia="宋体"/>
      <w:kern w:val="2"/>
      <w:sz w:val="24"/>
      <w:lang w:val="en-US" w:eastAsia="zh-CN" w:bidi="ar-SA"/>
    </w:rPr>
  </w:style>
  <w:style w:type="character" w:customStyle="1" w:styleId="1194">
    <w:name w:val="样式 标题 2 + (符号) Times New Roman Char"/>
    <w:autoRedefine/>
    <w:qFormat/>
    <w:uiPriority w:val="0"/>
    <w:rPr>
      <w:rFonts w:ascii="Arial" w:hAnsi="Arial" w:eastAsia="仿宋_GB2312"/>
      <w:b/>
      <w:bCs/>
      <w:kern w:val="2"/>
      <w:sz w:val="32"/>
      <w:szCs w:val="32"/>
    </w:rPr>
  </w:style>
  <w:style w:type="character" w:customStyle="1" w:styleId="1195">
    <w:name w:val="特点标题 Char Char1"/>
    <w:autoRedefine/>
    <w:qFormat/>
    <w:uiPriority w:val="0"/>
    <w:rPr>
      <w:rFonts w:eastAsia="宋体"/>
      <w:kern w:val="2"/>
      <w:sz w:val="24"/>
      <w:lang w:val="en-US" w:eastAsia="zh-CN" w:bidi="ar-SA"/>
    </w:rPr>
  </w:style>
  <w:style w:type="character" w:customStyle="1" w:styleId="1196">
    <w:name w:val="特点标题 Char Char"/>
    <w:autoRedefine/>
    <w:qFormat/>
    <w:uiPriority w:val="0"/>
    <w:rPr>
      <w:rFonts w:eastAsia="宋体"/>
      <w:kern w:val="2"/>
      <w:sz w:val="24"/>
      <w:lang w:val="en-US" w:eastAsia="zh-CN" w:bidi="ar-SA"/>
    </w:rPr>
  </w:style>
  <w:style w:type="table" w:customStyle="1" w:styleId="1197">
    <w:name w:val="图表样式-HX1"/>
    <w:basedOn w:val="87"/>
    <w:autoRedefine/>
    <w:qFormat/>
    <w:uiPriority w:val="99"/>
    <w:rPr>
      <w:rFonts w:ascii="仿宋_GB2312" w:eastAsia="仿宋_GB2312"/>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vAlign w:val="center"/>
    </w:tcPr>
  </w:style>
  <w:style w:type="table" w:customStyle="1" w:styleId="1198">
    <w:name w:val="maoli2"/>
    <w:basedOn w:val="87"/>
    <w:autoRedefine/>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199">
    <w:name w:val="灰度表格1221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00">
    <w:name w:val="Char37"/>
    <w:basedOn w:val="1"/>
    <w:autoRedefine/>
    <w:qFormat/>
    <w:uiPriority w:val="0"/>
    <w:pPr>
      <w:spacing w:line="360" w:lineRule="auto"/>
    </w:pPr>
    <w:rPr>
      <w:color w:val="000000"/>
      <w:szCs w:val="20"/>
    </w:rPr>
  </w:style>
  <w:style w:type="paragraph" w:customStyle="1" w:styleId="1201">
    <w:name w:val="Char Char Char Char7"/>
    <w:basedOn w:val="1"/>
    <w:autoRedefine/>
    <w:qFormat/>
    <w:uiPriority w:val="0"/>
    <w:rPr>
      <w:szCs w:val="21"/>
    </w:rPr>
  </w:style>
  <w:style w:type="table" w:customStyle="1" w:styleId="1202">
    <w:name w:val="网格型5"/>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03">
    <w:name w:val="Char36"/>
    <w:basedOn w:val="1"/>
    <w:autoRedefine/>
    <w:qFormat/>
    <w:uiPriority w:val="0"/>
    <w:pPr>
      <w:widowControl/>
      <w:spacing w:line="360" w:lineRule="auto"/>
    </w:pPr>
    <w:rPr>
      <w:rFonts w:cs="宋体"/>
      <w:color w:val="000000"/>
      <w:kern w:val="0"/>
      <w:szCs w:val="20"/>
    </w:rPr>
  </w:style>
  <w:style w:type="paragraph" w:customStyle="1" w:styleId="1204">
    <w:name w:val="Char Char Char Char6"/>
    <w:basedOn w:val="1"/>
    <w:autoRedefine/>
    <w:qFormat/>
    <w:uiPriority w:val="0"/>
    <w:pPr>
      <w:widowControl/>
    </w:pPr>
    <w:rPr>
      <w:rFonts w:cs="宋体"/>
      <w:kern w:val="0"/>
    </w:rPr>
  </w:style>
  <w:style w:type="paragraph" w:customStyle="1" w:styleId="1205">
    <w:name w:val="Char2 Char Char Char Char Char Char6"/>
    <w:basedOn w:val="1"/>
    <w:autoRedefine/>
    <w:qFormat/>
    <w:uiPriority w:val="0"/>
    <w:rPr>
      <w:sz w:val="24"/>
    </w:rPr>
  </w:style>
  <w:style w:type="paragraph" w:customStyle="1" w:styleId="1206">
    <w:name w:val="Char Char Char6"/>
    <w:basedOn w:val="1"/>
    <w:autoRedefine/>
    <w:qFormat/>
    <w:uiPriority w:val="0"/>
    <w:pPr>
      <w:adjustRightInd w:val="0"/>
      <w:spacing w:line="360" w:lineRule="auto"/>
    </w:pPr>
    <w:rPr>
      <w:kern w:val="28"/>
      <w:sz w:val="28"/>
      <w:szCs w:val="20"/>
    </w:rPr>
  </w:style>
  <w:style w:type="paragraph" w:customStyle="1" w:styleId="1207">
    <w:name w:val="Char Char1 Char Char Char1 Char6"/>
    <w:basedOn w:val="1"/>
    <w:autoRedefine/>
    <w:qFormat/>
    <w:uiPriority w:val="0"/>
    <w:pPr>
      <w:adjustRightInd w:val="0"/>
      <w:spacing w:line="360" w:lineRule="auto"/>
    </w:pPr>
    <w:rPr>
      <w:kern w:val="0"/>
      <w:sz w:val="24"/>
      <w:szCs w:val="20"/>
    </w:rPr>
  </w:style>
  <w:style w:type="character" w:styleId="1208">
    <w:name w:val="Placeholder Text"/>
    <w:autoRedefine/>
    <w:qFormat/>
    <w:uiPriority w:val="99"/>
    <w:rPr>
      <w:color w:val="808080"/>
    </w:rPr>
  </w:style>
  <w:style w:type="paragraph" w:customStyle="1" w:styleId="1209">
    <w:name w:val="表格文本"/>
    <w:basedOn w:val="1"/>
    <w:link w:val="1210"/>
    <w:autoRedefine/>
    <w:qFormat/>
    <w:uiPriority w:val="0"/>
    <w:pPr>
      <w:adjustRightInd w:val="0"/>
      <w:snapToGrid w:val="0"/>
      <w:jc w:val="center"/>
    </w:pPr>
    <w:rPr>
      <w:sz w:val="24"/>
      <w:szCs w:val="21"/>
    </w:rPr>
  </w:style>
  <w:style w:type="character" w:customStyle="1" w:styleId="1210">
    <w:name w:val="表格文本 Char"/>
    <w:link w:val="1209"/>
    <w:autoRedefine/>
    <w:qFormat/>
    <w:uiPriority w:val="0"/>
    <w:rPr>
      <w:kern w:val="2"/>
      <w:sz w:val="24"/>
      <w:szCs w:val="21"/>
    </w:rPr>
  </w:style>
  <w:style w:type="table" w:customStyle="1" w:styleId="1211">
    <w:name w:val="D小表"/>
    <w:basedOn w:val="87"/>
    <w:autoRedefine/>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212">
    <w:name w:val="Char35"/>
    <w:basedOn w:val="1"/>
    <w:autoRedefine/>
    <w:qFormat/>
    <w:uiPriority w:val="0"/>
    <w:pPr>
      <w:widowControl/>
      <w:spacing w:line="360" w:lineRule="auto"/>
    </w:pPr>
    <w:rPr>
      <w:rFonts w:cs="宋体"/>
      <w:color w:val="000000"/>
      <w:kern w:val="0"/>
      <w:szCs w:val="20"/>
    </w:rPr>
  </w:style>
  <w:style w:type="paragraph" w:customStyle="1" w:styleId="1213">
    <w:name w:val="Char2 Char Char Char Char Char Char5"/>
    <w:basedOn w:val="1"/>
    <w:autoRedefine/>
    <w:qFormat/>
    <w:uiPriority w:val="0"/>
    <w:rPr>
      <w:sz w:val="24"/>
    </w:rPr>
  </w:style>
  <w:style w:type="paragraph" w:customStyle="1" w:styleId="1214">
    <w:name w:val="Char Char Char5"/>
    <w:basedOn w:val="1"/>
    <w:autoRedefine/>
    <w:qFormat/>
    <w:uiPriority w:val="0"/>
    <w:pPr>
      <w:adjustRightInd w:val="0"/>
      <w:spacing w:line="360" w:lineRule="auto"/>
    </w:pPr>
    <w:rPr>
      <w:kern w:val="28"/>
      <w:sz w:val="28"/>
      <w:szCs w:val="20"/>
    </w:rPr>
  </w:style>
  <w:style w:type="paragraph" w:customStyle="1" w:styleId="1215">
    <w:name w:val="Char Char1 Char Char Char1 Char5"/>
    <w:basedOn w:val="1"/>
    <w:autoRedefine/>
    <w:qFormat/>
    <w:uiPriority w:val="0"/>
    <w:pPr>
      <w:adjustRightInd w:val="0"/>
      <w:spacing w:line="360" w:lineRule="auto"/>
    </w:pPr>
    <w:rPr>
      <w:kern w:val="0"/>
      <w:sz w:val="24"/>
      <w:szCs w:val="20"/>
    </w:rPr>
  </w:style>
  <w:style w:type="character" w:customStyle="1" w:styleId="1216">
    <w:name w:val="标题 5 Char1"/>
    <w:autoRedefine/>
    <w:qFormat/>
    <w:uiPriority w:val="9"/>
    <w:rPr>
      <w:rFonts w:ascii="仿宋_GB2312" w:hAnsi="仿宋_GB2312" w:eastAsia="仿宋_GB2312"/>
      <w:b/>
      <w:bCs/>
      <w:kern w:val="2"/>
      <w:sz w:val="28"/>
      <w:szCs w:val="28"/>
      <w:lang w:val="zh-CN" w:eastAsia="zh-CN"/>
    </w:rPr>
  </w:style>
  <w:style w:type="character" w:customStyle="1" w:styleId="1217">
    <w:name w:val="标题 6 Char1"/>
    <w:autoRedefine/>
    <w:qFormat/>
    <w:uiPriority w:val="9"/>
    <w:rPr>
      <w:rFonts w:ascii="Cambria" w:hAnsi="Cambria"/>
      <w:b/>
      <w:bCs/>
      <w:kern w:val="2"/>
      <w:sz w:val="24"/>
      <w:szCs w:val="24"/>
      <w:lang w:val="zh-CN" w:eastAsia="zh-CN"/>
    </w:rPr>
  </w:style>
  <w:style w:type="character" w:customStyle="1" w:styleId="1218">
    <w:name w:val="标题 7 Char1"/>
    <w:autoRedefine/>
    <w:qFormat/>
    <w:uiPriority w:val="0"/>
    <w:rPr>
      <w:rFonts w:ascii="仿宋_GB2312" w:hAnsi="仿宋_GB2312" w:eastAsia="仿宋_GB2312"/>
      <w:b/>
      <w:bCs/>
      <w:kern w:val="2"/>
      <w:sz w:val="24"/>
      <w:szCs w:val="24"/>
      <w:lang w:val="zh-CN" w:eastAsia="zh-CN"/>
    </w:rPr>
  </w:style>
  <w:style w:type="character" w:customStyle="1" w:styleId="1219">
    <w:name w:val="标题 8 Char1"/>
    <w:autoRedefine/>
    <w:qFormat/>
    <w:uiPriority w:val="0"/>
    <w:rPr>
      <w:rFonts w:ascii="Cambria" w:hAnsi="Cambria"/>
      <w:kern w:val="2"/>
      <w:sz w:val="24"/>
      <w:szCs w:val="24"/>
      <w:lang w:val="zh-CN" w:eastAsia="zh-CN"/>
    </w:rPr>
  </w:style>
  <w:style w:type="character" w:customStyle="1" w:styleId="1220">
    <w:name w:val="标题 9 Char1"/>
    <w:autoRedefine/>
    <w:qFormat/>
    <w:uiPriority w:val="0"/>
    <w:rPr>
      <w:rFonts w:ascii="Cambria" w:hAnsi="Cambria"/>
      <w:kern w:val="2"/>
      <w:sz w:val="21"/>
      <w:szCs w:val="21"/>
      <w:lang w:val="zh-CN" w:eastAsia="zh-CN"/>
    </w:rPr>
  </w:style>
  <w:style w:type="character" w:customStyle="1" w:styleId="1221">
    <w:name w:val="页眉 Char2"/>
    <w:autoRedefine/>
    <w:qFormat/>
    <w:uiPriority w:val="0"/>
    <w:rPr>
      <w:sz w:val="18"/>
      <w:szCs w:val="18"/>
    </w:rPr>
  </w:style>
  <w:style w:type="paragraph" w:customStyle="1" w:styleId="1222">
    <w:name w:val="Char34"/>
    <w:basedOn w:val="1"/>
    <w:autoRedefine/>
    <w:qFormat/>
    <w:uiPriority w:val="0"/>
    <w:pPr>
      <w:widowControl/>
      <w:spacing w:line="360" w:lineRule="auto"/>
    </w:pPr>
    <w:rPr>
      <w:rFonts w:cs="宋体"/>
      <w:color w:val="000000"/>
      <w:kern w:val="0"/>
      <w:szCs w:val="20"/>
    </w:rPr>
  </w:style>
  <w:style w:type="paragraph" w:customStyle="1" w:styleId="1223">
    <w:name w:val="Char2 Char Char Char Char Char Char4"/>
    <w:basedOn w:val="1"/>
    <w:autoRedefine/>
    <w:qFormat/>
    <w:uiPriority w:val="0"/>
    <w:rPr>
      <w:sz w:val="24"/>
    </w:rPr>
  </w:style>
  <w:style w:type="paragraph" w:customStyle="1" w:styleId="1224">
    <w:name w:val="Char Char1 Char Char Char1 Char4"/>
    <w:basedOn w:val="1"/>
    <w:autoRedefine/>
    <w:qFormat/>
    <w:uiPriority w:val="0"/>
    <w:pPr>
      <w:adjustRightInd w:val="0"/>
      <w:spacing w:line="360" w:lineRule="auto"/>
    </w:pPr>
    <w:rPr>
      <w:kern w:val="0"/>
      <w:sz w:val="24"/>
      <w:szCs w:val="20"/>
    </w:rPr>
  </w:style>
  <w:style w:type="table" w:customStyle="1" w:styleId="1225">
    <w:name w:val="网格型511"/>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paragraph" w:customStyle="1" w:styleId="1226">
    <w:name w:val="font17"/>
    <w:basedOn w:val="1"/>
    <w:autoRedefine/>
    <w:qFormat/>
    <w:uiPriority w:val="0"/>
    <w:pPr>
      <w:widowControl/>
      <w:spacing w:before="100" w:beforeAutospacing="1" w:after="100" w:afterAutospacing="1"/>
      <w:jc w:val="left"/>
    </w:pPr>
    <w:rPr>
      <w:color w:val="000000"/>
      <w:kern w:val="0"/>
      <w:szCs w:val="21"/>
    </w:rPr>
  </w:style>
  <w:style w:type="paragraph" w:customStyle="1" w:styleId="1227">
    <w:name w:val="font18"/>
    <w:basedOn w:val="1"/>
    <w:autoRedefine/>
    <w:qFormat/>
    <w:uiPriority w:val="0"/>
    <w:pPr>
      <w:widowControl/>
      <w:spacing w:before="100" w:beforeAutospacing="1" w:after="100" w:afterAutospacing="1"/>
      <w:jc w:val="left"/>
    </w:pPr>
    <w:rPr>
      <w:rFonts w:ascii="宋体" w:hAnsi="宋体" w:cs="宋体"/>
      <w:kern w:val="0"/>
      <w:sz w:val="18"/>
      <w:szCs w:val="18"/>
    </w:rPr>
  </w:style>
  <w:style w:type="character" w:customStyle="1" w:styleId="1228">
    <w:name w:val="fcg1"/>
    <w:autoRedefine/>
    <w:qFormat/>
    <w:uiPriority w:val="0"/>
    <w:rPr>
      <w:color w:val="008000"/>
    </w:rPr>
  </w:style>
  <w:style w:type="paragraph" w:customStyle="1" w:styleId="1229">
    <w:name w:val="Char Char Char8"/>
    <w:basedOn w:val="1"/>
    <w:autoRedefine/>
    <w:qFormat/>
    <w:uiPriority w:val="0"/>
    <w:pPr>
      <w:widowControl/>
      <w:jc w:val="left"/>
    </w:pPr>
    <w:rPr>
      <w:rFonts w:ascii="宋体" w:hAnsi="宋体" w:cs="宋体"/>
      <w:kern w:val="0"/>
      <w:sz w:val="24"/>
    </w:rPr>
  </w:style>
  <w:style w:type="paragraph" w:customStyle="1" w:styleId="1230">
    <w:name w:val="Char Char Char Char8"/>
    <w:basedOn w:val="1"/>
    <w:autoRedefine/>
    <w:qFormat/>
    <w:uiPriority w:val="0"/>
    <w:rPr>
      <w:szCs w:val="21"/>
    </w:rPr>
  </w:style>
  <w:style w:type="table" w:customStyle="1" w:styleId="1231">
    <w:name w:val="表格主题2"/>
    <w:basedOn w:val="8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32">
    <w:name w:val="纯文本4"/>
    <w:basedOn w:val="1"/>
    <w:autoRedefine/>
    <w:qFormat/>
    <w:uiPriority w:val="0"/>
    <w:pPr>
      <w:adjustRightInd w:val="0"/>
      <w:textAlignment w:val="baseline"/>
    </w:pPr>
    <w:rPr>
      <w:rFonts w:ascii="宋体" w:hAnsi="Courier New"/>
      <w:szCs w:val="20"/>
    </w:rPr>
  </w:style>
  <w:style w:type="table" w:customStyle="1" w:styleId="1233">
    <w:name w:val="网格型21"/>
    <w:basedOn w:val="87"/>
    <w:autoRedefine/>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4">
    <w:name w:val="网格型31"/>
    <w:basedOn w:val="87"/>
    <w:autoRedefine/>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5">
    <w:name w:val="网格型41"/>
    <w:basedOn w:val="87"/>
    <w:autoRedefine/>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36">
    <w:name w:val="maoli3"/>
    <w:basedOn w:val="87"/>
    <w:autoRedefine/>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237">
    <w:name w:val="表格样式111"/>
    <w:basedOn w:val="87"/>
    <w:autoRedefine/>
    <w:qFormat/>
    <w:uiPriority w:val="0"/>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238">
    <w:name w:val="网格型 1111"/>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1239">
    <w:name w:val="样式 正文 +"/>
    <w:autoRedefine/>
    <w:qFormat/>
    <w:uiPriority w:val="0"/>
    <w:rPr>
      <w:rFonts w:eastAsia="宋体"/>
      <w:kern w:val="0"/>
      <w:sz w:val="28"/>
      <w:szCs w:val="28"/>
    </w:rPr>
  </w:style>
  <w:style w:type="character" w:customStyle="1" w:styleId="1240">
    <w:name w:val="infotitle1"/>
    <w:autoRedefine/>
    <w:qFormat/>
    <w:uiPriority w:val="0"/>
    <w:rPr>
      <w:b/>
      <w:bCs/>
      <w:color w:val="000000"/>
      <w:sz w:val="24"/>
      <w:szCs w:val="24"/>
    </w:rPr>
  </w:style>
  <w:style w:type="character" w:customStyle="1" w:styleId="1241">
    <w:name w:val="sublist-span3"/>
    <w:autoRedefine/>
    <w:qFormat/>
    <w:uiPriority w:val="0"/>
  </w:style>
  <w:style w:type="table" w:customStyle="1" w:styleId="1242">
    <w:name w:val="史丽红的表格"/>
    <w:basedOn w:val="98"/>
    <w:autoRedefine/>
    <w:qFormat/>
    <w:uiPriority w:val="0"/>
    <w:rPr>
      <w:rFonts w:eastAsia="Times New Roman"/>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character" w:customStyle="1" w:styleId="1243">
    <w:name w:val="普通文字 Char Char Char Char Char Char Char Char"/>
    <w:autoRedefine/>
    <w:qFormat/>
    <w:uiPriority w:val="0"/>
    <w:rPr>
      <w:rFonts w:ascii="宋体" w:hAnsi="Courier New" w:eastAsia="宋体"/>
      <w:kern w:val="2"/>
      <w:sz w:val="21"/>
      <w:lang w:val="en-US" w:eastAsia="zh-CN" w:bidi="ar-SA"/>
    </w:rPr>
  </w:style>
  <w:style w:type="character" w:customStyle="1" w:styleId="1244">
    <w:name w:val="无节款 Char Char"/>
    <w:autoRedefine/>
    <w:qFormat/>
    <w:uiPriority w:val="0"/>
    <w:rPr>
      <w:rFonts w:ascii="Arial" w:hAnsi="Arial" w:eastAsia="黑体"/>
      <w:sz w:val="24"/>
      <w:szCs w:val="24"/>
      <w:lang w:val="en-US" w:eastAsia="zh-CN" w:bidi="ar-SA"/>
    </w:rPr>
  </w:style>
  <w:style w:type="character" w:customStyle="1" w:styleId="1245">
    <w:name w:val="标准 Char"/>
    <w:autoRedefine/>
    <w:qFormat/>
    <w:uiPriority w:val="0"/>
    <w:rPr>
      <w:rFonts w:ascii="宋体" w:eastAsia="宋体"/>
      <w:sz w:val="28"/>
      <w:lang w:val="en-US" w:eastAsia="zh-CN" w:bidi="ar-SA"/>
    </w:rPr>
  </w:style>
  <w:style w:type="character" w:customStyle="1" w:styleId="1246">
    <w:name w:val="style31"/>
    <w:autoRedefine/>
    <w:qFormat/>
    <w:uiPriority w:val="0"/>
    <w:rPr>
      <w:b/>
      <w:color w:val="FF0000"/>
      <w:sz w:val="24"/>
    </w:rPr>
  </w:style>
  <w:style w:type="paragraph" w:customStyle="1" w:styleId="1247">
    <w:name w:val="多伦标题3"/>
    <w:basedOn w:val="1"/>
    <w:autoRedefine/>
    <w:qFormat/>
    <w:uiPriority w:val="0"/>
    <w:pPr>
      <w:spacing w:line="360" w:lineRule="auto"/>
      <w:ind w:firstLine="562" w:firstLineChars="200"/>
      <w:jc w:val="left"/>
      <w:outlineLvl w:val="2"/>
    </w:pPr>
    <w:rPr>
      <w:rFonts w:eastAsia="黑体"/>
      <w:b/>
      <w:sz w:val="28"/>
      <w:szCs w:val="28"/>
    </w:rPr>
  </w:style>
  <w:style w:type="paragraph" w:customStyle="1" w:styleId="1248">
    <w:name w:val="Char133"/>
    <w:basedOn w:val="1"/>
    <w:autoRedefine/>
    <w:qFormat/>
    <w:uiPriority w:val="0"/>
    <w:pPr>
      <w:snapToGrid w:val="0"/>
      <w:spacing w:line="360" w:lineRule="auto"/>
      <w:ind w:firstLine="200" w:firstLineChars="200"/>
    </w:pPr>
    <w:rPr>
      <w:rFonts w:eastAsia="仿宋_GB2312"/>
      <w:sz w:val="24"/>
    </w:rPr>
  </w:style>
  <w:style w:type="table" w:customStyle="1" w:styleId="1249">
    <w:name w:val="表格样式13"/>
    <w:basedOn w:val="89"/>
    <w:autoRedefine/>
    <w:qFormat/>
    <w:uiPriority w:val="0"/>
    <w:pPr>
      <w:jc w:val="center"/>
    </w:pPr>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tcPr>
        <w:tcBorders>
          <w:tl2br w:val="nil"/>
          <w:tr2bl w:val="nil"/>
        </w:tcBorders>
      </w:tcPr>
    </w:tblStylePr>
    <w:tblStylePr w:type="swCell">
      <w:tcPr>
        <w:tcBorders>
          <w:tl2br w:val="nil"/>
          <w:tr2bl w:val="nil"/>
        </w:tcBorders>
      </w:tcPr>
    </w:tblStylePr>
  </w:style>
  <w:style w:type="table" w:customStyle="1" w:styleId="1250">
    <w:name w:val="表格主题3"/>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51">
    <w:name w:val="喜欢的2"/>
    <w:basedOn w:val="98"/>
    <w:autoRedefine/>
    <w:qFormat/>
    <w:uiPriority w:val="0"/>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252">
    <w:name w:val="简明型 11"/>
    <w:basedOn w:val="87"/>
    <w:autoRedefine/>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253">
    <w:name w:val="最普通2"/>
    <w:basedOn w:val="117"/>
    <w:autoRedefine/>
    <w:qFormat/>
    <w:uiPriority w:val="0"/>
    <w:pPr>
      <w:spacing w:line="50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254">
    <w:name w:val="表格虚线1"/>
    <w:basedOn w:val="8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55">
    <w:name w:val="Char67"/>
    <w:basedOn w:val="1"/>
    <w:autoRedefine/>
    <w:qFormat/>
    <w:uiPriority w:val="0"/>
    <w:rPr>
      <w:sz w:val="24"/>
    </w:rPr>
  </w:style>
  <w:style w:type="paragraph" w:customStyle="1" w:styleId="1256">
    <w:name w:val="Char Char Char9"/>
    <w:basedOn w:val="1"/>
    <w:autoRedefine/>
    <w:qFormat/>
    <w:uiPriority w:val="0"/>
    <w:rPr>
      <w:sz w:val="24"/>
    </w:rPr>
  </w:style>
  <w:style w:type="paragraph" w:customStyle="1" w:styleId="1257">
    <w:name w:val="纯文本5"/>
    <w:basedOn w:val="1"/>
    <w:autoRedefine/>
    <w:qFormat/>
    <w:uiPriority w:val="0"/>
    <w:pPr>
      <w:autoSpaceDE w:val="0"/>
      <w:autoSpaceDN w:val="0"/>
      <w:adjustRightInd w:val="0"/>
      <w:textAlignment w:val="baseline"/>
    </w:pPr>
    <w:rPr>
      <w:rFonts w:ascii="宋体" w:hAnsi="Tms Rmn"/>
      <w:kern w:val="0"/>
      <w:szCs w:val="20"/>
    </w:rPr>
  </w:style>
  <w:style w:type="paragraph" w:customStyle="1" w:styleId="1258">
    <w:name w:val="Char4 Char Char Char Char Char Char Char Char Char Char Char Char Char Char Char Char Char1 Char Char Char Char Char Char1 Char Char Char Char Char Char Char Char Char Char Char Char Char Char Char Char3"/>
    <w:basedOn w:val="1"/>
    <w:autoRedefine/>
    <w:qFormat/>
    <w:uiPriority w:val="0"/>
    <w:pPr>
      <w:spacing w:line="240" w:lineRule="exact"/>
      <w:ind w:firstLine="200" w:firstLineChars="200"/>
    </w:pPr>
    <w:rPr>
      <w:sz w:val="28"/>
      <w:szCs w:val="28"/>
    </w:rPr>
  </w:style>
  <w:style w:type="paragraph" w:customStyle="1" w:styleId="1259">
    <w:name w:val="Char Char Char Char Char Char Char Char Char1 Char Char Char Char4"/>
    <w:basedOn w:val="1"/>
    <w:autoRedefine/>
    <w:qFormat/>
    <w:uiPriority w:val="0"/>
    <w:rPr>
      <w:szCs w:val="21"/>
    </w:rPr>
  </w:style>
  <w:style w:type="table" w:customStyle="1" w:styleId="1260">
    <w:name w:val="专业型1"/>
    <w:basedOn w:val="87"/>
    <w:autoRedefine/>
    <w:qFormat/>
    <w:uiPriority w:val="0"/>
    <w:pPr>
      <w:widowControl w:val="0"/>
      <w:spacing w:line="50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paragraph" w:customStyle="1" w:styleId="1261">
    <w:name w:val="Char Char Char Char9"/>
    <w:basedOn w:val="1"/>
    <w:autoRedefine/>
    <w:qFormat/>
    <w:uiPriority w:val="0"/>
    <w:rPr>
      <w:szCs w:val="21"/>
    </w:rPr>
  </w:style>
  <w:style w:type="paragraph" w:customStyle="1" w:styleId="1262">
    <w:name w:val="Char Char Char Char Char Char Char40"/>
    <w:basedOn w:val="1"/>
    <w:autoRedefine/>
    <w:qFormat/>
    <w:uiPriority w:val="0"/>
  </w:style>
  <w:style w:type="paragraph" w:customStyle="1" w:styleId="1263">
    <w:name w:val="Char Char Char1 Char Char Char Char3"/>
    <w:basedOn w:val="1"/>
    <w:autoRedefine/>
    <w:qFormat/>
    <w:uiPriority w:val="0"/>
  </w:style>
  <w:style w:type="paragraph" w:customStyle="1" w:styleId="1264">
    <w:name w:val="Char Char Char Char Char Char Char Char Char Char Char Char Char Char Char Char3"/>
    <w:basedOn w:val="1"/>
    <w:autoRedefine/>
    <w:qFormat/>
    <w:uiPriority w:val="0"/>
  </w:style>
  <w:style w:type="paragraph" w:customStyle="1" w:styleId="1265">
    <w:name w:val="Char Char Char Char Char Char Char Char Char Char4"/>
    <w:basedOn w:val="1"/>
    <w:autoRedefine/>
    <w:qFormat/>
    <w:uiPriority w:val="0"/>
  </w:style>
  <w:style w:type="table" w:customStyle="1" w:styleId="1266">
    <w:name w:val="表格样式112"/>
    <w:basedOn w:val="87"/>
    <w:autoRedefine/>
    <w:qFormat/>
    <w:uiPriority w:val="0"/>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267">
    <w:name w:val="网格型22"/>
    <w:basedOn w:val="87"/>
    <w:autoRedefine/>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8">
    <w:name w:val="网格型32"/>
    <w:basedOn w:val="87"/>
    <w:autoRedefine/>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69">
    <w:name w:val="网格型42"/>
    <w:basedOn w:val="87"/>
    <w:autoRedefine/>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70">
    <w:name w:val="喜欢的11"/>
    <w:basedOn w:val="98"/>
    <w:autoRedefine/>
    <w:qFormat/>
    <w:uiPriority w:val="0"/>
    <w:tblPr>
      <w:tblBorders>
        <w:insideH w:val="single" w:color="008000" w:sz="4" w:space="0"/>
        <w:insideV w:val="single" w:color="008000" w:sz="4" w:space="0"/>
      </w:tblBorders>
      <w:tblCellMar>
        <w:top w:w="0" w:type="dxa"/>
        <w:left w:w="108" w:type="dxa"/>
        <w:bottom w:w="0" w:type="dxa"/>
        <w:right w:w="108" w:type="dxa"/>
      </w:tblCellMar>
    </w:tblPr>
    <w:tcPr>
      <w:shd w:val="clear" w:color="auto" w:fill="FFFFFF"/>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271">
    <w:name w:val="网格型 112"/>
    <w:basedOn w:val="87"/>
    <w:autoRedefine/>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272">
    <w:name w:val="网格型 1112"/>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273">
    <w:name w:val="最普通11"/>
    <w:basedOn w:val="117"/>
    <w:autoRedefine/>
    <w:qFormat/>
    <w:uiPriority w:val="0"/>
    <w:pPr>
      <w:spacing w:line="50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274">
    <w:name w:val="表格样式121"/>
    <w:basedOn w:val="87"/>
    <w:autoRedefine/>
    <w:qFormat/>
    <w:uiPriority w:val="0"/>
    <w:pPr>
      <w:jc w:val="center"/>
    </w:pPr>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1275">
    <w:name w:val="maoli4"/>
    <w:basedOn w:val="87"/>
    <w:autoRedefine/>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276">
    <w:name w:val="Char130"/>
    <w:basedOn w:val="1"/>
    <w:autoRedefine/>
    <w:qFormat/>
    <w:uiPriority w:val="0"/>
    <w:pPr>
      <w:snapToGrid w:val="0"/>
      <w:spacing w:line="360" w:lineRule="auto"/>
      <w:ind w:firstLine="200" w:firstLineChars="200"/>
    </w:pPr>
    <w:rPr>
      <w:rFonts w:eastAsia="仿宋_GB2312"/>
      <w:sz w:val="24"/>
    </w:rPr>
  </w:style>
  <w:style w:type="character" w:customStyle="1" w:styleId="1277">
    <w:name w:val="Char Char15"/>
    <w:autoRedefine/>
    <w:qFormat/>
    <w:uiPriority w:val="0"/>
    <w:rPr>
      <w:rFonts w:ascii="楷体_GB2312" w:hAnsi="Arial" w:eastAsia="楷体_GB2312" w:cs="Arial"/>
      <w:b/>
      <w:sz w:val="21"/>
      <w:szCs w:val="21"/>
      <w:lang w:val="en-US" w:eastAsia="zh-CN" w:bidi="ar-SA"/>
    </w:rPr>
  </w:style>
  <w:style w:type="character" w:customStyle="1" w:styleId="1278">
    <w:name w:val="Char Char210"/>
    <w:autoRedefine/>
    <w:qFormat/>
    <w:uiPriority w:val="0"/>
    <w:rPr>
      <w:rFonts w:ascii="Arial" w:hAnsi="Arial" w:eastAsia="楷体_GB2312" w:cs="Arial"/>
      <w:b/>
      <w:sz w:val="24"/>
      <w:lang w:val="en-US" w:eastAsia="zh-CN" w:bidi="ar-SA"/>
    </w:rPr>
  </w:style>
  <w:style w:type="paragraph" w:customStyle="1" w:styleId="1279">
    <w:name w:val="Char1 Char Char Char Char Char1 Char3"/>
    <w:basedOn w:val="1"/>
    <w:autoRedefine/>
    <w:qFormat/>
    <w:uiPriority w:val="0"/>
    <w:rPr>
      <w:szCs w:val="21"/>
    </w:rPr>
  </w:style>
  <w:style w:type="character" w:customStyle="1" w:styleId="1280">
    <w:name w:val="Char Char618"/>
    <w:autoRedefine/>
    <w:qFormat/>
    <w:uiPriority w:val="0"/>
    <w:rPr>
      <w:rFonts w:eastAsia="宋体"/>
      <w:kern w:val="2"/>
      <w:sz w:val="24"/>
      <w:lang w:val="en-US" w:eastAsia="zh-CN" w:bidi="ar-SA"/>
    </w:rPr>
  </w:style>
  <w:style w:type="table" w:customStyle="1" w:styleId="1281">
    <w:name w:val="古典型 11"/>
    <w:basedOn w:val="87"/>
    <w:autoRedefine/>
    <w:qFormat/>
    <w:uiPriority w:val="0"/>
    <w:pPr>
      <w:widowControl w:val="0"/>
      <w:adjustRightInd w:val="0"/>
      <w:spacing w:line="312" w:lineRule="atLeast"/>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character" w:customStyle="1" w:styleId="1282">
    <w:name w:val="Char Char73"/>
    <w:autoRedefine/>
    <w:qFormat/>
    <w:uiPriority w:val="0"/>
    <w:rPr>
      <w:rFonts w:eastAsia="宋体"/>
      <w:kern w:val="2"/>
      <w:sz w:val="21"/>
      <w:szCs w:val="24"/>
      <w:lang w:val="en-US" w:eastAsia="zh-CN" w:bidi="ar-SA"/>
    </w:rPr>
  </w:style>
  <w:style w:type="character" w:customStyle="1" w:styleId="1283">
    <w:name w:val="Char Char103"/>
    <w:autoRedefine/>
    <w:qFormat/>
    <w:uiPriority w:val="0"/>
    <w:rPr>
      <w:rFonts w:eastAsia="宋体"/>
      <w:kern w:val="2"/>
      <w:sz w:val="21"/>
      <w:szCs w:val="24"/>
      <w:lang w:val="en-US" w:eastAsia="zh-CN" w:bidi="ar-SA"/>
    </w:rPr>
  </w:style>
  <w:style w:type="character" w:customStyle="1" w:styleId="1284">
    <w:name w:val="Char Char513"/>
    <w:autoRedefine/>
    <w:qFormat/>
    <w:uiPriority w:val="0"/>
    <w:rPr>
      <w:rFonts w:ascii="宋体" w:hAnsi="Courier New" w:eastAsia="宋体"/>
      <w:kern w:val="2"/>
      <w:sz w:val="21"/>
      <w:lang w:val="en-US" w:eastAsia="zh-CN" w:bidi="ar-SA"/>
    </w:rPr>
  </w:style>
  <w:style w:type="character" w:customStyle="1" w:styleId="1285">
    <w:name w:val="Char Char183"/>
    <w:autoRedefine/>
    <w:qFormat/>
    <w:uiPriority w:val="0"/>
    <w:rPr>
      <w:rFonts w:ascii="宋体" w:hAnsi="宋体" w:eastAsia="宋体" w:cs="Times New Roman"/>
      <w:color w:val="800000"/>
      <w:kern w:val="0"/>
      <w:sz w:val="28"/>
      <w:szCs w:val="20"/>
    </w:rPr>
  </w:style>
  <w:style w:type="character" w:customStyle="1" w:styleId="1286">
    <w:name w:val="Char Char Char1 Char Char3"/>
    <w:autoRedefine/>
    <w:qFormat/>
    <w:uiPriority w:val="0"/>
    <w:rPr>
      <w:rFonts w:ascii="Times New Roman" w:hAnsi="Times New Roman" w:eastAsia="宋体" w:cs="Times New Roman"/>
      <w:kern w:val="0"/>
      <w:sz w:val="18"/>
      <w:szCs w:val="18"/>
    </w:rPr>
  </w:style>
  <w:style w:type="character" w:customStyle="1" w:styleId="1287">
    <w:name w:val="Char Char1119"/>
    <w:autoRedefine/>
    <w:qFormat/>
    <w:uiPriority w:val="0"/>
    <w:rPr>
      <w:rFonts w:ascii="Times New Roman" w:hAnsi="Times New Roman" w:eastAsia="宋体" w:cs="Times New Roman"/>
      <w:kern w:val="0"/>
      <w:sz w:val="24"/>
      <w:szCs w:val="24"/>
    </w:rPr>
  </w:style>
  <w:style w:type="character" w:customStyle="1" w:styleId="1288">
    <w:name w:val="标题 1 Char Char Char Char Char Char Char Char Char Char Char Char Char Char Char Char Char Char Char Char Char Char Char Char Char Char Char Char Char Char Char Char Char Char Char Char Char Char Char Char Char Char Char Char Char Char Char Char Char3"/>
    <w:autoRedefine/>
    <w:qFormat/>
    <w:uiPriority w:val="0"/>
    <w:rPr>
      <w:rFonts w:ascii="黑体" w:hAnsi="Arial Unicode MS" w:eastAsia="黑体"/>
      <w:kern w:val="44"/>
      <w:sz w:val="28"/>
      <w:szCs w:val="28"/>
      <w:lang w:val="en-US" w:eastAsia="zh-CN" w:bidi="ar-SA"/>
    </w:rPr>
  </w:style>
  <w:style w:type="paragraph" w:customStyle="1" w:styleId="1289">
    <w:name w:val="正文3"/>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290">
    <w:name w:val="Char95"/>
    <w:basedOn w:val="1"/>
    <w:autoRedefine/>
    <w:qFormat/>
    <w:uiPriority w:val="0"/>
    <w:rPr>
      <w:szCs w:val="21"/>
    </w:rPr>
  </w:style>
  <w:style w:type="table" w:customStyle="1" w:styleId="1291">
    <w:name w:val="图表样式-HX2"/>
    <w:basedOn w:val="87"/>
    <w:autoRedefine/>
    <w:qFormat/>
    <w:uiPriority w:val="99"/>
    <w:rPr>
      <w:rFonts w:ascii="仿宋_GB2312" w:eastAsia="仿宋_GB2312"/>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vAlign w:val="center"/>
    </w:tcPr>
  </w:style>
  <w:style w:type="table" w:customStyle="1" w:styleId="1292">
    <w:name w:val="灰度表格12212"/>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93">
    <w:name w:val="Char2 Char Char Char Char Char Char7"/>
    <w:basedOn w:val="1"/>
    <w:autoRedefine/>
    <w:qFormat/>
    <w:uiPriority w:val="0"/>
    <w:rPr>
      <w:sz w:val="24"/>
    </w:rPr>
  </w:style>
  <w:style w:type="table" w:customStyle="1" w:styleId="1294">
    <w:name w:val="灰度表格12221"/>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paragraph" w:customStyle="1" w:styleId="1295">
    <w:name w:val="Char Char1 Char Char Char1 Char7"/>
    <w:basedOn w:val="1"/>
    <w:autoRedefine/>
    <w:qFormat/>
    <w:uiPriority w:val="0"/>
    <w:pPr>
      <w:adjustRightInd w:val="0"/>
      <w:spacing w:line="360" w:lineRule="auto"/>
    </w:pPr>
    <w:rPr>
      <w:kern w:val="0"/>
      <w:sz w:val="24"/>
      <w:szCs w:val="20"/>
    </w:rPr>
  </w:style>
  <w:style w:type="paragraph" w:customStyle="1" w:styleId="1296">
    <w:name w:val="正文缩进61"/>
    <w:basedOn w:val="1"/>
    <w:autoRedefine/>
    <w:qFormat/>
    <w:uiPriority w:val="0"/>
    <w:pPr>
      <w:adjustRightInd w:val="0"/>
      <w:ind w:firstLine="420" w:firstLineChars="200"/>
      <w:textAlignment w:val="baseline"/>
    </w:pPr>
    <w:rPr>
      <w:rFonts w:hint="eastAsia" w:hAnsi="宋体"/>
      <w:sz w:val="24"/>
      <w:szCs w:val="20"/>
    </w:rPr>
  </w:style>
  <w:style w:type="character" w:customStyle="1" w:styleId="1297">
    <w:name w:val="Char Char415"/>
    <w:autoRedefine/>
    <w:qFormat/>
    <w:locked/>
    <w:uiPriority w:val="0"/>
    <w:rPr>
      <w:rFonts w:ascii="宋体" w:hAnsi="宋体" w:eastAsia="宋体"/>
      <w:kern w:val="2"/>
      <w:sz w:val="18"/>
      <w:szCs w:val="18"/>
      <w:lang w:val="en-US" w:eastAsia="zh-CN" w:bidi="ar-SA"/>
    </w:rPr>
  </w:style>
  <w:style w:type="paragraph" w:customStyle="1" w:styleId="1298">
    <w:name w:val="正文文本缩进41"/>
    <w:basedOn w:val="1"/>
    <w:autoRedefine/>
    <w:qFormat/>
    <w:uiPriority w:val="0"/>
    <w:pPr>
      <w:adjustRightInd w:val="0"/>
      <w:spacing w:after="120" w:line="360" w:lineRule="auto"/>
      <w:ind w:left="420" w:leftChars="200" w:firstLine="200" w:firstLineChars="200"/>
      <w:textAlignment w:val="baseline"/>
    </w:pPr>
    <w:rPr>
      <w:sz w:val="24"/>
    </w:rPr>
  </w:style>
  <w:style w:type="table" w:customStyle="1" w:styleId="1299">
    <w:name w:val="灰度表格12231"/>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table" w:customStyle="1" w:styleId="1300">
    <w:name w:val="灰度表格12241"/>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table" w:customStyle="1" w:styleId="1301">
    <w:name w:val="图表样式-HX11"/>
    <w:basedOn w:val="87"/>
    <w:autoRedefine/>
    <w:qFormat/>
    <w:uiPriority w:val="99"/>
    <w:rPr>
      <w:rFonts w:ascii="仿宋_GB2312" w:eastAsia="仿宋_GB2312"/>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vAlign w:val="center"/>
    </w:tcPr>
  </w:style>
  <w:style w:type="table" w:customStyle="1" w:styleId="1302">
    <w:name w:val="表格样式131"/>
    <w:basedOn w:val="87"/>
    <w:autoRedefine/>
    <w:qFormat/>
    <w:uiPriority w:val="0"/>
    <w:rPr>
      <w:rFonts w:eastAsia="仿宋_GB2312"/>
      <w:sz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303">
    <w:name w:val="maoli21"/>
    <w:basedOn w:val="87"/>
    <w:autoRedefine/>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304">
    <w:name w:val="灰度表格12211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5">
    <w:name w:val="网格型11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6">
    <w:name w:val="网格型21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7">
    <w:name w:val="灰度表格12221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8">
    <w:name w:val="灰度表格12231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09">
    <w:name w:val="表格主题11"/>
    <w:basedOn w:val="87"/>
    <w:autoRedefine/>
    <w:qFormat/>
    <w:uiPriority w:val="0"/>
    <w:pPr>
      <w:widowControl w:val="0"/>
      <w:jc w:val="both"/>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table" w:customStyle="1" w:styleId="1310">
    <w:name w:val="表格主题21"/>
    <w:basedOn w:val="87"/>
    <w:autoRedefine/>
    <w:unhideWhenUsed/>
    <w:qFormat/>
    <w:uiPriority w:val="0"/>
    <w:pPr>
      <w:widowControl w:val="0"/>
      <w:spacing w:line="500" w:lineRule="exact"/>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1">
    <w:name w:val="灰度表格122411"/>
    <w:basedOn w:val="8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12">
    <w:name w:val="网格型311"/>
    <w:basedOn w:val="87"/>
    <w:autoRedefine/>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3">
    <w:name w:val="网格型411"/>
    <w:basedOn w:val="87"/>
    <w:autoRedefine/>
    <w:qFormat/>
    <w:uiPriority w:val="0"/>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14">
    <w:name w:val="网格型52"/>
    <w:basedOn w:val="87"/>
    <w:autoRedefine/>
    <w:qFormat/>
    <w:uiPriority w:val="59"/>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315">
    <w:name w:val="Char Char1 Char3"/>
    <w:basedOn w:val="1"/>
    <w:autoRedefine/>
    <w:qFormat/>
    <w:uiPriority w:val="0"/>
    <w:rPr>
      <w:szCs w:val="21"/>
    </w:rPr>
  </w:style>
  <w:style w:type="table" w:customStyle="1" w:styleId="1316">
    <w:name w:val="黄桥表2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7">
    <w:name w:val="黄桥表3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18">
    <w:name w:val="正文+4号 Char"/>
    <w:link w:val="1319"/>
    <w:autoRedefine/>
    <w:qFormat/>
    <w:uiPriority w:val="0"/>
    <w:rPr>
      <w:szCs w:val="24"/>
    </w:rPr>
  </w:style>
  <w:style w:type="paragraph" w:customStyle="1" w:styleId="1319">
    <w:name w:val="正文+4号"/>
    <w:basedOn w:val="1"/>
    <w:link w:val="1318"/>
    <w:autoRedefine/>
    <w:qFormat/>
    <w:uiPriority w:val="0"/>
    <w:rPr>
      <w:kern w:val="0"/>
      <w:sz w:val="20"/>
    </w:rPr>
  </w:style>
  <w:style w:type="character" w:customStyle="1" w:styleId="1320">
    <w:name w:val="表标题 Char Char"/>
    <w:autoRedefine/>
    <w:qFormat/>
    <w:locked/>
    <w:uiPriority w:val="0"/>
    <w:rPr>
      <w:rFonts w:ascii="仿宋_GB2312" w:eastAsia="仿宋_GB2312"/>
      <w:b/>
      <w:bCs/>
      <w:kern w:val="2"/>
      <w:sz w:val="24"/>
      <w:szCs w:val="24"/>
      <w:lang w:val="en-US" w:eastAsia="zh-CN" w:bidi="ar-SA"/>
    </w:rPr>
  </w:style>
  <w:style w:type="character" w:customStyle="1" w:styleId="1321">
    <w:name w:val="Char Char14"/>
    <w:autoRedefine/>
    <w:qFormat/>
    <w:uiPriority w:val="0"/>
    <w:rPr>
      <w:rFonts w:ascii="Cambria" w:hAnsi="Cambria"/>
      <w:kern w:val="2"/>
      <w:sz w:val="24"/>
      <w:szCs w:val="24"/>
    </w:rPr>
  </w:style>
  <w:style w:type="character" w:customStyle="1" w:styleId="1322">
    <w:name w:val="Char Char9"/>
    <w:autoRedefine/>
    <w:qFormat/>
    <w:uiPriority w:val="0"/>
    <w:rPr>
      <w:rFonts w:ascii="仿宋_GB2312" w:hAnsi="Times New Roman" w:eastAsia="仿宋_GB2312"/>
      <w:b/>
      <w:color w:val="000000"/>
      <w:sz w:val="21"/>
      <w:lang w:val="zh-CN" w:eastAsia="zh-CN"/>
    </w:rPr>
  </w:style>
  <w:style w:type="character" w:customStyle="1" w:styleId="1323">
    <w:name w:val="表头 Char Char"/>
    <w:autoRedefine/>
    <w:qFormat/>
    <w:uiPriority w:val="0"/>
    <w:rPr>
      <w:rFonts w:eastAsia="黑体"/>
      <w:spacing w:val="-10"/>
    </w:rPr>
  </w:style>
  <w:style w:type="character" w:customStyle="1" w:styleId="1324">
    <w:name w:val="font01"/>
    <w:autoRedefine/>
    <w:qFormat/>
    <w:uiPriority w:val="0"/>
    <w:rPr>
      <w:rFonts w:hint="eastAsia" w:ascii="仿宋_GB2312" w:hAnsi="Times New Roman" w:eastAsia="仿宋_GB2312" w:cs="Times New Roman"/>
      <w:color w:val="000000"/>
      <w:sz w:val="21"/>
      <w:szCs w:val="21"/>
      <w:u w:val="none"/>
      <w:vertAlign w:val="superscript"/>
    </w:rPr>
  </w:style>
  <w:style w:type="character" w:customStyle="1" w:styleId="1325">
    <w:name w:val="样式 表标题 + 五号 非加粗 Char"/>
    <w:link w:val="1326"/>
    <w:autoRedefine/>
    <w:qFormat/>
    <w:uiPriority w:val="0"/>
    <w:rPr>
      <w:rFonts w:ascii="仿宋_GB2312" w:eastAsia="仿宋_GB2312"/>
      <w:b/>
      <w:szCs w:val="24"/>
    </w:rPr>
  </w:style>
  <w:style w:type="paragraph" w:customStyle="1" w:styleId="1326">
    <w:name w:val="样式 表标题 + 五号 非加粗"/>
    <w:basedOn w:val="184"/>
    <w:link w:val="1325"/>
    <w:autoRedefine/>
    <w:qFormat/>
    <w:uiPriority w:val="0"/>
    <w:pPr>
      <w:ind w:firstLine="482" w:firstLineChars="200"/>
    </w:pPr>
    <w:rPr>
      <w:rFonts w:ascii="仿宋_GB2312" w:eastAsia="仿宋_GB2312"/>
      <w:kern w:val="0"/>
      <w:sz w:val="20"/>
      <w:szCs w:val="24"/>
    </w:rPr>
  </w:style>
  <w:style w:type="character" w:customStyle="1" w:styleId="1327">
    <w:name w:val="尾注文本 Char1"/>
    <w:autoRedefine/>
    <w:qFormat/>
    <w:uiPriority w:val="0"/>
    <w:rPr>
      <w:kern w:val="2"/>
      <w:sz w:val="21"/>
      <w:szCs w:val="24"/>
    </w:rPr>
  </w:style>
  <w:style w:type="paragraph" w:customStyle="1" w:styleId="1328">
    <w:name w:val="Char Char Char1 Char Char Char Char Char Char Char"/>
    <w:basedOn w:val="1"/>
    <w:autoRedefine/>
    <w:qFormat/>
    <w:uiPriority w:val="0"/>
    <w:rPr>
      <w:rFonts w:ascii="Tahoma" w:hAnsi="Tahoma"/>
      <w:sz w:val="24"/>
      <w:szCs w:val="20"/>
    </w:rPr>
  </w:style>
  <w:style w:type="paragraph" w:customStyle="1" w:styleId="1329">
    <w:name w:val="环标1"/>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330">
    <w:name w:val="样式 普通(网站) + 仿宋_GB2312 五号 居中 首行缩进:  0.74 厘米 段前: 自动 段后: 自动 行..."/>
    <w:basedOn w:val="1"/>
    <w:autoRedefine/>
    <w:qFormat/>
    <w:uiPriority w:val="0"/>
    <w:pPr>
      <w:widowControl/>
      <w:spacing w:before="100" w:beforeAutospacing="1" w:after="100" w:afterAutospacing="1" w:line="240" w:lineRule="atLeast"/>
      <w:jc w:val="center"/>
    </w:pPr>
    <w:rPr>
      <w:rFonts w:ascii="仿宋_GB2312" w:hAnsi="Arial Unicode MS" w:eastAsia="仿宋_GB2312" w:cs="宋体"/>
      <w:kern w:val="0"/>
      <w:szCs w:val="20"/>
    </w:rPr>
  </w:style>
  <w:style w:type="paragraph" w:customStyle="1" w:styleId="1331">
    <w:name w:val="et6"/>
    <w:basedOn w:val="1"/>
    <w:autoRedefine/>
    <w:qFormat/>
    <w:uiPriority w:val="0"/>
    <w:pPr>
      <w:widowControl/>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332">
    <w:name w:val="et9"/>
    <w:basedOn w:val="1"/>
    <w:autoRedefine/>
    <w:qFormat/>
    <w:uiPriority w:val="0"/>
    <w:pPr>
      <w:widowControl/>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333">
    <w:name w:val="样式 图表文字 + 非加粗 两端对齐 行距: 固定值 16 磅"/>
    <w:basedOn w:val="165"/>
    <w:autoRedefine/>
    <w:qFormat/>
    <w:uiPriority w:val="0"/>
    <w:pPr>
      <w:spacing w:line="240" w:lineRule="atLeast"/>
    </w:pPr>
    <w:rPr>
      <w:rFonts w:hAnsi="Times New Roman" w:cs="宋体"/>
      <w:sz w:val="20"/>
      <w:lang w:val="en-US"/>
    </w:rPr>
  </w:style>
  <w:style w:type="paragraph" w:customStyle="1" w:styleId="1334">
    <w:name w:val="样式 图表文字 + 非加粗 两端对齐 首行缩进:  0.99 厘米 行距: 固定值 16 磅"/>
    <w:basedOn w:val="165"/>
    <w:autoRedefine/>
    <w:qFormat/>
    <w:uiPriority w:val="0"/>
    <w:pPr>
      <w:spacing w:line="240" w:lineRule="atLeast"/>
    </w:pPr>
    <w:rPr>
      <w:rFonts w:hAnsi="Times New Roman" w:cs="宋体"/>
      <w:sz w:val="20"/>
      <w:lang w:val="en-US"/>
    </w:rPr>
  </w:style>
  <w:style w:type="paragraph" w:customStyle="1" w:styleId="1335">
    <w:name w:val="表格文字改"/>
    <w:basedOn w:val="1"/>
    <w:autoRedefine/>
    <w:qFormat/>
    <w:uiPriority w:val="0"/>
    <w:pPr>
      <w:spacing w:line="240" w:lineRule="atLeast"/>
      <w:jc w:val="center"/>
    </w:pPr>
    <w:rPr>
      <w:rFonts w:ascii="仿宋_GB2312" w:hAnsi="仿宋_GB2312" w:eastAsia="仿宋_GB2312" w:cs="宋体"/>
      <w:color w:val="000000"/>
      <w:kern w:val="0"/>
      <w:szCs w:val="20"/>
    </w:rPr>
  </w:style>
  <w:style w:type="paragraph" w:customStyle="1" w:styleId="1336">
    <w:name w:val="样式 图表文字 + 非加粗 首行缩进:  0.99 厘米 行距: 固定值 15 磅"/>
    <w:basedOn w:val="165"/>
    <w:autoRedefine/>
    <w:qFormat/>
    <w:uiPriority w:val="0"/>
    <w:pPr>
      <w:spacing w:line="240" w:lineRule="atLeast"/>
    </w:pPr>
    <w:rPr>
      <w:rFonts w:hAnsi="Times New Roman" w:cs="宋体"/>
      <w:sz w:val="20"/>
      <w:lang w:val="en-US"/>
    </w:rPr>
  </w:style>
  <w:style w:type="paragraph" w:customStyle="1" w:styleId="1337">
    <w:name w:val="样式 居中 首行缩进:  2 字符 行距: 固定值 15 磅"/>
    <w:basedOn w:val="1"/>
    <w:autoRedefine/>
    <w:qFormat/>
    <w:uiPriority w:val="0"/>
    <w:pPr>
      <w:spacing w:line="240" w:lineRule="atLeast"/>
      <w:jc w:val="center"/>
    </w:pPr>
    <w:rPr>
      <w:rFonts w:ascii="仿宋_GB2312" w:hAnsi="仿宋_GB2312" w:eastAsia="仿宋_GB2312" w:cs="宋体"/>
      <w:color w:val="000000"/>
      <w:kern w:val="0"/>
      <w:szCs w:val="20"/>
    </w:rPr>
  </w:style>
  <w:style w:type="paragraph" w:customStyle="1" w:styleId="1338">
    <w:name w:val="et7"/>
    <w:basedOn w:val="1"/>
    <w:autoRedefine/>
    <w:qFormat/>
    <w:uiPriority w:val="0"/>
    <w:pPr>
      <w:widowControl/>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339">
    <w:name w:val="样式 图表文字 + 非加粗 黑色 首行缩进:  0.99 厘米 行距: 固定值 15 磅"/>
    <w:basedOn w:val="165"/>
    <w:autoRedefine/>
    <w:qFormat/>
    <w:uiPriority w:val="0"/>
    <w:pPr>
      <w:spacing w:line="240" w:lineRule="atLeast"/>
    </w:pPr>
    <w:rPr>
      <w:rFonts w:hAnsi="Times New Roman" w:cs="宋体"/>
      <w:color w:val="000000"/>
      <w:sz w:val="20"/>
      <w:lang w:val="en-US"/>
    </w:rPr>
  </w:style>
  <w:style w:type="paragraph" w:customStyle="1" w:styleId="1340">
    <w:name w:val="Char Char Char Char1 Char Char Char Char Char"/>
    <w:basedOn w:val="1"/>
    <w:autoRedefine/>
    <w:qFormat/>
    <w:uiPriority w:val="0"/>
    <w:pPr>
      <w:widowControl/>
      <w:spacing w:after="160" w:line="240" w:lineRule="exact"/>
      <w:jc w:val="left"/>
    </w:pPr>
    <w:rPr>
      <w:sz w:val="24"/>
      <w:lang w:eastAsia="en-US"/>
    </w:rPr>
  </w:style>
  <w:style w:type="paragraph" w:customStyle="1" w:styleId="1341">
    <w:name w:val="样式 (符号) Times New Roman 五号 首行缩进:  2 字符 行距: 固定值 15 磅"/>
    <w:basedOn w:val="1"/>
    <w:autoRedefine/>
    <w:qFormat/>
    <w:uiPriority w:val="0"/>
    <w:pPr>
      <w:spacing w:line="240" w:lineRule="atLeast"/>
      <w:jc w:val="center"/>
    </w:pPr>
    <w:rPr>
      <w:rFonts w:ascii="仿宋_GB2312" w:eastAsia="仿宋_GB2312" w:cs="宋体"/>
      <w:color w:val="000000"/>
      <w:szCs w:val="20"/>
    </w:rPr>
  </w:style>
  <w:style w:type="paragraph" w:customStyle="1" w:styleId="1342">
    <w:name w:val="et10"/>
    <w:basedOn w:val="1"/>
    <w:autoRedefine/>
    <w:qFormat/>
    <w:uiPriority w:val="0"/>
    <w:pPr>
      <w:widowControl/>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343">
    <w:name w:val="样式 五号 居中 首行缩进:  2 字符"/>
    <w:basedOn w:val="1"/>
    <w:autoRedefine/>
    <w:qFormat/>
    <w:uiPriority w:val="0"/>
    <w:pPr>
      <w:spacing w:line="240" w:lineRule="atLeast"/>
      <w:jc w:val="center"/>
    </w:pPr>
    <w:rPr>
      <w:rFonts w:ascii="仿宋_GB2312" w:hAnsi="仿宋_GB2312" w:eastAsia="仿宋_GB2312" w:cs="宋体"/>
      <w:color w:val="000000"/>
      <w:kern w:val="0"/>
      <w:szCs w:val="20"/>
    </w:rPr>
  </w:style>
  <w:style w:type="paragraph" w:customStyle="1" w:styleId="1344">
    <w:name w:val="et8"/>
    <w:basedOn w:val="1"/>
    <w:autoRedefine/>
    <w:qFormat/>
    <w:uiPriority w:val="0"/>
    <w:pPr>
      <w:widowControl/>
      <w:spacing w:before="100" w:beforeAutospacing="1" w:after="100" w:afterAutospacing="1"/>
      <w:jc w:val="left"/>
      <w:textAlignment w:val="center"/>
    </w:pPr>
    <w:rPr>
      <w:rFonts w:ascii="仿宋_GB2312" w:hAnsi="宋体" w:eastAsia="仿宋_GB2312" w:cs="宋体"/>
      <w:color w:val="000000"/>
      <w:kern w:val="0"/>
      <w:sz w:val="24"/>
    </w:rPr>
  </w:style>
  <w:style w:type="paragraph" w:customStyle="1" w:styleId="1345">
    <w:name w:val="样式 五号 首行缩进:  2 字符"/>
    <w:basedOn w:val="1"/>
    <w:autoRedefine/>
    <w:qFormat/>
    <w:uiPriority w:val="0"/>
    <w:pPr>
      <w:spacing w:line="500" w:lineRule="exact"/>
      <w:jc w:val="center"/>
    </w:pPr>
    <w:rPr>
      <w:rFonts w:ascii="仿宋_GB2312" w:hAnsi="仿宋_GB2312" w:eastAsia="仿宋_GB2312" w:cs="宋体"/>
      <w:color w:val="000000"/>
      <w:kern w:val="0"/>
      <w:szCs w:val="20"/>
    </w:rPr>
  </w:style>
  <w:style w:type="paragraph" w:customStyle="1" w:styleId="1346">
    <w:name w:val="样式 (符号) 宋体 五号 居中 行距: 单倍行距"/>
    <w:basedOn w:val="1"/>
    <w:autoRedefine/>
    <w:qFormat/>
    <w:uiPriority w:val="0"/>
    <w:pPr>
      <w:jc w:val="center"/>
    </w:pPr>
    <w:rPr>
      <w:rFonts w:ascii="仿宋_GB2312" w:hAnsi="宋体" w:eastAsia="仿宋_GB2312" w:cs="宋体"/>
      <w:color w:val="000000"/>
      <w:kern w:val="0"/>
      <w:szCs w:val="20"/>
    </w:rPr>
  </w:style>
  <w:style w:type="paragraph" w:customStyle="1" w:styleId="1347">
    <w:name w:val="样式 (符号) Times New Roman 五号 居中 首行缩进:  2 字符 行距: 固定值 15 磅"/>
    <w:basedOn w:val="1"/>
    <w:autoRedefine/>
    <w:qFormat/>
    <w:uiPriority w:val="0"/>
    <w:pPr>
      <w:spacing w:line="240" w:lineRule="atLeast"/>
      <w:jc w:val="center"/>
    </w:pPr>
    <w:rPr>
      <w:rFonts w:ascii="仿宋_GB2312" w:eastAsia="仿宋_GB2312" w:cs="宋体"/>
      <w:color w:val="000000"/>
      <w:szCs w:val="20"/>
    </w:rPr>
  </w:style>
  <w:style w:type="paragraph" w:customStyle="1" w:styleId="1348">
    <w:name w:val="样式 样式 题注 + 首行缩进:  2 字符 行距: 单倍行距 + 首行缩进:  2 字符"/>
    <w:basedOn w:val="1"/>
    <w:autoRedefine/>
    <w:qFormat/>
    <w:uiPriority w:val="0"/>
    <w:pPr>
      <w:ind w:firstLine="422" w:firstLineChars="200"/>
      <w:jc w:val="center"/>
    </w:pPr>
    <w:rPr>
      <w:rFonts w:ascii="仿宋_GB2312" w:hAnsi="Arial" w:eastAsia="仿宋_GB2312" w:cs="宋体"/>
      <w:b/>
      <w:bCs/>
      <w:color w:val="000000"/>
      <w:kern w:val="0"/>
      <w:szCs w:val="20"/>
    </w:rPr>
  </w:style>
  <w:style w:type="paragraph" w:customStyle="1" w:styleId="1349">
    <w:name w:val="et11"/>
    <w:basedOn w:val="1"/>
    <w:autoRedefine/>
    <w:qFormat/>
    <w:uiPriority w:val="0"/>
    <w:pPr>
      <w:widowControl/>
      <w:spacing w:before="100" w:beforeAutospacing="1" w:after="100" w:afterAutospacing="1"/>
      <w:jc w:val="left"/>
      <w:textAlignment w:val="center"/>
    </w:pPr>
    <w:rPr>
      <w:rFonts w:ascii="仿宋_GB2312" w:hAnsi="宋体" w:eastAsia="仿宋_GB2312" w:cs="宋体"/>
      <w:color w:val="000000"/>
      <w:kern w:val="0"/>
      <w:sz w:val="24"/>
    </w:rPr>
  </w:style>
  <w:style w:type="table" w:customStyle="1" w:styleId="1350">
    <w:name w:val="网格型 1121"/>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1351">
    <w:name w:val="font51"/>
    <w:autoRedefine/>
    <w:qFormat/>
    <w:uiPriority w:val="0"/>
    <w:rPr>
      <w:rFonts w:hint="eastAsia" w:ascii="宋体" w:hAnsi="宋体" w:eastAsia="宋体" w:cs="宋体"/>
      <w:color w:val="FF0000"/>
      <w:sz w:val="21"/>
      <w:szCs w:val="21"/>
    </w:rPr>
  </w:style>
  <w:style w:type="character" w:customStyle="1" w:styleId="1352">
    <w:name w:val="font41"/>
    <w:basedOn w:val="129"/>
    <w:autoRedefine/>
    <w:qFormat/>
    <w:uiPriority w:val="0"/>
    <w:rPr>
      <w:rFonts w:hint="eastAsia" w:ascii="宋体" w:hAnsi="宋体" w:eastAsia="宋体" w:cs="宋体"/>
      <w:color w:val="FF0000"/>
      <w:sz w:val="21"/>
      <w:szCs w:val="21"/>
    </w:rPr>
  </w:style>
  <w:style w:type="character" w:customStyle="1" w:styleId="1353">
    <w:name w:val="search_result_snap1"/>
    <w:autoRedefine/>
    <w:qFormat/>
    <w:uiPriority w:val="0"/>
    <w:rPr>
      <w:sz w:val="21"/>
      <w:szCs w:val="21"/>
    </w:rPr>
  </w:style>
  <w:style w:type="character" w:customStyle="1" w:styleId="1354">
    <w:name w:val="标题 Char3"/>
    <w:autoRedefine/>
    <w:qFormat/>
    <w:uiPriority w:val="10"/>
    <w:rPr>
      <w:rFonts w:ascii="Cambria" w:hAnsi="Cambria" w:eastAsia="宋体" w:cs="Times New Roman"/>
      <w:b/>
      <w:bCs/>
      <w:sz w:val="32"/>
      <w:szCs w:val="32"/>
    </w:rPr>
  </w:style>
  <w:style w:type="paragraph" w:customStyle="1" w:styleId="1355">
    <w:name w:val="标题12"/>
    <w:basedOn w:val="1"/>
    <w:autoRedefine/>
    <w:qFormat/>
    <w:uiPriority w:val="0"/>
    <w:pPr>
      <w:spacing w:after="240"/>
      <w:outlineLvl w:val="0"/>
    </w:pPr>
    <w:rPr>
      <w:rFonts w:eastAsia="黑体"/>
      <w:sz w:val="44"/>
      <w:szCs w:val="44"/>
    </w:rPr>
  </w:style>
  <w:style w:type="character" w:customStyle="1" w:styleId="1356">
    <w:name w:val="注释标题 Char1"/>
    <w:autoRedefine/>
    <w:semiHidden/>
    <w:qFormat/>
    <w:uiPriority w:val="0"/>
    <w:rPr>
      <w:rFonts w:ascii="仿宋_GB2312" w:hAnsi="仿宋_GB2312" w:eastAsia="仿宋_GB2312" w:cs="Times New Roman"/>
      <w:sz w:val="28"/>
      <w:szCs w:val="21"/>
    </w:rPr>
  </w:style>
  <w:style w:type="paragraph" w:customStyle="1" w:styleId="1357">
    <w:name w:val="列出段落21"/>
    <w:basedOn w:val="1"/>
    <w:autoRedefine/>
    <w:qFormat/>
    <w:uiPriority w:val="0"/>
    <w:pPr>
      <w:spacing w:line="240" w:lineRule="atLeast"/>
      <w:ind w:firstLine="420" w:firstLineChars="200"/>
    </w:pPr>
    <w:rPr>
      <w:rFonts w:ascii="Calibri" w:hAnsi="Calibri"/>
      <w:szCs w:val="22"/>
    </w:rPr>
  </w:style>
  <w:style w:type="paragraph" w:customStyle="1" w:styleId="1358">
    <w:name w:val="正文31"/>
    <w:autoRedefine/>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table" w:customStyle="1" w:styleId="1359">
    <w:name w:val="古典型 111"/>
    <w:basedOn w:val="87"/>
    <w:autoRedefine/>
    <w:qFormat/>
    <w:uiPriority w:val="0"/>
    <w:pPr>
      <w:widowControl w:val="0"/>
      <w:adjustRightInd w:val="0"/>
      <w:spacing w:line="312" w:lineRule="atLeast"/>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360">
    <w:name w:val="最普通21"/>
    <w:basedOn w:val="117"/>
    <w:autoRedefine/>
    <w:qFormat/>
    <w:uiPriority w:val="0"/>
    <w:pPr>
      <w:spacing w:line="50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361">
    <w:name w:val="喜欢的21"/>
    <w:basedOn w:val="98"/>
    <w:autoRedefine/>
    <w:qFormat/>
    <w:uiPriority w:val="0"/>
    <w:tblPr>
      <w:tblBorders>
        <w:top w:val="single" w:color="008000" w:sz="12" w:space="0"/>
        <w:bottom w:val="single" w:color="008000" w:sz="12" w:space="0"/>
      </w:tblBorders>
      <w:tblCellMar>
        <w:top w:w="0" w:type="dxa"/>
        <w:left w:w="108" w:type="dxa"/>
        <w:bottom w:w="0" w:type="dxa"/>
        <w:right w:w="108" w:type="dxa"/>
      </w:tblCellMar>
    </w:tblPr>
    <w:tcPr>
      <w:shd w:val="clear" w:color="auto" w:fill="auto"/>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362">
    <w:name w:val="喜欢的111"/>
    <w:basedOn w:val="98"/>
    <w:autoRedefine/>
    <w:qFormat/>
    <w:uiPriority w:val="0"/>
    <w:tblPr>
      <w:tblBorders>
        <w:insideH w:val="single" w:color="008000" w:sz="4" w:space="0"/>
        <w:insideV w:val="single" w:color="008000" w:sz="4" w:space="0"/>
      </w:tblBorders>
      <w:tblCellMar>
        <w:top w:w="0" w:type="dxa"/>
        <w:left w:w="108" w:type="dxa"/>
        <w:bottom w:w="0" w:type="dxa"/>
        <w:right w:w="108" w:type="dxa"/>
      </w:tblCellMar>
    </w:tblPr>
    <w:tcPr>
      <w:shd w:val="clear" w:color="auto" w:fill="FFFFFF"/>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363">
    <w:name w:val="表格样式1111"/>
    <w:basedOn w:val="87"/>
    <w:autoRedefine/>
    <w:qFormat/>
    <w:uiPriority w:val="0"/>
    <w:rPr>
      <w:rFonts w:eastAsia="楷体_GB2312"/>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364">
    <w:name w:val="最普通111"/>
    <w:basedOn w:val="117"/>
    <w:autoRedefine/>
    <w:qFormat/>
    <w:uiPriority w:val="0"/>
    <w:pPr>
      <w:spacing w:line="500" w:lineRule="exac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365">
    <w:name w:val="专业型11"/>
    <w:basedOn w:val="87"/>
    <w:autoRedefine/>
    <w:qFormat/>
    <w:uiPriority w:val="0"/>
    <w:pPr>
      <w:widowControl w:val="0"/>
      <w:spacing w:line="50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1366">
    <w:name w:val="网格型 11111"/>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1367">
    <w:name w:val="史丽红的表格1"/>
    <w:basedOn w:val="98"/>
    <w:autoRedefine/>
    <w:qFormat/>
    <w:uiPriority w:val="0"/>
    <w:rPr>
      <w:rFonts w:eastAsia="Times New Roman"/>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character" w:customStyle="1" w:styleId="1368">
    <w:name w:val="标题51"/>
    <w:autoRedefine/>
    <w:qFormat/>
    <w:uiPriority w:val="0"/>
  </w:style>
  <w:style w:type="paragraph" w:customStyle="1" w:styleId="1369">
    <w:name w:val="正文文本31"/>
    <w:autoRedefine/>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table" w:customStyle="1" w:styleId="1370">
    <w:name w:val="灰度表格12251"/>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table" w:customStyle="1" w:styleId="1371">
    <w:name w:val="表格样式14"/>
    <w:basedOn w:val="87"/>
    <w:autoRedefine/>
    <w:qFormat/>
    <w:uiPriority w:val="0"/>
    <w:rPr>
      <w:rFonts w:eastAsia="仿宋_GB2312"/>
      <w:sz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372">
    <w:name w:val="网格型12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3">
    <w:name w:val="网格型221"/>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4">
    <w:name w:val="灰度表格12222"/>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5">
    <w:name w:val="灰度表格12232"/>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6">
    <w:name w:val="表格主题31"/>
    <w:basedOn w:val="87"/>
    <w:autoRedefine/>
    <w:semiHidden/>
    <w:unhideWhenUsed/>
    <w:qFormat/>
    <w:uiPriority w:val="99"/>
    <w:pPr>
      <w:widowControl w:val="0"/>
      <w:spacing w:line="500" w:lineRule="exact"/>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7">
    <w:name w:val="灰度表格12242"/>
    <w:basedOn w:val="8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78">
    <w:name w:val="网格型321"/>
    <w:basedOn w:val="87"/>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9">
    <w:name w:val="网格型421"/>
    <w:basedOn w:val="87"/>
    <w:autoRedefine/>
    <w:qFormat/>
    <w:uiPriority w:val="0"/>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380">
    <w:name w:val="Char Char141"/>
    <w:autoRedefine/>
    <w:qFormat/>
    <w:uiPriority w:val="0"/>
    <w:rPr>
      <w:rFonts w:ascii="Cambria" w:hAnsi="Cambria"/>
      <w:kern w:val="2"/>
      <w:sz w:val="24"/>
      <w:szCs w:val="24"/>
    </w:rPr>
  </w:style>
  <w:style w:type="character" w:customStyle="1" w:styleId="1381">
    <w:name w:val="Char Char92"/>
    <w:autoRedefine/>
    <w:qFormat/>
    <w:uiPriority w:val="0"/>
    <w:rPr>
      <w:rFonts w:ascii="仿宋_GB2312" w:hAnsi="Times New Roman" w:eastAsia="仿宋_GB2312"/>
      <w:b/>
      <w:color w:val="000000"/>
      <w:sz w:val="21"/>
      <w:lang w:val="zh-CN" w:eastAsia="zh-CN"/>
    </w:rPr>
  </w:style>
  <w:style w:type="paragraph" w:customStyle="1" w:styleId="1382">
    <w:name w:val="Char Char Char1 Char Char Char Char Char Char Char1"/>
    <w:basedOn w:val="1"/>
    <w:autoRedefine/>
    <w:qFormat/>
    <w:uiPriority w:val="0"/>
    <w:rPr>
      <w:rFonts w:ascii="Tahoma" w:hAnsi="Tahoma"/>
      <w:sz w:val="24"/>
      <w:szCs w:val="20"/>
    </w:rPr>
  </w:style>
  <w:style w:type="table" w:customStyle="1" w:styleId="1383">
    <w:name w:val="网格型 113"/>
    <w:basedOn w:val="87"/>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84">
    <w:name w:val="网格型8811"/>
    <w:basedOn w:val="8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85">
    <w:name w:val="maoli1111"/>
    <w:basedOn w:val="87"/>
    <w:autoRedefine/>
    <w:qFormat/>
    <w:uiPriority w:val="0"/>
    <w:rPr>
      <w:rFonts w:eastAsia="仿宋_GB231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386">
    <w:name w:val="表格虚线11"/>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table" w:customStyle="1" w:styleId="1387">
    <w:name w:val="表格虚线2"/>
    <w:basedOn w:val="87"/>
    <w:autoRedefine/>
    <w:qFormat/>
    <w:uiPriority w:val="0"/>
    <w:pPr>
      <w:jc w:val="center"/>
    </w:pPr>
    <w:rPr>
      <w:rFonts w:eastAsia="仿宋_GB2312"/>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table" w:customStyle="1" w:styleId="1388">
    <w:name w:val="表格样式15"/>
    <w:basedOn w:val="87"/>
    <w:autoRedefine/>
    <w:qFormat/>
    <w:uiPriority w:val="0"/>
    <w:rPr>
      <w:rFonts w:eastAsia="仿宋_GB2312"/>
      <w:sz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389">
    <w:name w:val="maoli31"/>
    <w:basedOn w:val="87"/>
    <w:autoRedefine/>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390">
    <w:name w:val="网格型13"/>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1">
    <w:name w:val="网格型23"/>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2">
    <w:name w:val="灰度表格12223"/>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3">
    <w:name w:val="灰度表格12233"/>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4">
    <w:name w:val="表格主题4"/>
    <w:basedOn w:val="87"/>
    <w:autoRedefine/>
    <w:unhideWhenUsed/>
    <w:qFormat/>
    <w:uiPriority w:val="99"/>
    <w:pPr>
      <w:widowControl w:val="0"/>
      <w:spacing w:line="500" w:lineRule="exact"/>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5">
    <w:name w:val="灰度表格12243"/>
    <w:basedOn w:val="8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96">
    <w:name w:val="网格型33"/>
    <w:basedOn w:val="87"/>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7">
    <w:name w:val="maoli121"/>
    <w:basedOn w:val="87"/>
    <w:autoRedefine/>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398">
    <w:name w:val="maoli112"/>
    <w:basedOn w:val="87"/>
    <w:autoRedefine/>
    <w:qFormat/>
    <w:uiPriority w:val="0"/>
    <w:rPr>
      <w:rFonts w:eastAsia="仿宋_GB231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399">
    <w:name w:val="网格型43"/>
    <w:basedOn w:val="8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00">
    <w:name w:val="D小表1"/>
    <w:basedOn w:val="87"/>
    <w:autoRedefine/>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401">
    <w:name w:val="Table Normal"/>
    <w:autoRedefine/>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402">
    <w:name w:val="pa-3"/>
    <w:basedOn w:val="1"/>
    <w:autoRedefine/>
    <w:qFormat/>
    <w:uiPriority w:val="0"/>
    <w:pPr>
      <w:widowControl/>
      <w:spacing w:before="150" w:after="150"/>
      <w:jc w:val="left"/>
    </w:pPr>
    <w:rPr>
      <w:rFonts w:ascii="宋体" w:hAnsi="宋体" w:cs="宋体"/>
      <w:kern w:val="0"/>
      <w:sz w:val="24"/>
    </w:rPr>
  </w:style>
  <w:style w:type="character" w:customStyle="1" w:styleId="1403">
    <w:name w:val="ca-1"/>
    <w:autoRedefine/>
    <w:qFormat/>
    <w:uiPriority w:val="0"/>
  </w:style>
  <w:style w:type="paragraph" w:customStyle="1" w:styleId="1404">
    <w:name w:val="报告正文"/>
    <w:basedOn w:val="1"/>
    <w:link w:val="1475"/>
    <w:autoRedefine/>
    <w:qFormat/>
    <w:uiPriority w:val="0"/>
    <w:pPr>
      <w:tabs>
        <w:tab w:val="left" w:pos="0"/>
      </w:tabs>
      <w:spacing w:line="360" w:lineRule="auto"/>
      <w:ind w:firstLine="200" w:firstLineChars="200"/>
    </w:pPr>
    <w:rPr>
      <w:color w:val="000000"/>
      <w:sz w:val="24"/>
      <w:lang w:val="zh-CN"/>
    </w:rPr>
  </w:style>
  <w:style w:type="paragraph" w:customStyle="1" w:styleId="1405">
    <w:name w:val="+正文"/>
    <w:basedOn w:val="1"/>
    <w:link w:val="1406"/>
    <w:autoRedefine/>
    <w:qFormat/>
    <w:uiPriority w:val="0"/>
    <w:pPr>
      <w:spacing w:line="360" w:lineRule="auto"/>
      <w:ind w:firstLine="200" w:firstLineChars="200"/>
    </w:pPr>
    <w:rPr>
      <w:rFonts w:hAnsi="宋体"/>
      <w:sz w:val="28"/>
      <w:szCs w:val="28"/>
      <w:lang w:val="zh-CN"/>
    </w:rPr>
  </w:style>
  <w:style w:type="character" w:customStyle="1" w:styleId="1406">
    <w:name w:val="+正文 Char"/>
    <w:link w:val="1405"/>
    <w:autoRedefine/>
    <w:qFormat/>
    <w:uiPriority w:val="0"/>
    <w:rPr>
      <w:rFonts w:hAnsi="宋体"/>
      <w:kern w:val="2"/>
      <w:sz w:val="28"/>
      <w:szCs w:val="28"/>
      <w:lang w:val="zh-CN" w:eastAsia="zh-CN"/>
    </w:rPr>
  </w:style>
  <w:style w:type="paragraph" w:customStyle="1" w:styleId="1407">
    <w:name w:val="标题-3"/>
    <w:basedOn w:val="7"/>
    <w:autoRedefine/>
    <w:qFormat/>
    <w:uiPriority w:val="0"/>
    <w:pPr>
      <w:tabs>
        <w:tab w:val="left" w:pos="1077"/>
      </w:tabs>
      <w:ind w:left="1077" w:hanging="357"/>
    </w:pPr>
    <w:rPr>
      <w:lang w:val="zh-CN"/>
    </w:rPr>
  </w:style>
  <w:style w:type="paragraph" w:customStyle="1" w:styleId="1408">
    <w:name w:val="标题-4"/>
    <w:basedOn w:val="9"/>
    <w:link w:val="1409"/>
    <w:autoRedefine/>
    <w:qFormat/>
    <w:uiPriority w:val="0"/>
    <w:rPr>
      <w:rFonts w:ascii="等线 Light" w:hAnsi="等线 Light" w:eastAsia="等线 Light"/>
      <w:kern w:val="0"/>
      <w:lang w:val="zh-CN"/>
    </w:rPr>
  </w:style>
  <w:style w:type="character" w:customStyle="1" w:styleId="1409">
    <w:name w:val="标题-4 Char"/>
    <w:link w:val="1408"/>
    <w:autoRedefine/>
    <w:qFormat/>
    <w:uiPriority w:val="0"/>
    <w:rPr>
      <w:rFonts w:ascii="等线 Light" w:hAnsi="等线 Light" w:eastAsia="等线 Light"/>
      <w:b/>
      <w:bCs/>
      <w:sz w:val="28"/>
      <w:szCs w:val="28"/>
      <w:lang w:val="zh-CN" w:eastAsia="zh-CN"/>
    </w:rPr>
  </w:style>
  <w:style w:type="character" w:customStyle="1" w:styleId="1410">
    <w:name w:val="表格内文字 Char"/>
    <w:link w:val="634"/>
    <w:autoRedefine/>
    <w:qFormat/>
    <w:uiPriority w:val="0"/>
    <w:rPr>
      <w:spacing w:val="10"/>
      <w:kern w:val="2"/>
      <w:sz w:val="24"/>
    </w:rPr>
  </w:style>
  <w:style w:type="paragraph" w:customStyle="1" w:styleId="1411">
    <w:name w:val="样式 报告 + Times New Roman Char Char Char Char Char Char Char Char Char Char Char Char Char Char Char Char"/>
    <w:basedOn w:val="442"/>
    <w:link w:val="1412"/>
    <w:autoRedefine/>
    <w:qFormat/>
    <w:uiPriority w:val="0"/>
    <w:pPr>
      <w:spacing w:line="500" w:lineRule="exact"/>
    </w:pPr>
    <w:rPr>
      <w:rFonts w:ascii="Times New Roman" w:hAnsi="Times New Roman"/>
      <w:kern w:val="2"/>
      <w:sz w:val="28"/>
      <w:szCs w:val="28"/>
      <w:lang w:val="zh-CN"/>
    </w:rPr>
  </w:style>
  <w:style w:type="character" w:customStyle="1" w:styleId="1412">
    <w:name w:val="样式 报告 + Times New Roman Char Char Char Char Char Char Char Char Char Char Char Char Char Char Char Char Char"/>
    <w:link w:val="1411"/>
    <w:autoRedefine/>
    <w:qFormat/>
    <w:uiPriority w:val="0"/>
    <w:rPr>
      <w:kern w:val="2"/>
      <w:sz w:val="28"/>
      <w:szCs w:val="28"/>
      <w:lang w:val="zh-CN" w:eastAsia="zh-CN"/>
    </w:rPr>
  </w:style>
  <w:style w:type="paragraph" w:customStyle="1" w:styleId="1413">
    <w:name w:val="样式 标题 3 + 黑色 Char Char Char Char Char Char Char Char Char"/>
    <w:basedOn w:val="7"/>
    <w:link w:val="1414"/>
    <w:autoRedefine/>
    <w:qFormat/>
    <w:uiPriority w:val="0"/>
    <w:pPr>
      <w:tabs>
        <w:tab w:val="left" w:pos="1077"/>
      </w:tabs>
      <w:ind w:left="1077" w:hanging="357"/>
    </w:pPr>
    <w:rPr>
      <w:lang w:val="zh-CN"/>
    </w:rPr>
  </w:style>
  <w:style w:type="character" w:customStyle="1" w:styleId="1414">
    <w:name w:val="样式 标题 3 + 黑色 Char Char Char Char Char Char Char Char Char Char"/>
    <w:link w:val="1413"/>
    <w:autoRedefine/>
    <w:qFormat/>
    <w:uiPriority w:val="0"/>
    <w:rPr>
      <w:rFonts w:ascii="Arial" w:hAnsi="Arial" w:eastAsia="黑体"/>
      <w:sz w:val="28"/>
      <w:szCs w:val="28"/>
      <w:lang w:val="zh-CN" w:eastAsia="zh-CN"/>
    </w:rPr>
  </w:style>
  <w:style w:type="character" w:customStyle="1" w:styleId="1415">
    <w:name w:val="环评正文文字缩进（江东模板） Char Char"/>
    <w:autoRedefine/>
    <w:qFormat/>
    <w:uiPriority w:val="0"/>
    <w:rPr>
      <w:rFonts w:eastAsia="宋体"/>
      <w:kern w:val="2"/>
      <w:sz w:val="24"/>
      <w:szCs w:val="24"/>
      <w:lang w:val="en-US" w:eastAsia="zh-CN" w:bidi="ar-SA"/>
    </w:rPr>
  </w:style>
  <w:style w:type="character" w:customStyle="1" w:styleId="1416">
    <w:name w:val="正文文本2 Char"/>
    <w:autoRedefine/>
    <w:qFormat/>
    <w:uiPriority w:val="0"/>
    <w:rPr>
      <w:kern w:val="2"/>
      <w:sz w:val="28"/>
      <w:szCs w:val="24"/>
    </w:rPr>
  </w:style>
  <w:style w:type="paragraph" w:customStyle="1" w:styleId="1417">
    <w:name w:val="表图头"/>
    <w:basedOn w:val="1"/>
    <w:link w:val="1418"/>
    <w:autoRedefine/>
    <w:qFormat/>
    <w:uiPriority w:val="0"/>
    <w:pPr>
      <w:spacing w:line="360" w:lineRule="auto"/>
      <w:ind w:firstLine="480" w:firstLineChars="200"/>
      <w:jc w:val="center"/>
    </w:pPr>
    <w:rPr>
      <w:rFonts w:eastAsia="华文中宋"/>
      <w:b/>
      <w:sz w:val="24"/>
      <w:lang w:val="zh-CN"/>
    </w:rPr>
  </w:style>
  <w:style w:type="character" w:customStyle="1" w:styleId="1418">
    <w:name w:val="表图头 Char"/>
    <w:link w:val="1417"/>
    <w:autoRedefine/>
    <w:qFormat/>
    <w:uiPriority w:val="0"/>
    <w:rPr>
      <w:rFonts w:eastAsia="华文中宋"/>
      <w:b/>
      <w:kern w:val="2"/>
      <w:sz w:val="24"/>
      <w:szCs w:val="24"/>
      <w:lang w:val="zh-CN" w:eastAsia="zh-CN"/>
    </w:rPr>
  </w:style>
  <w:style w:type="paragraph" w:customStyle="1" w:styleId="1419">
    <w:name w:val="pa-15"/>
    <w:basedOn w:val="1"/>
    <w:autoRedefine/>
    <w:qFormat/>
    <w:uiPriority w:val="0"/>
    <w:pPr>
      <w:widowControl/>
      <w:spacing w:before="150" w:after="150"/>
      <w:jc w:val="left"/>
    </w:pPr>
    <w:rPr>
      <w:rFonts w:ascii="宋体" w:hAnsi="宋体" w:cs="宋体"/>
      <w:kern w:val="0"/>
      <w:sz w:val="24"/>
    </w:rPr>
  </w:style>
  <w:style w:type="character" w:customStyle="1" w:styleId="1420">
    <w:name w:val="ca-13"/>
    <w:autoRedefine/>
    <w:qFormat/>
    <w:uiPriority w:val="0"/>
  </w:style>
  <w:style w:type="paragraph" w:customStyle="1" w:styleId="1421">
    <w:name w:val="pa-21"/>
    <w:basedOn w:val="1"/>
    <w:autoRedefine/>
    <w:qFormat/>
    <w:uiPriority w:val="0"/>
    <w:pPr>
      <w:widowControl/>
      <w:spacing w:before="150" w:after="150"/>
      <w:jc w:val="left"/>
    </w:pPr>
    <w:rPr>
      <w:rFonts w:ascii="宋体" w:hAnsi="宋体" w:cs="宋体"/>
      <w:kern w:val="0"/>
      <w:sz w:val="24"/>
    </w:rPr>
  </w:style>
  <w:style w:type="character" w:customStyle="1" w:styleId="1422">
    <w:name w:val="ca-15"/>
    <w:autoRedefine/>
    <w:qFormat/>
    <w:uiPriority w:val="0"/>
  </w:style>
  <w:style w:type="paragraph" w:customStyle="1" w:styleId="1423">
    <w:name w:val="pa-8"/>
    <w:basedOn w:val="1"/>
    <w:autoRedefine/>
    <w:qFormat/>
    <w:uiPriority w:val="0"/>
    <w:pPr>
      <w:widowControl/>
      <w:spacing w:before="150" w:after="150"/>
      <w:jc w:val="left"/>
    </w:pPr>
    <w:rPr>
      <w:rFonts w:ascii="宋体" w:hAnsi="宋体" w:cs="宋体"/>
      <w:kern w:val="0"/>
      <w:sz w:val="24"/>
    </w:rPr>
  </w:style>
  <w:style w:type="paragraph" w:customStyle="1" w:styleId="1424">
    <w:name w:val="pa-22"/>
    <w:basedOn w:val="1"/>
    <w:autoRedefine/>
    <w:qFormat/>
    <w:uiPriority w:val="0"/>
    <w:pPr>
      <w:widowControl/>
      <w:spacing w:before="150" w:after="150"/>
      <w:jc w:val="left"/>
    </w:pPr>
    <w:rPr>
      <w:rFonts w:ascii="宋体" w:hAnsi="宋体" w:cs="宋体"/>
      <w:kern w:val="0"/>
      <w:sz w:val="24"/>
    </w:rPr>
  </w:style>
  <w:style w:type="paragraph" w:customStyle="1" w:styleId="1425">
    <w:name w:val="pa-23"/>
    <w:basedOn w:val="1"/>
    <w:autoRedefine/>
    <w:qFormat/>
    <w:uiPriority w:val="0"/>
    <w:pPr>
      <w:widowControl/>
      <w:spacing w:before="150" w:after="150"/>
      <w:jc w:val="left"/>
    </w:pPr>
    <w:rPr>
      <w:rFonts w:ascii="宋体" w:hAnsi="宋体" w:cs="宋体"/>
      <w:kern w:val="0"/>
      <w:sz w:val="24"/>
    </w:rPr>
  </w:style>
  <w:style w:type="paragraph" w:customStyle="1" w:styleId="1426">
    <w:name w:val="工艺题目"/>
    <w:basedOn w:val="1"/>
    <w:autoRedefine/>
    <w:qFormat/>
    <w:uiPriority w:val="0"/>
    <w:pPr>
      <w:adjustRightInd w:val="0"/>
      <w:snapToGrid w:val="0"/>
      <w:spacing w:line="360" w:lineRule="auto"/>
    </w:pPr>
    <w:rPr>
      <w:b/>
      <w:sz w:val="28"/>
    </w:rPr>
  </w:style>
  <w:style w:type="character" w:customStyle="1" w:styleId="1427">
    <w:name w:val="f12_0000_1"/>
    <w:autoRedefine/>
    <w:qFormat/>
    <w:uiPriority w:val="0"/>
  </w:style>
  <w:style w:type="character" w:customStyle="1" w:styleId="1428">
    <w:name w:val="content"/>
    <w:autoRedefine/>
    <w:qFormat/>
    <w:uiPriority w:val="0"/>
  </w:style>
  <w:style w:type="character" w:customStyle="1" w:styleId="1429">
    <w:name w:val="doc-desc-all"/>
    <w:autoRedefine/>
    <w:qFormat/>
    <w:uiPriority w:val="0"/>
  </w:style>
  <w:style w:type="paragraph" w:customStyle="1" w:styleId="1430">
    <w:name w:val="表蕊居中"/>
    <w:link w:val="1431"/>
    <w:autoRedefine/>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character" w:customStyle="1" w:styleId="1431">
    <w:name w:val="表蕊居中 Char"/>
    <w:link w:val="1430"/>
    <w:autoRedefine/>
    <w:qFormat/>
    <w:uiPriority w:val="0"/>
    <w:rPr>
      <w:spacing w:val="8"/>
      <w:sz w:val="21"/>
      <w:szCs w:val="28"/>
    </w:rPr>
  </w:style>
  <w:style w:type="character" w:customStyle="1" w:styleId="1432">
    <w:name w:val="so-ask-best"/>
    <w:autoRedefine/>
    <w:qFormat/>
    <w:uiPriority w:val="0"/>
  </w:style>
  <w:style w:type="paragraph" w:customStyle="1" w:styleId="1433">
    <w:name w:val="Char1 Char Char Char Char Char 字元 字元1"/>
    <w:basedOn w:val="1"/>
    <w:autoRedefine/>
    <w:qFormat/>
    <w:uiPriority w:val="0"/>
    <w:rPr>
      <w:szCs w:val="21"/>
    </w:rPr>
  </w:style>
  <w:style w:type="character" w:customStyle="1" w:styleId="1434">
    <w:name w:val="正文文本 (2)_"/>
    <w:link w:val="1435"/>
    <w:autoRedefine/>
    <w:qFormat/>
    <w:uiPriority w:val="0"/>
    <w:rPr>
      <w:rFonts w:ascii="MingLiU" w:hAnsi="MingLiU" w:eastAsia="MingLiU" w:cs="MingLiU"/>
      <w:spacing w:val="30"/>
      <w:sz w:val="26"/>
      <w:szCs w:val="26"/>
      <w:shd w:val="clear" w:color="auto" w:fill="FFFFFF"/>
    </w:rPr>
  </w:style>
  <w:style w:type="paragraph" w:customStyle="1" w:styleId="1435">
    <w:name w:val="正文文本 (2)"/>
    <w:basedOn w:val="1"/>
    <w:link w:val="1434"/>
    <w:autoRedefine/>
    <w:qFormat/>
    <w:uiPriority w:val="0"/>
    <w:pPr>
      <w:shd w:val="clear" w:color="auto" w:fill="FFFFFF"/>
      <w:spacing w:before="2160" w:line="608" w:lineRule="exact"/>
      <w:jc w:val="distribute"/>
    </w:pPr>
    <w:rPr>
      <w:rFonts w:ascii="MingLiU" w:hAnsi="MingLiU" w:eastAsia="MingLiU" w:cs="MingLiU"/>
      <w:spacing w:val="30"/>
      <w:kern w:val="0"/>
      <w:sz w:val="26"/>
      <w:szCs w:val="26"/>
    </w:rPr>
  </w:style>
  <w:style w:type="character" w:customStyle="1" w:styleId="1436">
    <w:name w:val="正文文本 (2) + 10 pt"/>
    <w:autoRedefine/>
    <w:qFormat/>
    <w:uiPriority w:val="0"/>
    <w:rPr>
      <w:rFonts w:ascii="MingLiU" w:hAnsi="MingLiU" w:eastAsia="MingLiU" w:cs="MingLiU"/>
      <w:color w:val="000000"/>
      <w:spacing w:val="0"/>
      <w:w w:val="100"/>
      <w:position w:val="0"/>
      <w:sz w:val="20"/>
      <w:szCs w:val="20"/>
      <w:shd w:val="clear" w:color="auto" w:fill="FFFFFF"/>
      <w:lang w:val="zh-TW" w:eastAsia="zh-TW" w:bidi="zh-TW"/>
    </w:rPr>
  </w:style>
  <w:style w:type="character" w:customStyle="1" w:styleId="1437">
    <w:name w:val="正文文本 (2) + 11 pt"/>
    <w:autoRedefine/>
    <w:qFormat/>
    <w:uiPriority w:val="0"/>
    <w:rPr>
      <w:rFonts w:ascii="MingLiU" w:hAnsi="MingLiU" w:eastAsia="MingLiU" w:cs="MingLiU"/>
      <w:color w:val="000000"/>
      <w:spacing w:val="0"/>
      <w:w w:val="100"/>
      <w:position w:val="0"/>
      <w:sz w:val="22"/>
      <w:szCs w:val="22"/>
      <w:u w:val="none"/>
      <w:shd w:val="clear" w:color="auto" w:fill="FFFFFF"/>
      <w:lang w:val="zh-TW" w:eastAsia="zh-TW" w:bidi="zh-TW"/>
    </w:rPr>
  </w:style>
  <w:style w:type="paragraph" w:customStyle="1" w:styleId="1438">
    <w:name w:val="Char1 Char Char Char2"/>
    <w:basedOn w:val="1"/>
    <w:autoRedefine/>
    <w:qFormat/>
    <w:uiPriority w:val="0"/>
    <w:rPr>
      <w:rFonts w:ascii="Tahoma" w:hAnsi="Tahoma" w:eastAsia="仿宋_GB2312"/>
      <w:sz w:val="24"/>
    </w:rPr>
  </w:style>
  <w:style w:type="character" w:customStyle="1" w:styleId="1439">
    <w:name w:val="Char Char28"/>
    <w:autoRedefine/>
    <w:qFormat/>
    <w:uiPriority w:val="0"/>
    <w:rPr>
      <w:rFonts w:ascii="楷体_GB2312" w:hAnsi="楷体_GB2312" w:eastAsia="楷体_GB2312"/>
      <w:b/>
      <w:bCs/>
      <w:kern w:val="44"/>
      <w:sz w:val="32"/>
      <w:szCs w:val="44"/>
    </w:rPr>
  </w:style>
  <w:style w:type="character" w:customStyle="1" w:styleId="1440">
    <w:name w:val="Char Char27"/>
    <w:autoRedefine/>
    <w:qFormat/>
    <w:uiPriority w:val="0"/>
    <w:rPr>
      <w:rFonts w:ascii="楷体_GB2312" w:hAnsi="楷体_GB2312" w:eastAsia="楷体_GB2312"/>
      <w:b/>
      <w:bCs/>
      <w:kern w:val="2"/>
      <w:sz w:val="30"/>
      <w:szCs w:val="32"/>
    </w:rPr>
  </w:style>
  <w:style w:type="character" w:customStyle="1" w:styleId="1441">
    <w:name w:val="Char Char26"/>
    <w:autoRedefine/>
    <w:qFormat/>
    <w:uiPriority w:val="0"/>
    <w:rPr>
      <w:rFonts w:ascii="Times New Roman" w:hAnsi="Times New Roman" w:eastAsia="宋体" w:cs="Times New Roman"/>
      <w:b/>
      <w:bCs/>
      <w:sz w:val="32"/>
      <w:szCs w:val="32"/>
    </w:rPr>
  </w:style>
  <w:style w:type="character" w:customStyle="1" w:styleId="1442">
    <w:name w:val="Char Char25"/>
    <w:autoRedefine/>
    <w:qFormat/>
    <w:uiPriority w:val="0"/>
    <w:rPr>
      <w:rFonts w:ascii="楷体_GB2312" w:hAnsi="楷体_GB2312" w:eastAsia="楷体_GB2312"/>
      <w:b/>
      <w:bCs/>
      <w:kern w:val="2"/>
      <w:sz w:val="28"/>
      <w:szCs w:val="28"/>
    </w:rPr>
  </w:style>
  <w:style w:type="character" w:customStyle="1" w:styleId="1443">
    <w:name w:val="Char Char24"/>
    <w:autoRedefine/>
    <w:qFormat/>
    <w:uiPriority w:val="0"/>
    <w:rPr>
      <w:rFonts w:ascii="楷体_GB2312" w:hAnsi="楷体_GB2312" w:eastAsia="楷体_GB2312"/>
      <w:b/>
      <w:bCs/>
      <w:color w:val="000000"/>
      <w:kern w:val="2"/>
      <w:sz w:val="28"/>
      <w:szCs w:val="28"/>
    </w:rPr>
  </w:style>
  <w:style w:type="character" w:customStyle="1" w:styleId="1444">
    <w:name w:val="Char Char23"/>
    <w:autoRedefine/>
    <w:qFormat/>
    <w:uiPriority w:val="0"/>
    <w:rPr>
      <w:rFonts w:ascii="Arial" w:hAnsi="Arial" w:eastAsia="黑体" w:cs="Times New Roman"/>
      <w:b/>
      <w:sz w:val="24"/>
      <w:szCs w:val="20"/>
    </w:rPr>
  </w:style>
  <w:style w:type="character" w:customStyle="1" w:styleId="1445">
    <w:name w:val="Char Char221"/>
    <w:autoRedefine/>
    <w:qFormat/>
    <w:uiPriority w:val="0"/>
    <w:rPr>
      <w:rFonts w:ascii="Times New Roman" w:hAnsi="Times New Roman" w:eastAsia="宋体" w:cs="Times New Roman"/>
      <w:b/>
      <w:sz w:val="24"/>
      <w:szCs w:val="20"/>
    </w:rPr>
  </w:style>
  <w:style w:type="character" w:customStyle="1" w:styleId="1446">
    <w:name w:val="Char Char2113"/>
    <w:autoRedefine/>
    <w:qFormat/>
    <w:uiPriority w:val="0"/>
    <w:rPr>
      <w:rFonts w:ascii="Arial" w:hAnsi="Arial" w:eastAsia="黑体" w:cs="Times New Roman"/>
      <w:sz w:val="24"/>
      <w:szCs w:val="20"/>
    </w:rPr>
  </w:style>
  <w:style w:type="character" w:customStyle="1" w:styleId="1447">
    <w:name w:val="Char Char20"/>
    <w:autoRedefine/>
    <w:qFormat/>
    <w:uiPriority w:val="0"/>
    <w:rPr>
      <w:rFonts w:ascii="Arial" w:hAnsi="Arial" w:eastAsia="黑体" w:cs="Times New Roman"/>
      <w:sz w:val="24"/>
      <w:szCs w:val="20"/>
    </w:rPr>
  </w:style>
  <w:style w:type="character" w:customStyle="1" w:styleId="1448">
    <w:name w:val="8 Char1 Char"/>
    <w:link w:val="1449"/>
    <w:autoRedefine/>
    <w:qFormat/>
    <w:uiPriority w:val="0"/>
    <w:rPr>
      <w:kern w:val="10"/>
      <w:sz w:val="24"/>
      <w:szCs w:val="24"/>
    </w:rPr>
  </w:style>
  <w:style w:type="paragraph" w:customStyle="1" w:styleId="1449">
    <w:name w:val="8 Char1"/>
    <w:basedOn w:val="1"/>
    <w:link w:val="1448"/>
    <w:autoRedefine/>
    <w:qFormat/>
    <w:uiPriority w:val="0"/>
    <w:pPr>
      <w:spacing w:line="360" w:lineRule="auto"/>
      <w:ind w:firstLine="480" w:firstLineChars="200"/>
    </w:pPr>
    <w:rPr>
      <w:kern w:val="10"/>
      <w:sz w:val="24"/>
    </w:rPr>
  </w:style>
  <w:style w:type="character" w:customStyle="1" w:styleId="1450">
    <w:name w:val="表正 Char"/>
    <w:autoRedefine/>
    <w:qFormat/>
    <w:uiPriority w:val="0"/>
    <w:rPr>
      <w:rFonts w:eastAsia="宋体"/>
      <w:kern w:val="2"/>
      <w:sz w:val="21"/>
      <w:lang w:val="en-US" w:eastAsia="zh-CN" w:bidi="ar-SA"/>
    </w:rPr>
  </w:style>
  <w:style w:type="character" w:customStyle="1" w:styleId="1451">
    <w:name w:val="样式 题注 + 居中 Char"/>
    <w:link w:val="1452"/>
    <w:autoRedefine/>
    <w:qFormat/>
    <w:uiPriority w:val="0"/>
    <w:rPr>
      <w:rFonts w:ascii="Arial" w:hAnsi="Arial" w:eastAsia="黑体"/>
      <w:sz w:val="24"/>
      <w:szCs w:val="24"/>
    </w:rPr>
  </w:style>
  <w:style w:type="paragraph" w:customStyle="1" w:styleId="1452">
    <w:name w:val="样式 题注 + 居中"/>
    <w:basedOn w:val="24"/>
    <w:next w:val="1"/>
    <w:link w:val="1451"/>
    <w:autoRedefine/>
    <w:qFormat/>
    <w:uiPriority w:val="0"/>
    <w:pPr>
      <w:keepNext w:val="0"/>
      <w:widowControl w:val="0"/>
      <w:adjustRightInd/>
      <w:snapToGrid/>
      <w:spacing w:before="120" w:after="120" w:line="240" w:lineRule="auto"/>
    </w:pPr>
    <w:rPr>
      <w:rFonts w:ascii="Arial" w:hAnsi="Arial" w:eastAsia="黑体"/>
      <w:b w:val="0"/>
      <w:sz w:val="24"/>
      <w:szCs w:val="24"/>
      <w:lang w:val="en-US"/>
    </w:rPr>
  </w:style>
  <w:style w:type="character" w:customStyle="1" w:styleId="1453">
    <w:name w:val="Char Char19"/>
    <w:autoRedefine/>
    <w:qFormat/>
    <w:uiPriority w:val="0"/>
    <w:rPr>
      <w:rFonts w:ascii="Arial" w:hAnsi="Arial" w:eastAsia="黑体" w:cs="Arial"/>
      <w:szCs w:val="24"/>
    </w:rPr>
  </w:style>
  <w:style w:type="character" w:customStyle="1" w:styleId="1454">
    <w:name w:val="postbody"/>
    <w:autoRedefine/>
    <w:qFormat/>
    <w:uiPriority w:val="0"/>
  </w:style>
  <w:style w:type="character" w:customStyle="1" w:styleId="1455">
    <w:name w:val="正文111111111 Char"/>
    <w:link w:val="1456"/>
    <w:autoRedefine/>
    <w:qFormat/>
    <w:uiPriority w:val="0"/>
    <w:rPr>
      <w:sz w:val="24"/>
    </w:rPr>
  </w:style>
  <w:style w:type="paragraph" w:customStyle="1" w:styleId="1456">
    <w:name w:val="正文111111111"/>
    <w:basedOn w:val="1"/>
    <w:link w:val="1455"/>
    <w:autoRedefine/>
    <w:qFormat/>
    <w:uiPriority w:val="0"/>
    <w:pPr>
      <w:tabs>
        <w:tab w:val="left" w:pos="480"/>
      </w:tabs>
      <w:spacing w:line="360" w:lineRule="auto"/>
      <w:ind w:firstLine="200" w:firstLineChars="200"/>
    </w:pPr>
    <w:rPr>
      <w:kern w:val="0"/>
      <w:sz w:val="24"/>
      <w:szCs w:val="20"/>
    </w:rPr>
  </w:style>
  <w:style w:type="character" w:customStyle="1" w:styleId="1457">
    <w:name w:val="自定正文 Char"/>
    <w:link w:val="1458"/>
    <w:autoRedefine/>
    <w:qFormat/>
    <w:uiPriority w:val="0"/>
    <w:rPr>
      <w:snapToGrid w:val="0"/>
      <w:color w:val="000000"/>
      <w:sz w:val="24"/>
    </w:rPr>
  </w:style>
  <w:style w:type="paragraph" w:customStyle="1" w:styleId="1458">
    <w:name w:val="自定正文"/>
    <w:basedOn w:val="1"/>
    <w:link w:val="1457"/>
    <w:autoRedefine/>
    <w:qFormat/>
    <w:uiPriority w:val="0"/>
    <w:pPr>
      <w:snapToGrid w:val="0"/>
      <w:spacing w:line="360" w:lineRule="auto"/>
      <w:ind w:firstLine="200" w:firstLineChars="200"/>
      <w:textAlignment w:val="center"/>
    </w:pPr>
    <w:rPr>
      <w:snapToGrid w:val="0"/>
      <w:color w:val="000000"/>
      <w:kern w:val="0"/>
      <w:sz w:val="24"/>
      <w:szCs w:val="20"/>
    </w:rPr>
  </w:style>
  <w:style w:type="character" w:customStyle="1" w:styleId="1459">
    <w:name w:val="表格内容jophy Char Char"/>
    <w:link w:val="1460"/>
    <w:autoRedefine/>
    <w:qFormat/>
    <w:uiPriority w:val="0"/>
    <w:rPr>
      <w:szCs w:val="18"/>
    </w:rPr>
  </w:style>
  <w:style w:type="paragraph" w:customStyle="1" w:styleId="1460">
    <w:name w:val="表格内容jophy"/>
    <w:basedOn w:val="1"/>
    <w:link w:val="1459"/>
    <w:autoRedefine/>
    <w:qFormat/>
    <w:uiPriority w:val="0"/>
    <w:pPr>
      <w:adjustRightInd w:val="0"/>
      <w:snapToGrid w:val="0"/>
      <w:jc w:val="center"/>
    </w:pPr>
    <w:rPr>
      <w:kern w:val="0"/>
      <w:sz w:val="20"/>
      <w:szCs w:val="18"/>
    </w:rPr>
  </w:style>
  <w:style w:type="character" w:customStyle="1" w:styleId="1461">
    <w:name w:val="表标头 Char"/>
    <w:link w:val="1462"/>
    <w:autoRedefine/>
    <w:qFormat/>
    <w:uiPriority w:val="0"/>
    <w:rPr>
      <w:b/>
      <w:bCs/>
      <w:sz w:val="24"/>
      <w:szCs w:val="28"/>
    </w:rPr>
  </w:style>
  <w:style w:type="paragraph" w:customStyle="1" w:styleId="1462">
    <w:name w:val="表标头"/>
    <w:link w:val="1461"/>
    <w:autoRedefine/>
    <w:qFormat/>
    <w:uiPriority w:val="0"/>
    <w:pPr>
      <w:adjustRightInd w:val="0"/>
      <w:jc w:val="center"/>
    </w:pPr>
    <w:rPr>
      <w:rFonts w:ascii="Times New Roman" w:hAnsi="Times New Roman" w:eastAsia="宋体" w:cs="Times New Roman"/>
      <w:b/>
      <w:bCs/>
      <w:sz w:val="24"/>
      <w:szCs w:val="28"/>
      <w:lang w:val="en-US" w:eastAsia="zh-CN" w:bidi="ar-SA"/>
    </w:rPr>
  </w:style>
  <w:style w:type="character" w:customStyle="1" w:styleId="1463">
    <w:name w:val="实德题注 Char Char1"/>
    <w:autoRedefine/>
    <w:qFormat/>
    <w:uiPriority w:val="0"/>
    <w:rPr>
      <w:rFonts w:eastAsia="仿宋_GB2312" w:cs="Arial"/>
      <w:b/>
      <w:sz w:val="24"/>
      <w:szCs w:val="21"/>
      <w:lang w:val="en-US" w:eastAsia="zh-CN" w:bidi="ar-SA"/>
    </w:rPr>
  </w:style>
  <w:style w:type="character" w:customStyle="1" w:styleId="1464">
    <w:name w:val="图表头 Char Char"/>
    <w:link w:val="1465"/>
    <w:autoRedefine/>
    <w:qFormat/>
    <w:uiPriority w:val="0"/>
    <w:rPr>
      <w:b/>
      <w:sz w:val="24"/>
    </w:rPr>
  </w:style>
  <w:style w:type="paragraph" w:customStyle="1" w:styleId="1465">
    <w:name w:val="图表头"/>
    <w:link w:val="1464"/>
    <w:autoRedefine/>
    <w:qFormat/>
    <w:uiPriority w:val="0"/>
    <w:pPr>
      <w:adjustRightInd w:val="0"/>
      <w:snapToGrid w:val="0"/>
      <w:jc w:val="center"/>
    </w:pPr>
    <w:rPr>
      <w:rFonts w:ascii="Times New Roman" w:hAnsi="Times New Roman" w:eastAsia="宋体" w:cs="Times New Roman"/>
      <w:b/>
      <w:sz w:val="24"/>
      <w:lang w:val="en-US" w:eastAsia="zh-CN" w:bidi="ar-SA"/>
    </w:rPr>
  </w:style>
  <w:style w:type="character" w:customStyle="1" w:styleId="1466">
    <w:name w:val="自定表格 Char"/>
    <w:link w:val="1467"/>
    <w:autoRedefine/>
    <w:qFormat/>
    <w:uiPriority w:val="0"/>
  </w:style>
  <w:style w:type="paragraph" w:customStyle="1" w:styleId="1467">
    <w:name w:val="自定表格"/>
    <w:basedOn w:val="1"/>
    <w:link w:val="1466"/>
    <w:autoRedefine/>
    <w:qFormat/>
    <w:uiPriority w:val="0"/>
    <w:pPr>
      <w:autoSpaceDE w:val="0"/>
      <w:autoSpaceDN w:val="0"/>
      <w:adjustRightInd w:val="0"/>
      <w:jc w:val="center"/>
      <w:textAlignment w:val="baseline"/>
    </w:pPr>
    <w:rPr>
      <w:kern w:val="0"/>
      <w:sz w:val="20"/>
      <w:szCs w:val="20"/>
    </w:rPr>
  </w:style>
  <w:style w:type="character" w:customStyle="1" w:styleId="1468">
    <w:name w:val="text161"/>
    <w:autoRedefine/>
    <w:qFormat/>
    <w:uiPriority w:val="0"/>
    <w:rPr>
      <w:b/>
      <w:bCs/>
      <w:color w:val="CC0000"/>
    </w:rPr>
  </w:style>
  <w:style w:type="character" w:customStyle="1" w:styleId="1469">
    <w:name w:val="中大正文 Char Char"/>
    <w:link w:val="1470"/>
    <w:autoRedefine/>
    <w:qFormat/>
    <w:uiPriority w:val="0"/>
    <w:rPr>
      <w:rFonts w:ascii="宋体" w:hAnsi="宋体"/>
      <w:sz w:val="24"/>
      <w:szCs w:val="24"/>
      <w:lang w:val="zh-CN"/>
    </w:rPr>
  </w:style>
  <w:style w:type="paragraph" w:customStyle="1" w:styleId="1470">
    <w:name w:val="中大正文"/>
    <w:basedOn w:val="1"/>
    <w:link w:val="1469"/>
    <w:autoRedefine/>
    <w:qFormat/>
    <w:uiPriority w:val="0"/>
    <w:pPr>
      <w:autoSpaceDE w:val="0"/>
      <w:autoSpaceDN w:val="0"/>
      <w:adjustRightInd w:val="0"/>
      <w:spacing w:line="360" w:lineRule="auto"/>
      <w:ind w:firstLine="480" w:firstLineChars="200"/>
      <w:jc w:val="left"/>
    </w:pPr>
    <w:rPr>
      <w:rFonts w:ascii="宋体" w:hAnsi="宋体"/>
      <w:kern w:val="0"/>
      <w:sz w:val="24"/>
      <w:lang w:val="zh-CN"/>
    </w:rPr>
  </w:style>
  <w:style w:type="character" w:customStyle="1" w:styleId="1471">
    <w:name w:val="正文（首行缩进） Charjophy Char"/>
    <w:link w:val="1472"/>
    <w:autoRedefine/>
    <w:qFormat/>
    <w:uiPriority w:val="0"/>
    <w:rPr>
      <w:snapToGrid w:val="0"/>
      <w:sz w:val="24"/>
      <w:szCs w:val="24"/>
    </w:rPr>
  </w:style>
  <w:style w:type="paragraph" w:customStyle="1" w:styleId="1472">
    <w:name w:val="正文（首行缩进） Charjophy"/>
    <w:basedOn w:val="1"/>
    <w:link w:val="1471"/>
    <w:autoRedefine/>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rPr>
  </w:style>
  <w:style w:type="character" w:customStyle="1" w:styleId="1473">
    <w:name w:val="样式 宋体 四号"/>
    <w:autoRedefine/>
    <w:qFormat/>
    <w:uiPriority w:val="0"/>
    <w:rPr>
      <w:rFonts w:ascii="宋体" w:hAnsi="宋体"/>
      <w:sz w:val="28"/>
      <w:szCs w:val="28"/>
    </w:rPr>
  </w:style>
  <w:style w:type="character" w:customStyle="1" w:styleId="1474">
    <w:name w:val="正文1 Char"/>
    <w:link w:val="284"/>
    <w:autoRedefine/>
    <w:qFormat/>
    <w:uiPriority w:val="0"/>
    <w:rPr>
      <w:rFonts w:ascii="Arial" w:eastAsia="楷体_GB2312"/>
      <w:spacing w:val="-6"/>
      <w:sz w:val="28"/>
    </w:rPr>
  </w:style>
  <w:style w:type="character" w:customStyle="1" w:styleId="1475">
    <w:name w:val="报告正文 Char"/>
    <w:link w:val="1404"/>
    <w:autoRedefine/>
    <w:qFormat/>
    <w:uiPriority w:val="0"/>
    <w:rPr>
      <w:color w:val="000000"/>
      <w:kern w:val="2"/>
      <w:sz w:val="24"/>
      <w:szCs w:val="24"/>
      <w:lang w:val="zh-CN" w:eastAsia="zh-CN"/>
    </w:rPr>
  </w:style>
  <w:style w:type="character" w:customStyle="1" w:styleId="1476">
    <w:name w:val="head121"/>
    <w:autoRedefine/>
    <w:qFormat/>
    <w:uiPriority w:val="0"/>
    <w:rPr>
      <w:sz w:val="22"/>
      <w:szCs w:val="22"/>
    </w:rPr>
  </w:style>
  <w:style w:type="character" w:customStyle="1" w:styleId="1477">
    <w:name w:val="表标头jophy Char Char"/>
    <w:link w:val="1478"/>
    <w:autoRedefine/>
    <w:qFormat/>
    <w:uiPriority w:val="0"/>
    <w:rPr>
      <w:b/>
      <w:bCs/>
      <w:sz w:val="24"/>
      <w:szCs w:val="28"/>
    </w:rPr>
  </w:style>
  <w:style w:type="paragraph" w:customStyle="1" w:styleId="1478">
    <w:name w:val="表标头jophy"/>
    <w:link w:val="1477"/>
    <w:autoRedefine/>
    <w:qFormat/>
    <w:uiPriority w:val="0"/>
    <w:pPr>
      <w:adjustRightInd w:val="0"/>
      <w:snapToGrid w:val="0"/>
      <w:jc w:val="center"/>
    </w:pPr>
    <w:rPr>
      <w:rFonts w:ascii="Times New Roman" w:hAnsi="Times New Roman" w:eastAsia="宋体" w:cs="Times New Roman"/>
      <w:b/>
      <w:bCs/>
      <w:sz w:val="24"/>
      <w:szCs w:val="28"/>
      <w:lang w:val="en-US" w:eastAsia="zh-CN" w:bidi="ar-SA"/>
    </w:rPr>
  </w:style>
  <w:style w:type="character" w:customStyle="1" w:styleId="1479">
    <w:name w:val="带括号的正文 Char"/>
    <w:link w:val="1480"/>
    <w:autoRedefine/>
    <w:qFormat/>
    <w:uiPriority w:val="0"/>
    <w:rPr>
      <w:sz w:val="24"/>
      <w:szCs w:val="28"/>
    </w:rPr>
  </w:style>
  <w:style w:type="paragraph" w:customStyle="1" w:styleId="1480">
    <w:name w:val="带括号的正文"/>
    <w:basedOn w:val="1"/>
    <w:next w:val="1"/>
    <w:link w:val="1479"/>
    <w:autoRedefine/>
    <w:qFormat/>
    <w:uiPriority w:val="0"/>
    <w:pPr>
      <w:adjustRightInd w:val="0"/>
      <w:snapToGrid w:val="0"/>
      <w:spacing w:line="360" w:lineRule="auto"/>
      <w:ind w:firstLine="100" w:firstLineChars="100"/>
    </w:pPr>
    <w:rPr>
      <w:kern w:val="0"/>
      <w:sz w:val="24"/>
      <w:szCs w:val="28"/>
    </w:rPr>
  </w:style>
  <w:style w:type="character" w:customStyle="1" w:styleId="1481">
    <w:name w:val="1正文段落 Char"/>
    <w:link w:val="320"/>
    <w:autoRedefine/>
    <w:qFormat/>
    <w:uiPriority w:val="0"/>
    <w:rPr>
      <w:snapToGrid w:val="0"/>
      <w:sz w:val="24"/>
      <w:szCs w:val="24"/>
    </w:rPr>
  </w:style>
  <w:style w:type="character" w:customStyle="1" w:styleId="1482">
    <w:name w:val="text1"/>
    <w:autoRedefine/>
    <w:qFormat/>
    <w:uiPriority w:val="0"/>
    <w:rPr>
      <w:color w:val="auto"/>
      <w:sz w:val="20"/>
      <w:szCs w:val="20"/>
    </w:rPr>
  </w:style>
  <w:style w:type="character" w:customStyle="1" w:styleId="1483">
    <w:name w:val="H5 Char Char"/>
    <w:autoRedefine/>
    <w:qFormat/>
    <w:uiPriority w:val="0"/>
    <w:rPr>
      <w:rFonts w:eastAsia="宋体"/>
      <w:b/>
      <w:sz w:val="24"/>
      <w:lang w:val="en-US" w:eastAsia="zh-CN" w:bidi="ar-SA"/>
    </w:rPr>
  </w:style>
  <w:style w:type="character" w:customStyle="1" w:styleId="1484">
    <w:name w:val="ourfont11"/>
    <w:autoRedefine/>
    <w:qFormat/>
    <w:uiPriority w:val="0"/>
    <w:rPr>
      <w:sz w:val="20"/>
      <w:szCs w:val="20"/>
    </w:rPr>
  </w:style>
  <w:style w:type="character" w:customStyle="1" w:styleId="1485">
    <w:name w:val="正文（首行缩进两字） Char Char Char Char Char Char Char Char Char Char Char Char Char"/>
    <w:autoRedefine/>
    <w:qFormat/>
    <w:uiPriority w:val="0"/>
    <w:rPr>
      <w:rFonts w:ascii="仿宋_GB2312" w:eastAsia="仿宋_GB2312"/>
      <w:color w:val="000000"/>
      <w:kern w:val="2"/>
      <w:sz w:val="28"/>
      <w:szCs w:val="24"/>
      <w:lang w:val="en-US" w:eastAsia="zh-CN" w:bidi="ar-SA"/>
    </w:rPr>
  </w:style>
  <w:style w:type="character" w:customStyle="1" w:styleId="1486">
    <w:name w:val="s1"/>
    <w:autoRedefine/>
    <w:qFormat/>
    <w:uiPriority w:val="0"/>
    <w:rPr>
      <w:sz w:val="18"/>
      <w:szCs w:val="18"/>
    </w:rPr>
  </w:style>
  <w:style w:type="character" w:customStyle="1" w:styleId="1487">
    <w:name w:val="脚注文本 Char1"/>
    <w:autoRedefine/>
    <w:semiHidden/>
    <w:qFormat/>
    <w:uiPriority w:val="0"/>
    <w:rPr>
      <w:rFonts w:ascii="Times New Roman" w:hAnsi="Times New Roman" w:eastAsia="宋体" w:cs="Times New Roman"/>
      <w:sz w:val="18"/>
      <w:szCs w:val="18"/>
    </w:rPr>
  </w:style>
  <w:style w:type="character" w:customStyle="1" w:styleId="1488">
    <w:name w:val="表格内容五号字 Char Char"/>
    <w:link w:val="1489"/>
    <w:autoRedefine/>
    <w:qFormat/>
    <w:uiPriority w:val="0"/>
  </w:style>
  <w:style w:type="paragraph" w:customStyle="1" w:styleId="1489">
    <w:name w:val="表格内容五号字"/>
    <w:basedOn w:val="1"/>
    <w:link w:val="1488"/>
    <w:autoRedefine/>
    <w:qFormat/>
    <w:uiPriority w:val="0"/>
    <w:pPr>
      <w:adjustRightInd w:val="0"/>
      <w:snapToGrid w:val="0"/>
      <w:spacing w:line="240" w:lineRule="atLeast"/>
      <w:jc w:val="center"/>
      <w:textAlignment w:val="baseline"/>
    </w:pPr>
    <w:rPr>
      <w:kern w:val="0"/>
      <w:sz w:val="20"/>
      <w:szCs w:val="20"/>
    </w:rPr>
  </w:style>
  <w:style w:type="character" w:customStyle="1" w:styleId="1490">
    <w:name w:val="正文样式1 Char"/>
    <w:link w:val="1491"/>
    <w:autoRedefine/>
    <w:qFormat/>
    <w:uiPriority w:val="0"/>
    <w:rPr>
      <w:sz w:val="28"/>
    </w:rPr>
  </w:style>
  <w:style w:type="paragraph" w:customStyle="1" w:styleId="1491">
    <w:name w:val="正文样式1"/>
    <w:basedOn w:val="1"/>
    <w:link w:val="1490"/>
    <w:autoRedefine/>
    <w:qFormat/>
    <w:uiPriority w:val="0"/>
    <w:pPr>
      <w:adjustRightInd w:val="0"/>
      <w:spacing w:line="480" w:lineRule="atLeast"/>
      <w:ind w:firstLine="567"/>
      <w:jc w:val="left"/>
      <w:textAlignment w:val="baseline"/>
    </w:pPr>
    <w:rPr>
      <w:kern w:val="0"/>
      <w:sz w:val="28"/>
      <w:szCs w:val="20"/>
    </w:rPr>
  </w:style>
  <w:style w:type="character" w:customStyle="1" w:styleId="1492">
    <w:name w:val="样式 首行缩进:  2 字符 Char"/>
    <w:link w:val="436"/>
    <w:autoRedefine/>
    <w:qFormat/>
    <w:uiPriority w:val="0"/>
    <w:rPr>
      <w:rFonts w:ascii="仿宋_GB2312"/>
      <w:kern w:val="2"/>
      <w:sz w:val="28"/>
    </w:rPr>
  </w:style>
  <w:style w:type="character" w:customStyle="1" w:styleId="1493">
    <w:name w:val="纯文本1 Char Char"/>
    <w:autoRedefine/>
    <w:qFormat/>
    <w:uiPriority w:val="0"/>
    <w:rPr>
      <w:rFonts w:ascii="宋体" w:hAnsi="Courier New" w:eastAsia="宋体"/>
      <w:kern w:val="2"/>
      <w:sz w:val="21"/>
      <w:szCs w:val="21"/>
      <w:lang w:val="en-US" w:eastAsia="zh-CN" w:bidi="ar-SA"/>
    </w:rPr>
  </w:style>
  <w:style w:type="character" w:customStyle="1" w:styleId="1494">
    <w:name w:val="正文文字缩进 Char Char1"/>
    <w:autoRedefine/>
    <w:qFormat/>
    <w:uiPriority w:val="0"/>
    <w:rPr>
      <w:rFonts w:eastAsia="宋体"/>
      <w:kern w:val="2"/>
      <w:sz w:val="21"/>
      <w:szCs w:val="24"/>
      <w:lang w:val="en-US" w:eastAsia="zh-CN" w:bidi="ar-SA"/>
    </w:rPr>
  </w:style>
  <w:style w:type="character" w:customStyle="1" w:styleId="1495">
    <w:name w:val="t361"/>
    <w:autoRedefine/>
    <w:qFormat/>
    <w:uiPriority w:val="0"/>
    <w:rPr>
      <w:b/>
      <w:bCs/>
      <w:color w:val="FFFFFF"/>
      <w:sz w:val="40"/>
      <w:szCs w:val="40"/>
    </w:rPr>
  </w:style>
  <w:style w:type="character" w:customStyle="1" w:styleId="1496">
    <w:name w:val="content_11"/>
    <w:autoRedefine/>
    <w:qFormat/>
    <w:uiPriority w:val="0"/>
    <w:rPr>
      <w:color w:val="333333"/>
      <w:sz w:val="18"/>
    </w:rPr>
  </w:style>
  <w:style w:type="character" w:customStyle="1" w:styleId="1497">
    <w:name w:val="f31"/>
    <w:autoRedefine/>
    <w:qFormat/>
    <w:uiPriority w:val="0"/>
    <w:rPr>
      <w:sz w:val="28"/>
    </w:rPr>
  </w:style>
  <w:style w:type="character" w:customStyle="1" w:styleId="1498">
    <w:name w:val="l-1801"/>
    <w:autoRedefine/>
    <w:qFormat/>
    <w:uiPriority w:val="0"/>
    <w:rPr>
      <w:sz w:val="18"/>
      <w:u w:val="none"/>
    </w:rPr>
  </w:style>
  <w:style w:type="character" w:customStyle="1" w:styleId="1499">
    <w:name w:val="正文首行缩进 Char1"/>
    <w:autoRedefine/>
    <w:qFormat/>
    <w:uiPriority w:val="0"/>
    <w:rPr>
      <w:rFonts w:ascii="Times New Roman" w:hAnsi="Times New Roman" w:eastAsia="宋体" w:cs="Times New Roman"/>
      <w:kern w:val="2"/>
      <w:sz w:val="21"/>
      <w:szCs w:val="24"/>
      <w:lang w:val="en-US" w:eastAsia="zh-CN" w:bidi="ar-SA"/>
    </w:rPr>
  </w:style>
  <w:style w:type="character" w:customStyle="1" w:styleId="1500">
    <w:name w:val="p5"/>
    <w:autoRedefine/>
    <w:qFormat/>
    <w:uiPriority w:val="0"/>
  </w:style>
  <w:style w:type="character" w:customStyle="1" w:styleId="1501">
    <w:name w:val="lh151"/>
    <w:autoRedefine/>
    <w:qFormat/>
    <w:uiPriority w:val="0"/>
  </w:style>
  <w:style w:type="character" w:customStyle="1" w:styleId="1502">
    <w:name w:val="zi"/>
    <w:autoRedefine/>
    <w:qFormat/>
    <w:uiPriority w:val="0"/>
  </w:style>
  <w:style w:type="character" w:customStyle="1" w:styleId="1503">
    <w:name w:val="black91"/>
    <w:autoRedefine/>
    <w:qFormat/>
    <w:uiPriority w:val="0"/>
    <w:rPr>
      <w:color w:val="000000"/>
      <w:sz w:val="18"/>
      <w:u w:val="none"/>
    </w:rPr>
  </w:style>
  <w:style w:type="character" w:customStyle="1" w:styleId="1504">
    <w:name w:val="c lh15"/>
    <w:autoRedefine/>
    <w:qFormat/>
    <w:uiPriority w:val="0"/>
  </w:style>
  <w:style w:type="character" w:customStyle="1" w:styleId="1505">
    <w:name w:val="highlight1"/>
    <w:autoRedefine/>
    <w:qFormat/>
    <w:uiPriority w:val="0"/>
    <w:rPr>
      <w:sz w:val="21"/>
      <w:szCs w:val="21"/>
    </w:rPr>
  </w:style>
  <w:style w:type="character" w:customStyle="1" w:styleId="1506">
    <w:name w:val="bt21"/>
    <w:autoRedefine/>
    <w:qFormat/>
    <w:uiPriority w:val="0"/>
    <w:rPr>
      <w:rFonts w:hint="eastAsia" w:ascii="黑体" w:eastAsia="黑体"/>
      <w:sz w:val="24"/>
      <w:szCs w:val="24"/>
    </w:rPr>
  </w:style>
  <w:style w:type="character" w:customStyle="1" w:styleId="1507">
    <w:name w:val="style61"/>
    <w:autoRedefine/>
    <w:qFormat/>
    <w:uiPriority w:val="0"/>
    <w:rPr>
      <w:color w:val="000000"/>
    </w:rPr>
  </w:style>
  <w:style w:type="character" w:customStyle="1" w:styleId="1508">
    <w:name w:val="正文样式 Char"/>
    <w:link w:val="1509"/>
    <w:autoRedefine/>
    <w:qFormat/>
    <w:uiPriority w:val="0"/>
    <w:rPr>
      <w:snapToGrid w:val="0"/>
      <w:sz w:val="24"/>
      <w:szCs w:val="24"/>
    </w:rPr>
  </w:style>
  <w:style w:type="paragraph" w:customStyle="1" w:styleId="1509">
    <w:name w:val="正文样式"/>
    <w:link w:val="1508"/>
    <w:autoRedefine/>
    <w:qFormat/>
    <w:uiPriority w:val="0"/>
    <w:pPr>
      <w:tabs>
        <w:tab w:val="left" w:pos="630"/>
        <w:tab w:val="left" w:pos="1260"/>
      </w:tabs>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character" w:customStyle="1" w:styleId="1510">
    <w:name w:val="br1"/>
    <w:autoRedefine/>
    <w:qFormat/>
    <w:uiPriority w:val="0"/>
  </w:style>
  <w:style w:type="character" w:customStyle="1" w:styleId="1511">
    <w:name w:val="Char Char13"/>
    <w:autoRedefine/>
    <w:qFormat/>
    <w:uiPriority w:val="0"/>
    <w:rPr>
      <w:rFonts w:eastAsia="宋体"/>
      <w:kern w:val="2"/>
      <w:sz w:val="24"/>
      <w:lang w:val="en-US" w:eastAsia="zh-CN" w:bidi="ar-SA"/>
    </w:rPr>
  </w:style>
  <w:style w:type="character" w:customStyle="1" w:styleId="1512">
    <w:name w:val="称呼 Char1"/>
    <w:autoRedefine/>
    <w:semiHidden/>
    <w:qFormat/>
    <w:uiPriority w:val="0"/>
    <w:rPr>
      <w:rFonts w:ascii="Times New Roman" w:hAnsi="Times New Roman" w:eastAsia="宋体" w:cs="Times New Roman"/>
      <w:szCs w:val="24"/>
    </w:rPr>
  </w:style>
  <w:style w:type="character" w:customStyle="1" w:styleId="1513">
    <w:name w:val="zzd正文 Char"/>
    <w:link w:val="1514"/>
    <w:autoRedefine/>
    <w:qFormat/>
    <w:uiPriority w:val="0"/>
    <w:rPr>
      <w:rFonts w:ascii="宋体"/>
      <w:iCs/>
      <w:sz w:val="24"/>
      <w:szCs w:val="24"/>
    </w:rPr>
  </w:style>
  <w:style w:type="paragraph" w:customStyle="1" w:styleId="1514">
    <w:name w:val="zzd正文"/>
    <w:basedOn w:val="1"/>
    <w:link w:val="1513"/>
    <w:autoRedefine/>
    <w:qFormat/>
    <w:uiPriority w:val="0"/>
    <w:pPr>
      <w:spacing w:line="360" w:lineRule="auto"/>
      <w:jc w:val="center"/>
    </w:pPr>
    <w:rPr>
      <w:rFonts w:ascii="宋体"/>
      <w:iCs/>
      <w:kern w:val="0"/>
      <w:sz w:val="24"/>
    </w:rPr>
  </w:style>
  <w:style w:type="character" w:customStyle="1" w:styleId="1515">
    <w:name w:val="表格标题新 Char"/>
    <w:link w:val="1516"/>
    <w:autoRedefine/>
    <w:qFormat/>
    <w:uiPriority w:val="0"/>
    <w:rPr>
      <w:rFonts w:ascii="仿宋_GB2312" w:eastAsia="黑体"/>
      <w:b/>
      <w:snapToGrid w:val="0"/>
      <w:spacing w:val="4"/>
      <w:kern w:val="18"/>
      <w:sz w:val="24"/>
      <w:szCs w:val="24"/>
    </w:rPr>
  </w:style>
  <w:style w:type="paragraph" w:customStyle="1" w:styleId="1516">
    <w:name w:val="表格标题新"/>
    <w:basedOn w:val="634"/>
    <w:link w:val="1515"/>
    <w:autoRedefine/>
    <w:qFormat/>
    <w:uiPriority w:val="0"/>
    <w:pPr>
      <w:tabs>
        <w:tab w:val="left" w:pos="0"/>
      </w:tabs>
      <w:adjustRightInd w:val="0"/>
      <w:snapToGrid w:val="0"/>
      <w:spacing w:before="0" w:beforeLines="50" w:after="0" w:line="240" w:lineRule="auto"/>
      <w:ind w:firstLine="562"/>
    </w:pPr>
    <w:rPr>
      <w:rFonts w:ascii="仿宋_GB2312" w:eastAsia="黑体"/>
      <w:b/>
      <w:snapToGrid w:val="0"/>
      <w:spacing w:val="4"/>
      <w:kern w:val="18"/>
      <w:szCs w:val="24"/>
    </w:rPr>
  </w:style>
  <w:style w:type="character" w:customStyle="1" w:styleId="1517">
    <w:name w:val="正文-leon Char"/>
    <w:link w:val="1518"/>
    <w:autoRedefine/>
    <w:qFormat/>
    <w:uiPriority w:val="0"/>
    <w:rPr>
      <w:sz w:val="24"/>
      <w:szCs w:val="24"/>
    </w:rPr>
  </w:style>
  <w:style w:type="paragraph" w:customStyle="1" w:styleId="1518">
    <w:name w:val="正文-leon"/>
    <w:basedOn w:val="1"/>
    <w:link w:val="1517"/>
    <w:autoRedefine/>
    <w:qFormat/>
    <w:uiPriority w:val="0"/>
    <w:pPr>
      <w:spacing w:line="360" w:lineRule="auto"/>
      <w:ind w:firstLine="200" w:firstLineChars="200"/>
    </w:pPr>
    <w:rPr>
      <w:kern w:val="0"/>
      <w:sz w:val="24"/>
    </w:rPr>
  </w:style>
  <w:style w:type="character" w:customStyle="1" w:styleId="1519">
    <w:name w:val="kno-fh"/>
    <w:autoRedefine/>
    <w:qFormat/>
    <w:uiPriority w:val="0"/>
  </w:style>
  <w:style w:type="character" w:customStyle="1" w:styleId="1520">
    <w:name w:val="kno-fv-vq fl"/>
    <w:autoRedefine/>
    <w:qFormat/>
    <w:uiPriority w:val="0"/>
  </w:style>
  <w:style w:type="character" w:customStyle="1" w:styleId="1521">
    <w:name w:val="font71"/>
    <w:autoRedefine/>
    <w:qFormat/>
    <w:uiPriority w:val="0"/>
    <w:rPr>
      <w:rFonts w:hint="default" w:ascii="Times New Roman" w:hAnsi="Times New Roman" w:cs="Times New Roman"/>
      <w:color w:val="000000"/>
      <w:sz w:val="24"/>
      <w:szCs w:val="24"/>
      <w:u w:val="none"/>
      <w:vertAlign w:val="subscript"/>
    </w:rPr>
  </w:style>
  <w:style w:type="character" w:customStyle="1" w:styleId="1522">
    <w:name w:val="font81"/>
    <w:autoRedefine/>
    <w:qFormat/>
    <w:uiPriority w:val="0"/>
    <w:rPr>
      <w:rFonts w:hint="eastAsia" w:ascii="宋体" w:hAnsi="宋体" w:eastAsia="宋体"/>
      <w:color w:val="FF0000"/>
      <w:sz w:val="24"/>
      <w:szCs w:val="24"/>
      <w:u w:val="none"/>
      <w:vertAlign w:val="subscript"/>
    </w:rPr>
  </w:style>
  <w:style w:type="character" w:customStyle="1" w:styleId="1523">
    <w:name w:val="font61"/>
    <w:basedOn w:val="129"/>
    <w:autoRedefine/>
    <w:qFormat/>
    <w:uiPriority w:val="0"/>
    <w:rPr>
      <w:rFonts w:hint="default" w:ascii="Times New Roman" w:hAnsi="Times New Roman" w:cs="Times New Roman"/>
      <w:b/>
      <w:bCs/>
      <w:color w:val="000000"/>
      <w:sz w:val="20"/>
      <w:szCs w:val="20"/>
      <w:u w:val="none"/>
      <w:vertAlign w:val="superscript"/>
    </w:rPr>
  </w:style>
  <w:style w:type="character" w:customStyle="1" w:styleId="1524">
    <w:name w:val="报告正文 Char Char Char Char"/>
    <w:autoRedefine/>
    <w:qFormat/>
    <w:uiPriority w:val="0"/>
    <w:rPr>
      <w:rFonts w:ascii="宋体" w:eastAsia="宋体"/>
      <w:kern w:val="2"/>
      <w:sz w:val="24"/>
      <w:lang w:val="en-US" w:eastAsia="zh-CN" w:bidi="ar-SA"/>
    </w:rPr>
  </w:style>
  <w:style w:type="character" w:customStyle="1" w:styleId="1525">
    <w:name w:val="font121"/>
    <w:autoRedefine/>
    <w:qFormat/>
    <w:uiPriority w:val="0"/>
    <w:rPr>
      <w:rFonts w:hint="default" w:ascii="Times New Roman" w:hAnsi="Times New Roman" w:cs="Times New Roman"/>
      <w:color w:val="000000"/>
      <w:sz w:val="21"/>
      <w:szCs w:val="21"/>
      <w:u w:val="none"/>
    </w:rPr>
  </w:style>
  <w:style w:type="character" w:customStyle="1" w:styleId="1526">
    <w:name w:val="font131"/>
    <w:autoRedefine/>
    <w:qFormat/>
    <w:uiPriority w:val="0"/>
    <w:rPr>
      <w:rFonts w:hint="eastAsia" w:ascii="宋体" w:hAnsi="宋体" w:eastAsia="宋体"/>
      <w:b/>
      <w:bCs/>
      <w:color w:val="000000"/>
      <w:sz w:val="21"/>
      <w:szCs w:val="21"/>
      <w:u w:val="none"/>
    </w:rPr>
  </w:style>
  <w:style w:type="character" w:customStyle="1" w:styleId="1527">
    <w:name w:val="font101"/>
    <w:autoRedefine/>
    <w:qFormat/>
    <w:uiPriority w:val="0"/>
    <w:rPr>
      <w:rFonts w:hint="default" w:ascii="Times New Roman" w:hAnsi="Times New Roman" w:cs="Times New Roman"/>
      <w:color w:val="000000"/>
      <w:sz w:val="21"/>
      <w:szCs w:val="21"/>
      <w:u w:val="none"/>
      <w:vertAlign w:val="subscript"/>
    </w:rPr>
  </w:style>
  <w:style w:type="character" w:customStyle="1" w:styleId="1528">
    <w:name w:val="页眉 Char Char Char"/>
    <w:autoRedefine/>
    <w:qFormat/>
    <w:uiPriority w:val="0"/>
    <w:rPr>
      <w:rFonts w:eastAsia="宋体"/>
      <w:kern w:val="2"/>
      <w:sz w:val="18"/>
      <w:lang w:val="en-US" w:eastAsia="zh-CN" w:bidi="ar-SA"/>
    </w:rPr>
  </w:style>
  <w:style w:type="character" w:customStyle="1" w:styleId="1529">
    <w:name w:val="TT正文 Char"/>
    <w:link w:val="1530"/>
    <w:autoRedefine/>
    <w:qFormat/>
    <w:uiPriority w:val="0"/>
    <w:rPr>
      <w:color w:val="000000"/>
      <w:sz w:val="24"/>
    </w:rPr>
  </w:style>
  <w:style w:type="paragraph" w:customStyle="1" w:styleId="1530">
    <w:name w:val="TT正文"/>
    <w:basedOn w:val="1"/>
    <w:link w:val="1529"/>
    <w:autoRedefine/>
    <w:qFormat/>
    <w:uiPriority w:val="0"/>
    <w:pPr>
      <w:widowControl/>
      <w:spacing w:line="360" w:lineRule="auto"/>
      <w:ind w:firstLine="200" w:firstLineChars="200"/>
    </w:pPr>
    <w:rPr>
      <w:color w:val="000000"/>
      <w:kern w:val="0"/>
      <w:sz w:val="24"/>
      <w:szCs w:val="20"/>
    </w:rPr>
  </w:style>
  <w:style w:type="character" w:customStyle="1" w:styleId="1531">
    <w:name w:val="表格1 Char1"/>
    <w:link w:val="312"/>
    <w:autoRedefine/>
    <w:qFormat/>
    <w:uiPriority w:val="0"/>
    <w:rPr>
      <w:rFonts w:ascii="宋体" w:hAnsi="宋体" w:cs="宋体"/>
      <w:sz w:val="28"/>
      <w:szCs w:val="24"/>
    </w:rPr>
  </w:style>
  <w:style w:type="character" w:customStyle="1" w:styleId="1532">
    <w:name w:val="Char Char241"/>
    <w:autoRedefine/>
    <w:qFormat/>
    <w:uiPriority w:val="0"/>
    <w:rPr>
      <w:rFonts w:eastAsia="宋体"/>
      <w:kern w:val="2"/>
      <w:sz w:val="21"/>
      <w:lang w:val="en-US" w:eastAsia="zh-CN" w:bidi="ar-SA"/>
    </w:rPr>
  </w:style>
  <w:style w:type="character" w:customStyle="1" w:styleId="1533">
    <w:name w:val="纯文本 Char Char Char Char Char Char Char1"/>
    <w:autoRedefine/>
    <w:qFormat/>
    <w:uiPriority w:val="0"/>
    <w:rPr>
      <w:rFonts w:ascii="宋体" w:hAnsi="Courier New" w:eastAsia="宋体"/>
      <w:kern w:val="2"/>
      <w:sz w:val="21"/>
      <w:lang w:val="en-US" w:eastAsia="zh-CN" w:bidi="ar-SA"/>
    </w:rPr>
  </w:style>
  <w:style w:type="character" w:customStyle="1" w:styleId="1534">
    <w:name w:val="正文 Char1"/>
    <w:link w:val="1535"/>
    <w:autoRedefine/>
    <w:qFormat/>
    <w:uiPriority w:val="0"/>
    <w:rPr>
      <w:rFonts w:eastAsia="楷体_GB2312"/>
      <w:spacing w:val="-2"/>
      <w:kern w:val="2"/>
      <w:sz w:val="28"/>
      <w:szCs w:val="22"/>
    </w:rPr>
  </w:style>
  <w:style w:type="paragraph" w:customStyle="1" w:styleId="1535">
    <w:name w:val="正文8"/>
    <w:basedOn w:val="1"/>
    <w:link w:val="1534"/>
    <w:autoRedefine/>
    <w:qFormat/>
    <w:uiPriority w:val="0"/>
    <w:pPr>
      <w:adjustRightInd w:val="0"/>
      <w:spacing w:line="500" w:lineRule="exact"/>
      <w:ind w:firstLine="200" w:firstLineChars="200"/>
      <w:textAlignment w:val="baseline"/>
    </w:pPr>
    <w:rPr>
      <w:rFonts w:eastAsia="楷体_GB2312"/>
      <w:spacing w:val="-2"/>
      <w:sz w:val="28"/>
      <w:szCs w:val="22"/>
    </w:rPr>
  </w:style>
  <w:style w:type="character" w:customStyle="1" w:styleId="1536">
    <w:name w:val="我的正文 Char"/>
    <w:link w:val="1537"/>
    <w:autoRedefine/>
    <w:qFormat/>
    <w:uiPriority w:val="0"/>
    <w:rPr>
      <w:sz w:val="24"/>
      <w:szCs w:val="24"/>
    </w:rPr>
  </w:style>
  <w:style w:type="paragraph" w:customStyle="1" w:styleId="1537">
    <w:name w:val="我的正文"/>
    <w:link w:val="1536"/>
    <w:autoRedefine/>
    <w:qFormat/>
    <w:uiPriority w:val="0"/>
    <w:pPr>
      <w:spacing w:line="360" w:lineRule="auto"/>
      <w:jc w:val="both"/>
    </w:pPr>
    <w:rPr>
      <w:rFonts w:ascii="Times New Roman" w:hAnsi="Times New Roman" w:eastAsia="宋体" w:cs="Times New Roman"/>
      <w:sz w:val="24"/>
      <w:szCs w:val="24"/>
      <w:lang w:val="en-US" w:eastAsia="zh-CN" w:bidi="ar-SA"/>
    </w:rPr>
  </w:style>
  <w:style w:type="character" w:customStyle="1" w:styleId="1538">
    <w:name w:val="returntop"/>
    <w:autoRedefine/>
    <w:qFormat/>
    <w:uiPriority w:val="0"/>
  </w:style>
  <w:style w:type="character" w:customStyle="1" w:styleId="1539">
    <w:name w:val="大田正文 Char"/>
    <w:link w:val="1540"/>
    <w:autoRedefine/>
    <w:qFormat/>
    <w:uiPriority w:val="0"/>
    <w:rPr>
      <w:rFonts w:ascii="宋体"/>
      <w:sz w:val="28"/>
    </w:rPr>
  </w:style>
  <w:style w:type="paragraph" w:customStyle="1" w:styleId="1540">
    <w:name w:val="大田正文"/>
    <w:basedOn w:val="36"/>
    <w:link w:val="1539"/>
    <w:autoRedefine/>
    <w:qFormat/>
    <w:uiPriority w:val="0"/>
    <w:pPr>
      <w:spacing w:after="0" w:line="500" w:lineRule="exact"/>
      <w:ind w:left="0" w:leftChars="0" w:firstLine="567"/>
    </w:pPr>
    <w:rPr>
      <w:rFonts w:ascii="宋体"/>
      <w:sz w:val="28"/>
    </w:rPr>
  </w:style>
  <w:style w:type="character" w:customStyle="1" w:styleId="1541">
    <w:name w:val="shenming"/>
    <w:autoRedefine/>
    <w:qFormat/>
    <w:uiPriority w:val="0"/>
  </w:style>
  <w:style w:type="character" w:customStyle="1" w:styleId="1542">
    <w:name w:val="样式 楷体_GB2312 黑色"/>
    <w:autoRedefine/>
    <w:qFormat/>
    <w:uiPriority w:val="0"/>
    <w:rPr>
      <w:rFonts w:hint="eastAsia" w:ascii="楷体_GB2312" w:hAnsi="宋体" w:eastAsia="楷体_GB2312"/>
      <w:b/>
      <w:color w:val="000000"/>
      <w:sz w:val="24"/>
      <w:lang w:val="en-US" w:eastAsia="zh-CN"/>
    </w:rPr>
  </w:style>
  <w:style w:type="character" w:customStyle="1" w:styleId="1543">
    <w:name w:val="正文1 Char Char"/>
    <w:autoRedefine/>
    <w:qFormat/>
    <w:uiPriority w:val="0"/>
    <w:rPr>
      <w:rFonts w:eastAsia="楷体_GB2312"/>
      <w:kern w:val="2"/>
      <w:sz w:val="24"/>
      <w:lang w:val="en-US" w:eastAsia="zh-CN" w:bidi="ar-SA"/>
    </w:rPr>
  </w:style>
  <w:style w:type="paragraph" w:customStyle="1" w:styleId="1544">
    <w:name w:val="正文稿新版"/>
    <w:basedOn w:val="1"/>
    <w:autoRedefine/>
    <w:qFormat/>
    <w:uiPriority w:val="0"/>
    <w:pPr>
      <w:adjustRightInd w:val="0"/>
      <w:spacing w:beforeLines="50" w:afterLines="50" w:line="400" w:lineRule="exact"/>
      <w:ind w:left="300" w:leftChars="300"/>
      <w:jc w:val="left"/>
    </w:pPr>
    <w:rPr>
      <w:rFonts w:ascii="Arial" w:hAnsi="Arial" w:cs="宋体"/>
      <w:kern w:val="0"/>
      <w:sz w:val="24"/>
      <w:szCs w:val="20"/>
      <w:lang w:val="zh-CN"/>
    </w:rPr>
  </w:style>
  <w:style w:type="paragraph" w:customStyle="1" w:styleId="1545">
    <w:name w:val="bg"/>
    <w:basedOn w:val="1"/>
    <w:autoRedefine/>
    <w:qFormat/>
    <w:uiPriority w:val="0"/>
    <w:pPr>
      <w:widowControl/>
    </w:pPr>
    <w:rPr>
      <w:kern w:val="0"/>
      <w:sz w:val="24"/>
      <w:szCs w:val="20"/>
    </w:rPr>
  </w:style>
  <w:style w:type="paragraph" w:customStyle="1" w:styleId="1546">
    <w:name w:val="5文章(治)"/>
    <w:basedOn w:val="1"/>
    <w:autoRedefine/>
    <w:qFormat/>
    <w:uiPriority w:val="0"/>
    <w:pPr>
      <w:spacing w:line="360" w:lineRule="auto"/>
      <w:ind w:firstLine="560" w:firstLineChars="200"/>
    </w:pPr>
    <w:rPr>
      <w:rFonts w:eastAsia="楷体_GB2312"/>
      <w:sz w:val="28"/>
      <w:szCs w:val="20"/>
    </w:rPr>
  </w:style>
  <w:style w:type="paragraph" w:customStyle="1" w:styleId="1547">
    <w:name w:val="Char Char Char Char Char Char Char Char Char Char Char Char Char Char Char Char Char Char Char Char Char Char Char Char Char Char Char Char Char Char Char"/>
    <w:basedOn w:val="1"/>
    <w:next w:val="1"/>
    <w:autoRedefine/>
    <w:qFormat/>
    <w:uiPriority w:val="0"/>
    <w:pPr>
      <w:spacing w:line="360" w:lineRule="auto"/>
      <w:ind w:firstLine="200" w:firstLineChars="200"/>
    </w:pPr>
    <w:rPr>
      <w:rFonts w:ascii="宋体" w:hAnsi="宋体" w:cs="宋体"/>
      <w:sz w:val="24"/>
    </w:rPr>
  </w:style>
  <w:style w:type="paragraph" w:customStyle="1" w:styleId="1548">
    <w:name w:val="表格 31"/>
    <w:autoRedefine/>
    <w:qFormat/>
    <w:uiPriority w:val="0"/>
    <w:pPr>
      <w:widowControl w:val="0"/>
      <w:autoSpaceDE w:val="0"/>
      <w:autoSpaceDN w:val="0"/>
      <w:adjustRightInd w:val="0"/>
      <w:jc w:val="center"/>
      <w:textAlignment w:val="baseline"/>
    </w:pPr>
    <w:rPr>
      <w:rFonts w:ascii="Times New Roman" w:hAnsi="Times New Roman" w:eastAsia="楷体" w:cs="Times New Roman"/>
      <w:sz w:val="28"/>
      <w:lang w:val="en-US" w:eastAsia="zh-CN" w:bidi="ar-SA"/>
    </w:rPr>
  </w:style>
  <w:style w:type="paragraph" w:customStyle="1" w:styleId="1549">
    <w:name w:val="表格 33"/>
    <w:basedOn w:val="1"/>
    <w:autoRedefine/>
    <w:qFormat/>
    <w:uiPriority w:val="0"/>
    <w:pPr>
      <w:spacing w:line="360" w:lineRule="auto"/>
      <w:ind w:left="-2" w:leftChars="-1" w:firstLine="456" w:firstLineChars="190"/>
    </w:pPr>
    <w:rPr>
      <w:szCs w:val="20"/>
    </w:rPr>
  </w:style>
  <w:style w:type="paragraph" w:customStyle="1" w:styleId="1550">
    <w:name w:val="表格 3"/>
    <w:basedOn w:val="155"/>
    <w:autoRedefine/>
    <w:qFormat/>
    <w:uiPriority w:val="0"/>
    <w:pPr>
      <w:autoSpaceDE w:val="0"/>
      <w:autoSpaceDN w:val="0"/>
      <w:snapToGrid/>
      <w:spacing w:beforeLines="0" w:afterLines="0" w:line="240" w:lineRule="auto"/>
    </w:pPr>
    <w:rPr>
      <w:rFonts w:ascii="Times New Roman" w:eastAsia="楷体_GB2312"/>
      <w:kern w:val="2"/>
      <w:szCs w:val="22"/>
    </w:rPr>
  </w:style>
  <w:style w:type="paragraph" w:customStyle="1" w:styleId="1551">
    <w:name w:val="表格表头"/>
    <w:autoRedefine/>
    <w:qFormat/>
    <w:uiPriority w:val="0"/>
    <w:pPr>
      <w:jc w:val="center"/>
    </w:pPr>
    <w:rPr>
      <w:rFonts w:ascii="Times New Roman" w:hAnsi="Times New Roman" w:eastAsia="宋体" w:cs="Times New Roman"/>
      <w:b/>
      <w:bCs/>
      <w:kern w:val="44"/>
      <w:sz w:val="24"/>
      <w:szCs w:val="44"/>
      <w:lang w:val="en-US" w:eastAsia="zh-CN" w:bidi="ar-SA"/>
    </w:rPr>
  </w:style>
  <w:style w:type="paragraph" w:customStyle="1" w:styleId="1552">
    <w:name w:val="表格2"/>
    <w:basedOn w:val="312"/>
    <w:next w:val="1"/>
    <w:autoRedefine/>
    <w:qFormat/>
    <w:uiPriority w:val="0"/>
    <w:pPr>
      <w:keepNext/>
      <w:widowControl w:val="0"/>
      <w:topLinePunct/>
      <w:autoSpaceDE w:val="0"/>
      <w:autoSpaceDN w:val="0"/>
      <w:spacing w:line="240" w:lineRule="auto"/>
    </w:pPr>
    <w:rPr>
      <w:rFonts w:hAnsi="Calibri" w:cs="Times New Roman"/>
      <w:position w:val="-28"/>
      <w:sz w:val="21"/>
      <w:szCs w:val="22"/>
      <w:lang w:val="zh-CN"/>
    </w:rPr>
  </w:style>
  <w:style w:type="paragraph" w:customStyle="1" w:styleId="1553">
    <w:name w:val="Char Char Char Char Char Char Char Char Char Char Char Char Char Char Char Char Char Char Char Char Char Char"/>
    <w:basedOn w:val="1"/>
    <w:autoRedefine/>
    <w:qFormat/>
    <w:uiPriority w:val="0"/>
    <w:pPr>
      <w:widowControl/>
      <w:spacing w:after="160" w:line="240" w:lineRule="exact"/>
      <w:jc w:val="center"/>
    </w:pPr>
    <w:rPr>
      <w:rFonts w:ascii="宋体" w:hAnsi="宋体"/>
      <w:b/>
      <w:color w:val="FF0000"/>
      <w:w w:val="200"/>
      <w:sz w:val="28"/>
      <w:szCs w:val="20"/>
    </w:rPr>
  </w:style>
  <w:style w:type="paragraph" w:customStyle="1" w:styleId="1554">
    <w:name w:val="xl206"/>
    <w:basedOn w:val="1"/>
    <w:autoRedefine/>
    <w:qFormat/>
    <w:uiPriority w:val="0"/>
    <w:pPr>
      <w:widowControl/>
      <w:pBdr>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1555">
    <w:name w:val="默认段落字体 Para Char Char Char1 Char Char Char Char Char Char Char Char Char Char"/>
    <w:basedOn w:val="1"/>
    <w:autoRedefine/>
    <w:qFormat/>
    <w:uiPriority w:val="0"/>
    <w:rPr>
      <w:sz w:val="24"/>
    </w:rPr>
  </w:style>
  <w:style w:type="paragraph" w:customStyle="1" w:styleId="1556">
    <w:name w:val="xl202"/>
    <w:basedOn w:val="1"/>
    <w:autoRedefine/>
    <w:qFormat/>
    <w:uiPriority w:val="0"/>
    <w:pPr>
      <w:widowControl/>
      <w:pBdr>
        <w:left w:val="single" w:color="auto" w:sz="4" w:space="0"/>
        <w:bottom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1557">
    <w:name w:val="码头正文"/>
    <w:basedOn w:val="8"/>
    <w:autoRedefine/>
    <w:qFormat/>
    <w:uiPriority w:val="0"/>
    <w:rPr>
      <w:kern w:val="0"/>
      <w:sz w:val="20"/>
      <w:lang w:val="zh-CN"/>
    </w:rPr>
  </w:style>
  <w:style w:type="paragraph" w:customStyle="1" w:styleId="1558">
    <w:name w:val="油库表"/>
    <w:basedOn w:val="1"/>
    <w:autoRedefine/>
    <w:qFormat/>
    <w:uiPriority w:val="0"/>
    <w:pPr>
      <w:adjustRightInd w:val="0"/>
      <w:spacing w:beforeLines="25" w:afterLines="25"/>
      <w:jc w:val="center"/>
      <w:textAlignment w:val="baseline"/>
    </w:pPr>
    <w:rPr>
      <w:spacing w:val="10"/>
      <w:kern w:val="0"/>
      <w:szCs w:val="20"/>
    </w:rPr>
  </w:style>
  <w:style w:type="paragraph" w:customStyle="1" w:styleId="1559">
    <w:name w:val="样式 标题 2标题 2 Char Char + 宋体"/>
    <w:basedOn w:val="6"/>
    <w:autoRedefine/>
    <w:qFormat/>
    <w:uiPriority w:val="0"/>
    <w:pPr>
      <w:tabs>
        <w:tab w:val="left" w:pos="720"/>
      </w:tabs>
      <w:ind w:left="720" w:hanging="363"/>
    </w:pPr>
    <w:rPr>
      <w:kern w:val="0"/>
      <w:lang w:val="zh-CN"/>
    </w:rPr>
  </w:style>
  <w:style w:type="paragraph" w:customStyle="1" w:styleId="1560">
    <w:name w:val="字元 字元"/>
    <w:basedOn w:val="1"/>
    <w:autoRedefine/>
    <w:qFormat/>
    <w:uiPriority w:val="0"/>
  </w:style>
  <w:style w:type="paragraph" w:customStyle="1" w:styleId="1561">
    <w:name w:val="表格中"/>
    <w:basedOn w:val="312"/>
    <w:autoRedefine/>
    <w:qFormat/>
    <w:uiPriority w:val="0"/>
    <w:pPr>
      <w:widowControl w:val="0"/>
      <w:snapToGrid w:val="0"/>
      <w:spacing w:line="0" w:lineRule="atLeast"/>
      <w:textAlignment w:val="auto"/>
    </w:pPr>
    <w:rPr>
      <w:rFonts w:cs="Times New Roman"/>
      <w:kern w:val="2"/>
      <w:lang w:val="zh-CN"/>
    </w:rPr>
  </w:style>
  <w:style w:type="paragraph" w:customStyle="1" w:styleId="1562">
    <w:name w:val="字元 字元 Char Char Char Char Char Char Char Char Char Char Char Char Char Char 字元 字元"/>
    <w:basedOn w:val="1"/>
    <w:autoRedefine/>
    <w:qFormat/>
    <w:uiPriority w:val="0"/>
  </w:style>
  <w:style w:type="paragraph" w:customStyle="1" w:styleId="1563">
    <w:name w:val="Char Char 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1564">
    <w:name w:val="yz"/>
    <w:basedOn w:val="2"/>
    <w:autoRedefine/>
    <w:qFormat/>
    <w:uiPriority w:val="0"/>
    <w:pPr>
      <w:widowControl w:val="0"/>
      <w:tabs>
        <w:tab w:val="left" w:pos="900"/>
      </w:tabs>
      <w:adjustRightInd w:val="0"/>
      <w:snapToGrid/>
      <w:spacing w:before="0" w:after="0" w:line="240" w:lineRule="auto"/>
      <w:ind w:right="0" w:firstLine="200" w:firstLineChars="200"/>
      <w:textAlignment w:val="baseline"/>
    </w:pPr>
    <w:rPr>
      <w:rFonts w:hint="eastAsia" w:ascii="宋体" w:hAnsi="宋体"/>
      <w:kern w:val="2"/>
      <w:sz w:val="24"/>
    </w:rPr>
  </w:style>
  <w:style w:type="paragraph" w:customStyle="1" w:styleId="1565">
    <w:name w:val="一级无标题条"/>
    <w:basedOn w:val="1"/>
    <w:autoRedefine/>
    <w:qFormat/>
    <w:uiPriority w:val="0"/>
    <w:rPr>
      <w:szCs w:val="20"/>
    </w:rPr>
  </w:style>
  <w:style w:type="paragraph" w:customStyle="1" w:styleId="1566">
    <w:name w:val="xl204"/>
    <w:basedOn w:val="1"/>
    <w:autoRedefine/>
    <w:qFormat/>
    <w:uiPriority w:val="0"/>
    <w:pPr>
      <w:widowControl/>
      <w:pBdr>
        <w:top w:val="single" w:color="auto" w:sz="4" w:space="0"/>
        <w:left w:val="single" w:color="auto" w:sz="4" w:space="0"/>
        <w:right w:val="single" w:color="auto" w:sz="4" w:space="0"/>
      </w:pBdr>
      <w:shd w:val="clear" w:color="auto" w:fill="99CC00"/>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1567">
    <w:name w:val="正文 + (西文) 宋体"/>
    <w:basedOn w:val="1"/>
    <w:autoRedefine/>
    <w:qFormat/>
    <w:uiPriority w:val="0"/>
    <w:pPr>
      <w:tabs>
        <w:tab w:val="left" w:pos="360"/>
      </w:tabs>
      <w:spacing w:line="360" w:lineRule="auto"/>
      <w:ind w:left="360" w:firstLine="510"/>
    </w:pPr>
    <w:rPr>
      <w:rFonts w:ascii="宋体" w:hAnsi="宋体" w:eastAsia="仿宋_GB2312"/>
      <w:sz w:val="24"/>
    </w:rPr>
  </w:style>
  <w:style w:type="paragraph" w:customStyle="1" w:styleId="1568">
    <w:name w:val="表题 12"/>
    <w:basedOn w:val="1"/>
    <w:autoRedefine/>
    <w:qFormat/>
    <w:uiPriority w:val="0"/>
    <w:pPr>
      <w:adjustRightInd w:val="0"/>
      <w:snapToGrid w:val="0"/>
      <w:spacing w:before="120" w:after="120"/>
      <w:jc w:val="center"/>
      <w:textAlignment w:val="baseline"/>
    </w:pPr>
    <w:rPr>
      <w:kern w:val="0"/>
      <w:sz w:val="24"/>
      <w:szCs w:val="20"/>
    </w:rPr>
  </w:style>
  <w:style w:type="paragraph" w:customStyle="1" w:styleId="1569">
    <w:name w:val="表、图名"/>
    <w:basedOn w:val="1"/>
    <w:autoRedefine/>
    <w:qFormat/>
    <w:uiPriority w:val="0"/>
    <w:pPr>
      <w:adjustRightInd w:val="0"/>
      <w:snapToGrid w:val="0"/>
      <w:ind w:left="-6"/>
      <w:jc w:val="center"/>
    </w:pPr>
    <w:rPr>
      <w:rFonts w:ascii="黑体" w:hAnsi="宋体" w:eastAsia="黑体"/>
      <w:color w:val="000000"/>
      <w:sz w:val="28"/>
      <w:szCs w:val="20"/>
    </w:rPr>
  </w:style>
  <w:style w:type="paragraph" w:customStyle="1" w:styleId="1570">
    <w:name w:val="四级无标题条"/>
    <w:basedOn w:val="1"/>
    <w:autoRedefine/>
    <w:qFormat/>
    <w:uiPriority w:val="0"/>
    <w:rPr>
      <w:szCs w:val="20"/>
    </w:rPr>
  </w:style>
  <w:style w:type="paragraph" w:customStyle="1" w:styleId="1571">
    <w:name w:val="正文 1"/>
    <w:autoRedefine/>
    <w:qFormat/>
    <w:uiPriority w:val="0"/>
    <w:pPr>
      <w:keepNext/>
      <w:widowControl w:val="0"/>
      <w:topLinePunct/>
      <w:autoSpaceDE w:val="0"/>
      <w:autoSpaceDN w:val="0"/>
      <w:adjustRightInd w:val="0"/>
      <w:ind w:firstLine="454"/>
      <w:textAlignment w:val="baseline"/>
    </w:pPr>
    <w:rPr>
      <w:rFonts w:ascii="Times New Roman" w:hAnsi="Times New Roman" w:eastAsia="宋体" w:cs="Times New Roman"/>
      <w:sz w:val="24"/>
      <w:lang w:val="en-US" w:eastAsia="zh-CN" w:bidi="ar-SA"/>
    </w:rPr>
  </w:style>
  <w:style w:type="paragraph" w:customStyle="1" w:styleId="1572">
    <w:name w:val="四级标题"/>
    <w:autoRedefine/>
    <w:qFormat/>
    <w:uiPriority w:val="0"/>
    <w:pPr>
      <w:spacing w:line="360" w:lineRule="auto"/>
      <w:jc w:val="both"/>
      <w:outlineLvl w:val="3"/>
    </w:pPr>
    <w:rPr>
      <w:rFonts w:ascii="Times New Roman" w:hAnsi="Times New Roman" w:eastAsia="宋体" w:cs="Times New Roman"/>
      <w:b/>
      <w:kern w:val="2"/>
      <w:sz w:val="28"/>
      <w:szCs w:val="24"/>
      <w:lang w:val="en-US" w:eastAsia="zh-CN" w:bidi="ar-SA"/>
    </w:rPr>
  </w:style>
  <w:style w:type="paragraph" w:customStyle="1" w:styleId="1573">
    <w:name w:val="样式 样式 首行缩进:  2 字符 + 首行缩进:  2 字符"/>
    <w:basedOn w:val="1"/>
    <w:autoRedefine/>
    <w:qFormat/>
    <w:uiPriority w:val="0"/>
    <w:pPr>
      <w:snapToGrid w:val="0"/>
      <w:spacing w:line="360" w:lineRule="auto"/>
      <w:ind w:firstLine="502" w:firstLineChars="200"/>
    </w:pPr>
    <w:rPr>
      <w:sz w:val="24"/>
      <w:szCs w:val="20"/>
    </w:rPr>
  </w:style>
  <w:style w:type="paragraph" w:customStyle="1" w:styleId="1574">
    <w:name w:val="页面 3"/>
    <w:basedOn w:val="1"/>
    <w:autoRedefine/>
    <w:qFormat/>
    <w:uiPriority w:val="0"/>
    <w:pPr>
      <w:adjustRightInd w:val="0"/>
      <w:jc w:val="center"/>
    </w:pPr>
    <w:rPr>
      <w:rFonts w:eastAsia="隶书"/>
      <w:kern w:val="0"/>
      <w:sz w:val="52"/>
      <w:szCs w:val="20"/>
    </w:rPr>
  </w:style>
  <w:style w:type="paragraph" w:customStyle="1" w:styleId="1575">
    <w:name w:val="封面正文"/>
    <w:autoRedefine/>
    <w:qFormat/>
    <w:uiPriority w:val="0"/>
    <w:pPr>
      <w:jc w:val="both"/>
    </w:pPr>
    <w:rPr>
      <w:rFonts w:ascii="Times New Roman" w:hAnsi="Times New Roman" w:eastAsia="宋体" w:cs="Times New Roman"/>
      <w:lang w:val="en-US" w:eastAsia="zh-CN" w:bidi="ar-SA"/>
    </w:rPr>
  </w:style>
  <w:style w:type="paragraph" w:customStyle="1" w:styleId="1576">
    <w:name w:val="Char Char Char Char Char Char Char Char Char Char Char Char"/>
    <w:basedOn w:val="1"/>
    <w:autoRedefine/>
    <w:qFormat/>
    <w:uiPriority w:val="0"/>
    <w:rPr>
      <w:sz w:val="24"/>
    </w:rPr>
  </w:style>
  <w:style w:type="paragraph" w:customStyle="1" w:styleId="1577">
    <w:name w:val="项目编号文字"/>
    <w:basedOn w:val="1"/>
    <w:next w:val="8"/>
    <w:autoRedefine/>
    <w:qFormat/>
    <w:uiPriority w:val="0"/>
    <w:pPr>
      <w:spacing w:before="120" w:after="120" w:line="360" w:lineRule="auto"/>
      <w:ind w:left="964" w:hanging="425"/>
    </w:pPr>
    <w:rPr>
      <w:sz w:val="24"/>
      <w:szCs w:val="20"/>
    </w:rPr>
  </w:style>
  <w:style w:type="paragraph" w:customStyle="1" w:styleId="1578">
    <w:name w:val="hei12"/>
    <w:basedOn w:val="1"/>
    <w:autoRedefine/>
    <w:qFormat/>
    <w:uiPriority w:val="0"/>
    <w:pPr>
      <w:widowControl/>
      <w:spacing w:before="100" w:beforeAutospacing="1" w:after="100" w:afterAutospacing="1"/>
      <w:jc w:val="left"/>
    </w:pPr>
    <w:rPr>
      <w:rFonts w:hint="eastAsia" w:ascii="黑体" w:hAnsi="Arial Unicode MS" w:eastAsia="黑体" w:cs="Arial Unicode MS"/>
      <w:color w:val="666666"/>
      <w:kern w:val="0"/>
      <w:sz w:val="24"/>
    </w:rPr>
  </w:style>
  <w:style w:type="paragraph" w:customStyle="1" w:styleId="1579">
    <w:name w:val="默认段落字体 Para Char Char Char Char Char Char Char Char Char Char"/>
    <w:basedOn w:val="1"/>
    <w:autoRedefine/>
    <w:qFormat/>
    <w:uiPriority w:val="0"/>
    <w:pPr>
      <w:adjustRightInd w:val="0"/>
      <w:spacing w:line="360" w:lineRule="auto"/>
    </w:pPr>
    <w:rPr>
      <w:kern w:val="0"/>
      <w:sz w:val="24"/>
      <w:szCs w:val="20"/>
    </w:rPr>
  </w:style>
  <w:style w:type="paragraph" w:customStyle="1" w:styleId="1580">
    <w:name w:val="表题 2"/>
    <w:basedOn w:val="1581"/>
    <w:autoRedefine/>
    <w:qFormat/>
    <w:uiPriority w:val="0"/>
    <w:rPr>
      <w:sz w:val="28"/>
    </w:rPr>
  </w:style>
  <w:style w:type="paragraph" w:customStyle="1" w:styleId="1581">
    <w:name w:val="表题 1"/>
    <w:autoRedefine/>
    <w:qFormat/>
    <w:uiPriority w:val="0"/>
    <w:pPr>
      <w:widowControl w:val="0"/>
      <w:adjustRightInd w:val="0"/>
      <w:spacing w:before="120" w:after="120"/>
      <w:jc w:val="center"/>
      <w:textAlignment w:val="baseline"/>
    </w:pPr>
    <w:rPr>
      <w:rFonts w:ascii="Times New Roman" w:hAnsi="Times New Roman" w:eastAsia="宋体" w:cs="Times New Roman"/>
      <w:sz w:val="30"/>
      <w:lang w:val="en-US" w:eastAsia="zh-CN" w:bidi="ar-SA"/>
    </w:rPr>
  </w:style>
  <w:style w:type="paragraph" w:customStyle="1" w:styleId="1582">
    <w:name w:val="1 Char Char Char Char Char Char Char Char"/>
    <w:basedOn w:val="1"/>
    <w:autoRedefine/>
    <w:qFormat/>
    <w:uiPriority w:val="0"/>
    <w:pPr>
      <w:ind w:firstLine="510"/>
    </w:pPr>
    <w:rPr>
      <w:sz w:val="28"/>
      <w:szCs w:val="20"/>
    </w:rPr>
  </w:style>
  <w:style w:type="paragraph" w:customStyle="1" w:styleId="1583">
    <w:name w:val="Char1 Char Char Char1 Char Char Char"/>
    <w:basedOn w:val="1"/>
    <w:autoRedefine/>
    <w:qFormat/>
    <w:uiPriority w:val="0"/>
    <w:pPr>
      <w:spacing w:line="360" w:lineRule="auto"/>
      <w:ind w:firstLine="200" w:firstLineChars="200"/>
    </w:pPr>
    <w:rPr>
      <w:rFonts w:ascii="宋体" w:hAnsi="宋体" w:cs="宋体"/>
      <w:sz w:val="24"/>
    </w:rPr>
  </w:style>
  <w:style w:type="paragraph" w:customStyle="1" w:styleId="1584">
    <w:name w:val="备注"/>
    <w:basedOn w:val="1"/>
    <w:next w:val="1"/>
    <w:autoRedefine/>
    <w:qFormat/>
    <w:uiPriority w:val="0"/>
    <w:pPr>
      <w:spacing w:afterLines="50"/>
      <w:ind w:firstLine="420" w:firstLineChars="200"/>
    </w:pPr>
    <w:rPr>
      <w:rFonts w:ascii="宋体" w:hAnsi="宋体"/>
      <w:szCs w:val="21"/>
    </w:rPr>
  </w:style>
  <w:style w:type="paragraph" w:customStyle="1" w:styleId="1585">
    <w:name w:val="样式 样式 表格 2 + 行距: 1.5 倍行距 + 左  -0.01 字符"/>
    <w:basedOn w:val="1586"/>
    <w:autoRedefine/>
    <w:qFormat/>
    <w:uiPriority w:val="0"/>
    <w:pPr>
      <w:spacing w:line="360" w:lineRule="auto"/>
      <w:ind w:left="-2" w:leftChars="-7" w:hanging="15" w:hangingChars="7"/>
    </w:pPr>
  </w:style>
  <w:style w:type="paragraph" w:customStyle="1" w:styleId="1586">
    <w:name w:val="样式 表格 + 五号 右"/>
    <w:basedOn w:val="155"/>
    <w:autoRedefine/>
    <w:qFormat/>
    <w:uiPriority w:val="0"/>
    <w:pPr>
      <w:keepNext/>
      <w:autoSpaceDE w:val="0"/>
      <w:autoSpaceDN w:val="0"/>
      <w:snapToGrid/>
      <w:spacing w:beforeLines="0" w:afterLines="0" w:line="240" w:lineRule="auto"/>
      <w:textAlignment w:val="baseline"/>
    </w:pPr>
    <w:rPr>
      <w:rFonts w:ascii="Times New Roman" w:cs="宋体"/>
      <w:kern w:val="2"/>
      <w:szCs w:val="22"/>
    </w:rPr>
  </w:style>
  <w:style w:type="paragraph" w:customStyle="1" w:styleId="1587">
    <w:name w:val="xl199"/>
    <w:basedOn w:val="1"/>
    <w:autoRedefine/>
    <w:qFormat/>
    <w:uiPriority w:val="0"/>
    <w:pPr>
      <w:widowControl/>
      <w:pBdr>
        <w:left w:val="single" w:color="auto" w:sz="4" w:space="0"/>
        <w:righ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1588">
    <w:name w:val="Char Char Char Char Char Char Char Char Char Char Char Char Char Char Char Char Char Char Char"/>
    <w:basedOn w:val="1"/>
    <w:autoRedefine/>
    <w:qFormat/>
    <w:uiPriority w:val="0"/>
    <w:rPr>
      <w:sz w:val="24"/>
    </w:rPr>
  </w:style>
  <w:style w:type="paragraph" w:customStyle="1" w:styleId="1589">
    <w:name w:val="五级无标题条"/>
    <w:basedOn w:val="1"/>
    <w:autoRedefine/>
    <w:qFormat/>
    <w:uiPriority w:val="0"/>
    <w:rPr>
      <w:szCs w:val="20"/>
    </w:rPr>
  </w:style>
  <w:style w:type="paragraph" w:customStyle="1" w:styleId="1590">
    <w:name w:val="Char Char Char Char Char Char Char Char1 Char Char Char Char Char Char Char Char Char Char Char Char1 Char"/>
    <w:basedOn w:val="1"/>
    <w:autoRedefine/>
    <w:qFormat/>
    <w:uiPriority w:val="0"/>
    <w:rPr>
      <w:sz w:val="24"/>
    </w:rPr>
  </w:style>
  <w:style w:type="paragraph" w:customStyle="1" w:styleId="1591">
    <w:name w:val="样式 表格 2 + 行距: 1.5 倍行距"/>
    <w:basedOn w:val="1592"/>
    <w:autoRedefine/>
    <w:qFormat/>
    <w:uiPriority w:val="0"/>
    <w:pPr>
      <w:spacing w:line="360" w:lineRule="auto"/>
      <w:jc w:val="left"/>
    </w:pPr>
    <w:rPr>
      <w:rFonts w:eastAsia="宋体" w:cs="宋体"/>
      <w:sz w:val="21"/>
    </w:rPr>
  </w:style>
  <w:style w:type="paragraph" w:customStyle="1" w:styleId="1592">
    <w:name w:val="表格 2"/>
    <w:basedOn w:val="155"/>
    <w:autoRedefine/>
    <w:qFormat/>
    <w:uiPriority w:val="0"/>
    <w:pPr>
      <w:autoSpaceDE w:val="0"/>
      <w:autoSpaceDN w:val="0"/>
      <w:snapToGrid/>
      <w:spacing w:beforeLines="0" w:afterLines="0" w:line="240" w:lineRule="auto"/>
      <w:textAlignment w:val="baseline"/>
    </w:pPr>
    <w:rPr>
      <w:rFonts w:ascii="Times New Roman" w:eastAsia="楷体_GB2312"/>
      <w:kern w:val="2"/>
      <w:sz w:val="24"/>
      <w:szCs w:val="22"/>
    </w:rPr>
  </w:style>
  <w:style w:type="paragraph" w:customStyle="1" w:styleId="1593">
    <w:name w:val="Char Char2 Char Char Char Char"/>
    <w:basedOn w:val="1"/>
    <w:autoRedefine/>
    <w:qFormat/>
    <w:uiPriority w:val="0"/>
    <w:pPr>
      <w:widowControl/>
      <w:jc w:val="left"/>
    </w:pPr>
    <w:rPr>
      <w:kern w:val="0"/>
      <w:sz w:val="24"/>
      <w:lang w:val="pl-PL" w:eastAsia="pl-PL"/>
    </w:rPr>
  </w:style>
  <w:style w:type="paragraph" w:customStyle="1" w:styleId="1594">
    <w:name w:val="Char Char Char Char Char Char Char Char Char Char Char Char Char Char Char Char Char Char Char Char Char Char Char Char Char Char Char Char Char Char Char Char Char Char Char Char Char"/>
    <w:basedOn w:val="1"/>
    <w:next w:val="1"/>
    <w:autoRedefine/>
    <w:qFormat/>
    <w:uiPriority w:val="0"/>
    <w:pPr>
      <w:spacing w:line="360" w:lineRule="auto"/>
      <w:ind w:firstLine="200" w:firstLineChars="200"/>
    </w:pPr>
    <w:rPr>
      <w:rFonts w:ascii="宋体" w:hAnsi="宋体" w:cs="宋体"/>
      <w:sz w:val="24"/>
    </w:rPr>
  </w:style>
  <w:style w:type="paragraph" w:customStyle="1" w:styleId="1595">
    <w:name w:val="Char Char12 Char Char Char Char"/>
    <w:basedOn w:val="28"/>
    <w:autoRedefine/>
    <w:qFormat/>
    <w:uiPriority w:val="0"/>
    <w:pPr>
      <w:adjustRightInd w:val="0"/>
      <w:snapToGrid w:val="0"/>
      <w:spacing w:line="360" w:lineRule="auto"/>
    </w:pPr>
    <w:rPr>
      <w:rFonts w:ascii="Calibri" w:hAnsi="Calibri"/>
      <w:sz w:val="24"/>
      <w:szCs w:val="18"/>
    </w:rPr>
  </w:style>
  <w:style w:type="paragraph" w:customStyle="1" w:styleId="1596">
    <w:name w:val="字元 字元 Char Char 字元 字元1"/>
    <w:basedOn w:val="1"/>
    <w:autoRedefine/>
    <w:qFormat/>
    <w:uiPriority w:val="0"/>
    <w:rPr>
      <w:sz w:val="24"/>
    </w:rPr>
  </w:style>
  <w:style w:type="paragraph" w:customStyle="1" w:styleId="1597">
    <w:name w:val="ident"/>
    <w:basedOn w:val="1"/>
    <w:autoRedefine/>
    <w:qFormat/>
    <w:uiPriority w:val="0"/>
    <w:pPr>
      <w:widowControl/>
      <w:spacing w:after="100" w:afterAutospacing="1" w:line="280" w:lineRule="atLeast"/>
      <w:ind w:left="150"/>
      <w:jc w:val="left"/>
    </w:pPr>
    <w:rPr>
      <w:rFonts w:ascii="宋体" w:hAnsi="宋体"/>
      <w:kern w:val="0"/>
      <w:sz w:val="24"/>
    </w:rPr>
  </w:style>
  <w:style w:type="paragraph" w:customStyle="1" w:styleId="1598">
    <w:name w:val="样式 普通(网站) + 深蓝"/>
    <w:basedOn w:val="81"/>
    <w:autoRedefine/>
    <w:qFormat/>
    <w:uiPriority w:val="0"/>
    <w:pPr>
      <w:spacing w:line="360" w:lineRule="auto"/>
      <w:ind w:left="-2" w:leftChars="-1" w:firstLine="456" w:firstLineChars="190"/>
    </w:pPr>
    <w:rPr>
      <w:rFonts w:cs="宋体"/>
      <w:color w:val="000080"/>
      <w:lang w:val="zh-CN"/>
    </w:rPr>
  </w:style>
  <w:style w:type="paragraph" w:customStyle="1" w:styleId="1599">
    <w:name w:val="佛表"/>
    <w:basedOn w:val="66"/>
    <w:autoRedefine/>
    <w:qFormat/>
    <w:uiPriority w:val="0"/>
  </w:style>
  <w:style w:type="paragraph" w:customStyle="1" w:styleId="1600">
    <w:name w:val="样式 正文文本缩进 + 宋体 五号 黑色 全部大写 居中 首行缩进:  0 厘米 段前: 0 磅 行距: 单倍行距"/>
    <w:basedOn w:val="36"/>
    <w:autoRedefine/>
    <w:qFormat/>
    <w:uiPriority w:val="0"/>
    <w:pPr>
      <w:adjustRightInd w:val="0"/>
      <w:spacing w:after="0"/>
      <w:ind w:left="0" w:leftChars="0"/>
      <w:jc w:val="center"/>
      <w:textAlignment w:val="baseline"/>
    </w:pPr>
    <w:rPr>
      <w:rFonts w:ascii="宋体" w:hAnsi="宋体" w:cs="宋体"/>
      <w:color w:val="000000"/>
      <w:kern w:val="28"/>
      <w:sz w:val="21"/>
      <w:szCs w:val="21"/>
    </w:rPr>
  </w:style>
  <w:style w:type="paragraph" w:customStyle="1" w:styleId="1601">
    <w:name w:val="表格 32"/>
    <w:basedOn w:val="1"/>
    <w:autoRedefine/>
    <w:qFormat/>
    <w:uiPriority w:val="0"/>
    <w:pPr>
      <w:autoSpaceDE w:val="0"/>
      <w:autoSpaceDN w:val="0"/>
      <w:adjustRightInd w:val="0"/>
      <w:jc w:val="center"/>
      <w:textAlignment w:val="baseline"/>
    </w:pPr>
    <w:rPr>
      <w:rFonts w:eastAsia="仿宋_GB2312"/>
      <w:kern w:val="0"/>
      <w:sz w:val="24"/>
      <w:szCs w:val="20"/>
    </w:rPr>
  </w:style>
  <w:style w:type="paragraph" w:customStyle="1" w:styleId="1602">
    <w:name w:val="表内容"/>
    <w:basedOn w:val="1"/>
    <w:next w:val="1"/>
    <w:autoRedefine/>
    <w:qFormat/>
    <w:uiPriority w:val="0"/>
    <w:pPr>
      <w:spacing w:line="320" w:lineRule="exact"/>
      <w:jc w:val="center"/>
    </w:pPr>
    <w:rPr>
      <w:szCs w:val="20"/>
    </w:rPr>
  </w:style>
  <w:style w:type="paragraph" w:customStyle="1" w:styleId="1603">
    <w:name w:val="表头及表尾"/>
    <w:autoRedefine/>
    <w:qFormat/>
    <w:uiPriority w:val="0"/>
    <w:pPr>
      <w:tabs>
        <w:tab w:val="center" w:pos="4200"/>
        <w:tab w:val="right" w:pos="8400"/>
      </w:tabs>
      <w:adjustRightInd w:val="0"/>
      <w:snapToGrid w:val="0"/>
    </w:pPr>
    <w:rPr>
      <w:rFonts w:ascii="Times New Roman" w:hAnsi="Times New Roman" w:eastAsia="宋体" w:cs="Times New Roman"/>
      <w:b/>
      <w:snapToGrid w:val="0"/>
      <w:sz w:val="21"/>
      <w:szCs w:val="21"/>
      <w:lang w:val="en-US" w:eastAsia="zh-CN" w:bidi="ar-SA"/>
    </w:rPr>
  </w:style>
  <w:style w:type="paragraph" w:customStyle="1" w:styleId="1604">
    <w:name w:val="缩进正文"/>
    <w:basedOn w:val="36"/>
    <w:autoRedefine/>
    <w:qFormat/>
    <w:uiPriority w:val="0"/>
    <w:pPr>
      <w:adjustRightInd w:val="0"/>
      <w:snapToGrid w:val="0"/>
      <w:spacing w:after="0" w:line="300" w:lineRule="auto"/>
      <w:ind w:left="0" w:leftChars="0" w:firstLine="200"/>
    </w:pPr>
    <w:rPr>
      <w:rFonts w:ascii="宋体" w:hAnsi="Calibri"/>
      <w:kern w:val="2"/>
      <w:sz w:val="28"/>
    </w:rPr>
  </w:style>
  <w:style w:type="paragraph" w:customStyle="1" w:styleId="1605">
    <w:name w:val="电镀正文"/>
    <w:basedOn w:val="8"/>
    <w:autoRedefine/>
    <w:qFormat/>
    <w:uiPriority w:val="0"/>
    <w:rPr>
      <w:kern w:val="0"/>
      <w:sz w:val="20"/>
      <w:lang w:val="zh-CN"/>
    </w:rPr>
  </w:style>
  <w:style w:type="paragraph" w:customStyle="1" w:styleId="1606">
    <w:name w:val="样式 表格 32 + 首行缩进:  2 字符"/>
    <w:basedOn w:val="1"/>
    <w:autoRedefine/>
    <w:qFormat/>
    <w:uiPriority w:val="0"/>
    <w:pPr>
      <w:autoSpaceDE w:val="0"/>
      <w:autoSpaceDN w:val="0"/>
      <w:adjustRightInd w:val="0"/>
      <w:spacing w:line="240" w:lineRule="atLeast"/>
      <w:jc w:val="center"/>
      <w:textAlignment w:val="baseline"/>
    </w:pPr>
    <w:rPr>
      <w:kern w:val="0"/>
      <w:szCs w:val="21"/>
    </w:rPr>
  </w:style>
  <w:style w:type="paragraph" w:customStyle="1" w:styleId="1607">
    <w:name w:val="Char Char Char Char Char Char Char Char Char Char Char Char1 Char"/>
    <w:basedOn w:val="1"/>
    <w:autoRedefine/>
    <w:qFormat/>
    <w:uiPriority w:val="0"/>
    <w:pPr>
      <w:spacing w:line="360" w:lineRule="auto"/>
      <w:ind w:firstLine="200" w:firstLineChars="200"/>
    </w:pPr>
    <w:rPr>
      <w:rFonts w:ascii="宋体" w:hAnsi="宋体" w:cs="宋体"/>
      <w:sz w:val="24"/>
    </w:rPr>
  </w:style>
  <w:style w:type="paragraph" w:customStyle="1" w:styleId="1608">
    <w:name w:val="表格内容居中"/>
    <w:autoRedefine/>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609">
    <w:name w:val="样式 Arial 小四 行距: 1.5 倍行距"/>
    <w:basedOn w:val="1"/>
    <w:autoRedefine/>
    <w:qFormat/>
    <w:uiPriority w:val="0"/>
    <w:pPr>
      <w:spacing w:line="360" w:lineRule="auto"/>
      <w:ind w:firstLine="480" w:firstLineChars="200"/>
    </w:pPr>
    <w:rPr>
      <w:sz w:val="24"/>
      <w:szCs w:val="20"/>
    </w:rPr>
  </w:style>
  <w:style w:type="paragraph" w:customStyle="1" w:styleId="1610">
    <w:name w:val="样式 标题 3条标题1.1.1ReHead 3 WSAh3BSH-3H3b33rd levell3CT标题...1"/>
    <w:basedOn w:val="7"/>
    <w:autoRedefine/>
    <w:qFormat/>
    <w:uiPriority w:val="0"/>
    <w:pPr>
      <w:tabs>
        <w:tab w:val="left" w:pos="1077"/>
      </w:tabs>
      <w:ind w:left="1077" w:hanging="357"/>
    </w:pPr>
    <w:rPr>
      <w:lang w:val="zh-CN"/>
    </w:rPr>
  </w:style>
  <w:style w:type="paragraph" w:customStyle="1" w:styleId="1611">
    <w:name w:val="样式 标题 3"/>
    <w:basedOn w:val="7"/>
    <w:next w:val="1"/>
    <w:autoRedefine/>
    <w:qFormat/>
    <w:uiPriority w:val="0"/>
    <w:pPr>
      <w:tabs>
        <w:tab w:val="left" w:pos="1077"/>
      </w:tabs>
      <w:ind w:left="1077" w:hanging="357"/>
    </w:pPr>
    <w:rPr>
      <w:lang w:val="zh-CN"/>
    </w:rPr>
  </w:style>
  <w:style w:type="paragraph" w:customStyle="1" w:styleId="1612">
    <w:name w:val="样式 标题 3条标题1.1.1ReHead 3 WSAh3BSH-3H3b33rd levell3CT标题..."/>
    <w:basedOn w:val="7"/>
    <w:autoRedefine/>
    <w:qFormat/>
    <w:uiPriority w:val="0"/>
    <w:pPr>
      <w:tabs>
        <w:tab w:val="left" w:pos="1077"/>
      </w:tabs>
      <w:ind w:left="1077" w:hanging="357"/>
    </w:pPr>
    <w:rPr>
      <w:lang w:val="zh-CN"/>
    </w:rPr>
  </w:style>
  <w:style w:type="paragraph" w:customStyle="1" w:styleId="1613">
    <w:name w:val="样式 标题 2标题2H2h2第一层条一级条SeHead wsa2Chapter TitleChapter1...."/>
    <w:basedOn w:val="6"/>
    <w:autoRedefine/>
    <w:qFormat/>
    <w:uiPriority w:val="0"/>
    <w:pPr>
      <w:tabs>
        <w:tab w:val="left" w:pos="720"/>
      </w:tabs>
      <w:ind w:left="720" w:hanging="363"/>
    </w:pPr>
    <w:rPr>
      <w:kern w:val="0"/>
      <w:lang w:val="zh-CN"/>
    </w:rPr>
  </w:style>
  <w:style w:type="paragraph" w:customStyle="1" w:styleId="1614">
    <w:name w:val="正文 03"/>
    <w:basedOn w:val="1"/>
    <w:autoRedefine/>
    <w:qFormat/>
    <w:uiPriority w:val="0"/>
    <w:pPr>
      <w:autoSpaceDE w:val="0"/>
      <w:autoSpaceDN w:val="0"/>
      <w:adjustRightInd w:val="0"/>
      <w:textAlignment w:val="baseline"/>
    </w:pPr>
    <w:rPr>
      <w:kern w:val="0"/>
      <w:sz w:val="24"/>
      <w:szCs w:val="20"/>
    </w:rPr>
  </w:style>
  <w:style w:type="paragraph" w:customStyle="1" w:styleId="1615">
    <w:name w:val="龙1"/>
    <w:basedOn w:val="1574"/>
    <w:autoRedefine/>
    <w:qFormat/>
    <w:uiPriority w:val="0"/>
    <w:pPr>
      <w:autoSpaceDE w:val="0"/>
      <w:autoSpaceDN w:val="0"/>
      <w:spacing w:line="800" w:lineRule="exact"/>
      <w:textAlignment w:val="baseline"/>
      <w:outlineLvl w:val="0"/>
    </w:pPr>
    <w:rPr>
      <w:rFonts w:eastAsia="宋体"/>
      <w:b/>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1616">
    <w:name w:val="表格头jophy"/>
    <w:basedOn w:val="1"/>
    <w:autoRedefine/>
    <w:qFormat/>
    <w:uiPriority w:val="0"/>
    <w:pPr>
      <w:adjustRightInd w:val="0"/>
      <w:snapToGrid w:val="0"/>
      <w:jc w:val="center"/>
      <w:textAlignment w:val="baseline"/>
    </w:pPr>
    <w:rPr>
      <w:b/>
      <w:bCs/>
      <w:spacing w:val="-10"/>
      <w:kern w:val="0"/>
      <w:szCs w:val="28"/>
    </w:rPr>
  </w:style>
  <w:style w:type="paragraph" w:customStyle="1" w:styleId="1617">
    <w:name w:val="图字"/>
    <w:basedOn w:val="1"/>
    <w:autoRedefine/>
    <w:qFormat/>
    <w:uiPriority w:val="0"/>
    <w:pPr>
      <w:jc w:val="center"/>
    </w:pPr>
    <w:rPr>
      <w:b/>
      <w:color w:val="000000"/>
      <w:szCs w:val="21"/>
    </w:rPr>
  </w:style>
  <w:style w:type="paragraph" w:customStyle="1" w:styleId="1618">
    <w:name w:val="正文-Leon"/>
    <w:basedOn w:val="1"/>
    <w:autoRedefine/>
    <w:qFormat/>
    <w:uiPriority w:val="0"/>
    <w:pPr>
      <w:spacing w:line="360" w:lineRule="auto"/>
      <w:ind w:firstLine="480" w:firstLineChars="200"/>
    </w:pPr>
    <w:rPr>
      <w:kern w:val="0"/>
      <w:sz w:val="24"/>
      <w:szCs w:val="28"/>
    </w:rPr>
  </w:style>
  <w:style w:type="paragraph" w:customStyle="1" w:styleId="1619">
    <w:name w:val="表1表2"/>
    <w:basedOn w:val="1"/>
    <w:autoRedefine/>
    <w:qFormat/>
    <w:uiPriority w:val="0"/>
    <w:pPr>
      <w:autoSpaceDE w:val="0"/>
      <w:autoSpaceDN w:val="0"/>
      <w:adjustRightInd w:val="0"/>
      <w:jc w:val="center"/>
      <w:textAlignment w:val="center"/>
    </w:pPr>
    <w:rPr>
      <w:rFonts w:eastAsia="仿宋_GB2312"/>
      <w:kern w:val="0"/>
      <w:szCs w:val="21"/>
    </w:rPr>
  </w:style>
  <w:style w:type="paragraph" w:customStyle="1" w:styleId="1620">
    <w:name w:val="默认段落字体 Para Char Char Char Char Char Char Char Char Char Char Char Char Char1"/>
    <w:basedOn w:val="1"/>
    <w:autoRedefine/>
    <w:qFormat/>
    <w:uiPriority w:val="0"/>
    <w:rPr>
      <w:sz w:val="24"/>
    </w:rPr>
  </w:style>
  <w:style w:type="paragraph" w:customStyle="1" w:styleId="1621">
    <w:name w:val="默认段落字体 Para Char Char Char Char Char Char Char Char Char Char Char Char Char1 Char"/>
    <w:basedOn w:val="28"/>
    <w:autoRedefine/>
    <w:qFormat/>
    <w:uiPriority w:val="0"/>
    <w:pPr>
      <w:adjustRightInd w:val="0"/>
      <w:snapToGrid w:val="0"/>
      <w:spacing w:line="360" w:lineRule="auto"/>
    </w:pPr>
    <w:rPr>
      <w:rFonts w:ascii="Calibri" w:hAnsi="Calibri"/>
      <w:sz w:val="24"/>
      <w:szCs w:val="18"/>
    </w:rPr>
  </w:style>
  <w:style w:type="paragraph" w:customStyle="1" w:styleId="1622">
    <w:name w:val="Char Char Char Char Char Char1 Char"/>
    <w:basedOn w:val="1"/>
    <w:autoRedefine/>
    <w:qFormat/>
    <w:uiPriority w:val="0"/>
  </w:style>
  <w:style w:type="paragraph" w:customStyle="1" w:styleId="1623">
    <w:name w:val="文本框1"/>
    <w:basedOn w:val="1"/>
    <w:autoRedefine/>
    <w:qFormat/>
    <w:uiPriority w:val="0"/>
    <w:rPr>
      <w:rFonts w:ascii="宋体" w:hAnsi="宋体"/>
      <w:sz w:val="24"/>
      <w:szCs w:val="20"/>
    </w:rPr>
  </w:style>
  <w:style w:type="paragraph" w:customStyle="1" w:styleId="1624">
    <w:name w:val="Char4 Char Char Char Char Char Char"/>
    <w:basedOn w:val="1"/>
    <w:autoRedefine/>
    <w:qFormat/>
    <w:uiPriority w:val="0"/>
    <w:rPr>
      <w:sz w:val="24"/>
    </w:rPr>
  </w:style>
  <w:style w:type="paragraph" w:customStyle="1" w:styleId="1625">
    <w:name w:val="Char4 Char Char Char"/>
    <w:basedOn w:val="1"/>
    <w:autoRedefine/>
    <w:qFormat/>
    <w:uiPriority w:val="0"/>
    <w:rPr>
      <w:sz w:val="24"/>
    </w:rPr>
  </w:style>
  <w:style w:type="paragraph" w:customStyle="1" w:styleId="1626">
    <w:name w:val="MYBODY"/>
    <w:basedOn w:val="1"/>
    <w:autoRedefine/>
    <w:qFormat/>
    <w:uiPriority w:val="0"/>
    <w:pPr>
      <w:adjustRightInd w:val="0"/>
      <w:spacing w:line="360" w:lineRule="auto"/>
      <w:ind w:firstLine="225" w:firstLineChars="225"/>
      <w:jc w:val="left"/>
      <w:textAlignment w:val="baseline"/>
    </w:pPr>
    <w:rPr>
      <w:rFonts w:ascii="宋体"/>
      <w:kern w:val="0"/>
      <w:sz w:val="24"/>
      <w:szCs w:val="20"/>
    </w:rPr>
  </w:style>
  <w:style w:type="paragraph" w:customStyle="1" w:styleId="1627">
    <w:name w:val="y表头"/>
    <w:basedOn w:val="2"/>
    <w:autoRedefine/>
    <w:qFormat/>
    <w:uiPriority w:val="0"/>
    <w:pPr>
      <w:widowControl w:val="0"/>
      <w:tabs>
        <w:tab w:val="left" w:pos="900"/>
      </w:tabs>
      <w:adjustRightInd w:val="0"/>
      <w:snapToGrid/>
      <w:spacing w:before="0" w:after="0" w:line="240" w:lineRule="auto"/>
      <w:ind w:right="0"/>
      <w:jc w:val="center"/>
      <w:textAlignment w:val="baseline"/>
    </w:pPr>
    <w:rPr>
      <w:rFonts w:hint="eastAsia" w:ascii="宋体" w:hAnsi="宋体" w:eastAsia="楷体_GB2312"/>
      <w:b/>
      <w:kern w:val="2"/>
      <w:sz w:val="24"/>
    </w:rPr>
  </w:style>
  <w:style w:type="paragraph" w:customStyle="1" w:styleId="1628">
    <w:name w:val="y表格"/>
    <w:basedOn w:val="2"/>
    <w:autoRedefine/>
    <w:qFormat/>
    <w:uiPriority w:val="0"/>
    <w:pPr>
      <w:adjustRightInd w:val="0"/>
      <w:spacing w:before="0" w:after="0" w:line="240" w:lineRule="auto"/>
      <w:ind w:right="0"/>
      <w:jc w:val="center"/>
      <w:textAlignment w:val="baseline"/>
    </w:pPr>
    <w:rPr>
      <w:rFonts w:hint="eastAsia" w:ascii="宋体" w:hAnsi="宋体"/>
      <w:sz w:val="24"/>
    </w:rPr>
  </w:style>
  <w:style w:type="paragraph" w:customStyle="1" w:styleId="1629">
    <w:name w:val="body"/>
    <w:basedOn w:val="1"/>
    <w:autoRedefine/>
    <w:qFormat/>
    <w:uiPriority w:val="0"/>
    <w:pPr>
      <w:spacing w:line="360" w:lineRule="auto"/>
      <w:ind w:firstLine="480" w:firstLineChars="200"/>
    </w:pPr>
    <w:rPr>
      <w:rFonts w:ascii="宋体"/>
      <w:sz w:val="24"/>
      <w:szCs w:val="20"/>
    </w:rPr>
  </w:style>
  <w:style w:type="paragraph" w:customStyle="1" w:styleId="1630">
    <w:name w:val="xl207"/>
    <w:basedOn w:val="1"/>
    <w:autoRedefine/>
    <w:qFormat/>
    <w:uiPriority w:val="0"/>
    <w:pPr>
      <w:widowControl/>
      <w:shd w:val="clear" w:color="auto" w:fill="99CC00"/>
      <w:spacing w:before="100" w:beforeAutospacing="1" w:after="100" w:afterAutospacing="1"/>
      <w:jc w:val="center"/>
    </w:pPr>
    <w:rPr>
      <w:rFonts w:ascii="Tahoma" w:hAnsi="Tahoma" w:eastAsia="Arial Unicode MS" w:cs="Tahoma"/>
      <w:kern w:val="0"/>
      <w:sz w:val="20"/>
      <w:szCs w:val="20"/>
    </w:rPr>
  </w:style>
  <w:style w:type="paragraph" w:customStyle="1" w:styleId="1631">
    <w:name w:val="xl209"/>
    <w:basedOn w:val="1"/>
    <w:autoRedefine/>
    <w:qFormat/>
    <w:uiPriority w:val="0"/>
    <w:pPr>
      <w:widowControl/>
      <w:pBdr>
        <w:left w:val="single" w:color="auto" w:sz="4" w:space="0"/>
        <w:right w:val="single" w:color="auto" w:sz="4" w:space="0"/>
      </w:pBdr>
      <w:shd w:val="clear" w:color="auto" w:fill="99CC00"/>
      <w:spacing w:before="100" w:beforeAutospacing="1" w:after="100" w:afterAutospacing="1"/>
      <w:jc w:val="center"/>
    </w:pPr>
    <w:rPr>
      <w:rFonts w:ascii="Tahoma" w:hAnsi="Tahoma" w:eastAsia="Arial Unicode MS" w:cs="Tahoma"/>
      <w:kern w:val="0"/>
      <w:sz w:val="20"/>
      <w:szCs w:val="20"/>
    </w:rPr>
  </w:style>
  <w:style w:type="paragraph" w:customStyle="1" w:styleId="1632">
    <w:name w:val="Bullet_Indent"/>
    <w:basedOn w:val="1"/>
    <w:autoRedefine/>
    <w:qFormat/>
    <w:uiPriority w:val="0"/>
    <w:pPr>
      <w:widowControl/>
      <w:spacing w:after="240"/>
      <w:ind w:left="1440" w:hanging="720"/>
      <w:jc w:val="left"/>
    </w:pPr>
    <w:rPr>
      <w:kern w:val="0"/>
      <w:sz w:val="24"/>
      <w:szCs w:val="20"/>
    </w:rPr>
  </w:style>
  <w:style w:type="paragraph" w:customStyle="1" w:styleId="1633">
    <w:name w:val="9bold"/>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634">
    <w:name w:val="Char Char Char Char Char Char Char Char Char Char Char Char Char Char Char Char Char Char Char Char Char Char Char Char Char Char Char Char Char Char Char Char Char Char Char Char Char Char Char Char Char Char Char"/>
    <w:basedOn w:val="1"/>
    <w:next w:val="1"/>
    <w:autoRedefine/>
    <w:qFormat/>
    <w:uiPriority w:val="0"/>
    <w:pPr>
      <w:spacing w:line="360" w:lineRule="auto"/>
      <w:ind w:firstLine="200" w:firstLineChars="200"/>
    </w:pPr>
    <w:rPr>
      <w:rFonts w:ascii="宋体" w:hAnsi="宋体" w:cs="宋体"/>
      <w:sz w:val="24"/>
    </w:rPr>
  </w:style>
  <w:style w:type="paragraph" w:customStyle="1" w:styleId="1635">
    <w:name w:val="Char Char Char Char Char Char1 Char Char Char1 Char Char Char1 Char Char Char Char Char Char Char Char Char Char Char Char"/>
    <w:basedOn w:val="1"/>
    <w:next w:val="1"/>
    <w:autoRedefine/>
    <w:qFormat/>
    <w:uiPriority w:val="0"/>
    <w:pPr>
      <w:spacing w:line="360" w:lineRule="auto"/>
      <w:ind w:firstLine="200" w:firstLineChars="200"/>
    </w:pPr>
    <w:rPr>
      <w:rFonts w:ascii="宋体" w:hAnsi="宋体" w:cs="宋体"/>
      <w:sz w:val="24"/>
    </w:rPr>
  </w:style>
  <w:style w:type="paragraph" w:customStyle="1" w:styleId="1636">
    <w:name w:val="表格 21"/>
    <w:autoRedefine/>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paragraph" w:customStyle="1" w:styleId="1637">
    <w:name w:val="Char Char Char Char Char Char Char Char Char Char Char Char Char Char Char Char Char Char"/>
    <w:basedOn w:val="1"/>
    <w:autoRedefine/>
    <w:qFormat/>
    <w:uiPriority w:val="0"/>
    <w:rPr>
      <w:sz w:val="24"/>
    </w:rPr>
  </w:style>
  <w:style w:type="paragraph" w:customStyle="1" w:styleId="1638">
    <w:name w:val="页面"/>
    <w:autoRedefine/>
    <w:qFormat/>
    <w:uiPriority w:val="0"/>
    <w:pPr>
      <w:widowControl w:val="0"/>
      <w:adjustRightInd w:val="0"/>
      <w:jc w:val="center"/>
    </w:pPr>
    <w:rPr>
      <w:rFonts w:ascii="Times New Roman" w:hAnsi="Times New Roman" w:eastAsia="宋体" w:cs="Times New Roman"/>
      <w:sz w:val="28"/>
      <w:lang w:val="en-US" w:eastAsia="zh-CN" w:bidi="ar-SA"/>
    </w:rPr>
  </w:style>
  <w:style w:type="paragraph" w:customStyle="1" w:styleId="1639">
    <w:name w:val="xl21"/>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1640">
    <w:name w:val="样式 标题 1 + 段前: 1 行 段后: 1.5 行"/>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641">
    <w:name w:val="Char Char Char Char Char Char Char Char Char Char1 Char Char Char Char Char Char Char Char Char Char Char Char Char Char Char Char Char Char"/>
    <w:basedOn w:val="1"/>
    <w:autoRedefine/>
    <w:semiHidden/>
    <w:qFormat/>
    <w:uiPriority w:val="0"/>
  </w:style>
  <w:style w:type="paragraph" w:customStyle="1" w:styleId="1642">
    <w:name w:val="Char1 Char Char Char1"/>
    <w:basedOn w:val="1"/>
    <w:next w:val="1"/>
    <w:autoRedefine/>
    <w:qFormat/>
    <w:uiPriority w:val="0"/>
    <w:pPr>
      <w:keepNext/>
      <w:tabs>
        <w:tab w:val="left" w:pos="480"/>
        <w:tab w:val="left" w:pos="720"/>
        <w:tab w:val="left" w:pos="960"/>
        <w:tab w:val="left" w:pos="1134"/>
      </w:tabs>
      <w:adjustRightInd w:val="0"/>
      <w:snapToGrid w:val="0"/>
      <w:spacing w:before="120" w:after="120" w:line="360" w:lineRule="auto"/>
      <w:ind w:firstLine="425"/>
      <w:outlineLvl w:val="2"/>
    </w:pPr>
    <w:rPr>
      <w:rFonts w:ascii="黑体" w:hAnsi="黑体" w:eastAsia="黑体" w:cs="宋体"/>
      <w:b/>
      <w:bCs/>
      <w:snapToGrid w:val="0"/>
      <w:spacing w:val="-5"/>
      <w:kern w:val="0"/>
      <w:sz w:val="28"/>
      <w:szCs w:val="20"/>
    </w:rPr>
  </w:style>
  <w:style w:type="paragraph" w:customStyle="1" w:styleId="1643">
    <w:name w:val="我的表格"/>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1644">
    <w:name w:val="样式 样式 标题 3 + 段前: 0.5 行 段后: 0.5 行 + 段前: 0.5 行 段后: 0.5 行"/>
    <w:basedOn w:val="1"/>
    <w:autoRedefine/>
    <w:qFormat/>
    <w:uiPriority w:val="0"/>
    <w:pPr>
      <w:keepNext/>
      <w:keepLines/>
      <w:adjustRightInd w:val="0"/>
      <w:snapToGrid w:val="0"/>
      <w:spacing w:beforeLines="50" w:afterLines="50" w:line="300" w:lineRule="auto"/>
      <w:ind w:left="180"/>
      <w:jc w:val="left"/>
      <w:outlineLvl w:val="2"/>
    </w:pPr>
    <w:rPr>
      <w:rFonts w:ascii="仿宋_GB2312" w:hAnsi="宋体" w:eastAsia="仿宋_GB2312" w:cs="宋体"/>
      <w:b/>
      <w:sz w:val="30"/>
      <w:szCs w:val="30"/>
    </w:rPr>
  </w:style>
  <w:style w:type="paragraph" w:customStyle="1" w:styleId="1645">
    <w:name w:val="xl201"/>
    <w:basedOn w:val="1"/>
    <w:autoRedefine/>
    <w:qFormat/>
    <w:uiPriority w:val="0"/>
    <w:pPr>
      <w:widowControl/>
      <w:pBdr>
        <w:lef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1646">
    <w:name w:val="样式 标题 3 + 加粗 段前: 3.9 磅 段后: 3.9 磅 行距: 多倍行距 1.35 字行2"/>
    <w:basedOn w:val="7"/>
    <w:autoRedefine/>
    <w:qFormat/>
    <w:uiPriority w:val="0"/>
    <w:pPr>
      <w:tabs>
        <w:tab w:val="left" w:pos="1077"/>
      </w:tabs>
      <w:ind w:left="1077" w:hanging="357"/>
    </w:pPr>
    <w:rPr>
      <w:lang w:val="zh-CN"/>
    </w:rPr>
  </w:style>
  <w:style w:type="paragraph" w:customStyle="1" w:styleId="1647">
    <w:name w:val="三级无标题条"/>
    <w:basedOn w:val="1"/>
    <w:autoRedefine/>
    <w:qFormat/>
    <w:uiPriority w:val="0"/>
    <w:rPr>
      <w:szCs w:val="20"/>
    </w:rPr>
  </w:style>
  <w:style w:type="paragraph" w:customStyle="1" w:styleId="1648">
    <w:name w:val="王秀中"/>
    <w:basedOn w:val="1"/>
    <w:autoRedefine/>
    <w:qFormat/>
    <w:uiPriority w:val="0"/>
    <w:pPr>
      <w:autoSpaceDE w:val="0"/>
      <w:autoSpaceDN w:val="0"/>
      <w:adjustRightInd w:val="0"/>
      <w:snapToGrid w:val="0"/>
      <w:spacing w:line="312" w:lineRule="auto"/>
      <w:ind w:firstLine="567"/>
    </w:pPr>
    <w:rPr>
      <w:kern w:val="0"/>
      <w:sz w:val="28"/>
      <w:szCs w:val="20"/>
    </w:rPr>
  </w:style>
  <w:style w:type="paragraph" w:customStyle="1" w:styleId="1649">
    <w:name w:val="xl208"/>
    <w:basedOn w:val="1"/>
    <w:autoRedefine/>
    <w:qFormat/>
    <w:uiPriority w:val="0"/>
    <w:pPr>
      <w:widowControl/>
      <w:pBdr>
        <w:top w:val="single" w:color="auto" w:sz="4" w:space="0"/>
        <w:left w:val="single" w:color="auto" w:sz="4" w:space="0"/>
        <w:right w:val="single" w:color="auto" w:sz="4" w:space="0"/>
      </w:pBdr>
      <w:shd w:val="clear" w:color="auto" w:fill="99CC00"/>
      <w:spacing w:before="100" w:beforeAutospacing="1" w:after="100" w:afterAutospacing="1"/>
      <w:jc w:val="center"/>
    </w:pPr>
    <w:rPr>
      <w:rFonts w:ascii="Tahoma" w:hAnsi="Tahoma" w:eastAsia="Arial Unicode MS" w:cs="Tahoma"/>
      <w:kern w:val="0"/>
      <w:sz w:val="20"/>
      <w:szCs w:val="20"/>
    </w:rPr>
  </w:style>
  <w:style w:type="paragraph" w:customStyle="1" w:styleId="1650">
    <w:name w:val="临时"/>
    <w:basedOn w:val="1"/>
    <w:autoRedefine/>
    <w:qFormat/>
    <w:uiPriority w:val="0"/>
    <w:pPr>
      <w:jc w:val="center"/>
    </w:pPr>
    <w:rPr>
      <w:szCs w:val="21"/>
    </w:rPr>
  </w:style>
  <w:style w:type="paragraph" w:customStyle="1" w:styleId="1651">
    <w:name w:val="正文表标题"/>
    <w:next w:val="628"/>
    <w:autoRedefine/>
    <w:qFormat/>
    <w:uiPriority w:val="0"/>
    <w:pPr>
      <w:tabs>
        <w:tab w:val="left" w:pos="840"/>
      </w:tabs>
      <w:ind w:left="840" w:hanging="360"/>
      <w:jc w:val="center"/>
    </w:pPr>
    <w:rPr>
      <w:rFonts w:ascii="黑体" w:hAnsi="Times New Roman" w:eastAsia="黑体" w:cs="Times New Roman"/>
      <w:sz w:val="21"/>
      <w:lang w:val="en-US" w:eastAsia="zh-CN" w:bidi="ar-SA"/>
    </w:rPr>
  </w:style>
  <w:style w:type="paragraph" w:customStyle="1" w:styleId="1652">
    <w:name w:val="默认段落字体 Para Char Char Char Char Char Char"/>
    <w:basedOn w:val="1"/>
    <w:autoRedefine/>
    <w:qFormat/>
    <w:uiPriority w:val="0"/>
    <w:rPr>
      <w:sz w:val="24"/>
    </w:rPr>
  </w:style>
  <w:style w:type="paragraph" w:customStyle="1" w:styleId="1653">
    <w:name w:val="默认段落字体 Para Char Char Char Char Char Char Char Char Char Char Char Char Char Char Char Char Char Char Char Char Char Char Char Char Char Char Char Char1 Char Char Char Char Char"/>
    <w:basedOn w:val="1"/>
    <w:autoRedefine/>
    <w:qFormat/>
    <w:uiPriority w:val="0"/>
    <w:rPr>
      <w:sz w:val="24"/>
    </w:rPr>
  </w:style>
  <w:style w:type="paragraph" w:customStyle="1" w:styleId="1654">
    <w:name w:val="Char Char Char Char Char Char3 Char"/>
    <w:basedOn w:val="1"/>
    <w:autoRedefine/>
    <w:qFormat/>
    <w:uiPriority w:val="0"/>
    <w:pPr>
      <w:snapToGrid w:val="0"/>
      <w:spacing w:beforeLines="50" w:afterLines="50" w:line="600" w:lineRule="atLeast"/>
    </w:pPr>
    <w:rPr>
      <w:szCs w:val="21"/>
    </w:rPr>
  </w:style>
  <w:style w:type="paragraph" w:customStyle="1" w:styleId="1655">
    <w:name w:val="样式 正文首行缩进:  2 字符 + 首行缩进:  2 字符"/>
    <w:basedOn w:val="1"/>
    <w:autoRedefine/>
    <w:qFormat/>
    <w:uiPriority w:val="0"/>
    <w:pPr>
      <w:spacing w:line="360" w:lineRule="auto"/>
      <w:ind w:firstLine="480" w:firstLineChars="200"/>
    </w:pPr>
    <w:rPr>
      <w:rFonts w:cs="宋体"/>
      <w:sz w:val="24"/>
      <w:szCs w:val="20"/>
    </w:rPr>
  </w:style>
  <w:style w:type="paragraph" w:customStyle="1" w:styleId="1656">
    <w:name w:val="p15"/>
    <w:basedOn w:val="1"/>
    <w:autoRedefine/>
    <w:qFormat/>
    <w:uiPriority w:val="0"/>
    <w:pPr>
      <w:widowControl/>
      <w:spacing w:line="300" w:lineRule="auto"/>
      <w:ind w:firstLine="454"/>
    </w:pPr>
    <w:rPr>
      <w:kern w:val="0"/>
      <w:sz w:val="24"/>
    </w:rPr>
  </w:style>
  <w:style w:type="paragraph" w:customStyle="1" w:styleId="1657">
    <w:name w:val="正文首行缩进 2 + Times New Roman"/>
    <w:basedOn w:val="1"/>
    <w:autoRedefine/>
    <w:qFormat/>
    <w:uiPriority w:val="0"/>
    <w:pPr>
      <w:tabs>
        <w:tab w:val="left" w:pos="0"/>
      </w:tabs>
      <w:autoSpaceDE w:val="0"/>
      <w:autoSpaceDN w:val="0"/>
      <w:spacing w:line="360" w:lineRule="auto"/>
      <w:ind w:firstLine="480" w:firstLineChars="200"/>
    </w:pPr>
    <w:rPr>
      <w:kern w:val="0"/>
      <w:sz w:val="24"/>
      <w:lang w:val="zh-CN"/>
    </w:rPr>
  </w:style>
  <w:style w:type="paragraph" w:customStyle="1" w:styleId="1658">
    <w:name w:val="列项——"/>
    <w:autoRedefine/>
    <w:qFormat/>
    <w:uiPriority w:val="0"/>
    <w:pPr>
      <w:widowControl w:val="0"/>
      <w:tabs>
        <w:tab w:val="left" w:pos="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659">
    <w:name w:val="Char Char Char Char Char Char Char Char Char Char Char Char Char"/>
    <w:basedOn w:val="1"/>
    <w:autoRedefine/>
    <w:qFormat/>
    <w:uiPriority w:val="0"/>
    <w:rPr>
      <w:sz w:val="24"/>
    </w:rPr>
  </w:style>
  <w:style w:type="paragraph" w:customStyle="1" w:styleId="1660">
    <w:name w:val="页面 2"/>
    <w:basedOn w:val="1638"/>
    <w:autoRedefine/>
    <w:qFormat/>
    <w:uiPriority w:val="0"/>
    <w:rPr>
      <w:sz w:val="72"/>
    </w:rPr>
  </w:style>
  <w:style w:type="paragraph" w:customStyle="1" w:styleId="1661">
    <w:name w:val="表体加粗"/>
    <w:basedOn w:val="1"/>
    <w:autoRedefine/>
    <w:qFormat/>
    <w:uiPriority w:val="0"/>
    <w:pPr>
      <w:spacing w:line="360" w:lineRule="auto"/>
      <w:jc w:val="center"/>
    </w:pPr>
    <w:rPr>
      <w:rFonts w:cs="宋体"/>
      <w:b/>
      <w:bCs/>
      <w:sz w:val="24"/>
      <w:szCs w:val="20"/>
    </w:rPr>
  </w:style>
  <w:style w:type="paragraph" w:customStyle="1" w:styleId="1662">
    <w:name w:val="表体"/>
    <w:basedOn w:val="1"/>
    <w:autoRedefine/>
    <w:qFormat/>
    <w:uiPriority w:val="0"/>
    <w:pPr>
      <w:spacing w:line="360" w:lineRule="auto"/>
      <w:jc w:val="center"/>
    </w:pPr>
    <w:rPr>
      <w:rFonts w:cs="宋体"/>
      <w:szCs w:val="20"/>
    </w:rPr>
  </w:style>
  <w:style w:type="paragraph" w:customStyle="1" w:styleId="1663">
    <w:name w:val="Char Char Char Char Char Char 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1664">
    <w:name w:val="图标"/>
    <w:basedOn w:val="1"/>
    <w:autoRedefine/>
    <w:qFormat/>
    <w:uiPriority w:val="0"/>
    <w:pPr>
      <w:tabs>
        <w:tab w:val="left" w:pos="1920"/>
      </w:tabs>
      <w:spacing w:line="400" w:lineRule="atLeast"/>
      <w:jc w:val="center"/>
    </w:pPr>
    <w:rPr>
      <w:bCs/>
      <w:color w:val="000000"/>
      <w:sz w:val="24"/>
      <w:szCs w:val="21"/>
    </w:rPr>
  </w:style>
  <w:style w:type="paragraph" w:customStyle="1" w:styleId="1665">
    <w:name w:val="流程图文字"/>
    <w:basedOn w:val="1"/>
    <w:autoRedefine/>
    <w:qFormat/>
    <w:uiPriority w:val="0"/>
    <w:pPr>
      <w:adjustRightInd w:val="0"/>
      <w:snapToGrid w:val="0"/>
      <w:spacing w:line="288" w:lineRule="auto"/>
      <w:jc w:val="center"/>
      <w:textAlignment w:val="baseline"/>
    </w:pPr>
    <w:rPr>
      <w:rFonts w:eastAsia="楷体_GB2312"/>
      <w:szCs w:val="20"/>
    </w:rPr>
  </w:style>
  <w:style w:type="paragraph" w:customStyle="1" w:styleId="1666">
    <w:name w:val="样式 标题 1标题3，标题3Head 1wsa一、h1标题2标题 1 CharPart'Document1.标...1"/>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667">
    <w:name w:val="样式 标题 2Chapter Heading2nd levelh22Titre2l2H2Header 2UND...1"/>
    <w:basedOn w:val="6"/>
    <w:autoRedefine/>
    <w:qFormat/>
    <w:uiPriority w:val="0"/>
    <w:pPr>
      <w:tabs>
        <w:tab w:val="left" w:pos="720"/>
      </w:tabs>
      <w:ind w:left="720" w:hanging="363"/>
    </w:pPr>
    <w:rPr>
      <w:kern w:val="0"/>
      <w:lang w:val="zh-CN"/>
    </w:rPr>
  </w:style>
  <w:style w:type="paragraph" w:customStyle="1" w:styleId="1668">
    <w:name w:val="样式 标题 3h33rd levelH33Head 3level_3PIM 3Level 3 Head二级节名...1"/>
    <w:basedOn w:val="7"/>
    <w:autoRedefine/>
    <w:qFormat/>
    <w:uiPriority w:val="0"/>
    <w:pPr>
      <w:tabs>
        <w:tab w:val="left" w:pos="1077"/>
      </w:tabs>
      <w:ind w:left="1077" w:hanging="357"/>
    </w:pPr>
    <w:rPr>
      <w:lang w:val="zh-CN"/>
    </w:rPr>
  </w:style>
  <w:style w:type="paragraph" w:customStyle="1" w:styleId="1669">
    <w:name w:val="样式 标题 1 + 宋体"/>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670">
    <w:name w:val="前言"/>
    <w:basedOn w:val="1"/>
    <w:autoRedefine/>
    <w:qFormat/>
    <w:uiPriority w:val="0"/>
    <w:pPr>
      <w:pageBreakBefore/>
      <w:autoSpaceDE w:val="0"/>
      <w:autoSpaceDN w:val="0"/>
      <w:adjustRightInd w:val="0"/>
      <w:spacing w:line="288" w:lineRule="auto"/>
      <w:ind w:firstLine="454"/>
      <w:jc w:val="center"/>
      <w:textAlignment w:val="baseline"/>
    </w:pPr>
    <w:rPr>
      <w:rFonts w:ascii="黑体" w:eastAsia="黑体"/>
      <w:kern w:val="0"/>
      <w:sz w:val="32"/>
      <w:szCs w:val="20"/>
    </w:rPr>
  </w:style>
  <w:style w:type="paragraph" w:customStyle="1" w:styleId="1671">
    <w:name w:val="陈底注加"/>
    <w:basedOn w:val="1"/>
    <w:next w:val="1"/>
    <w:autoRedefine/>
    <w:qFormat/>
    <w:uiPriority w:val="0"/>
    <w:pPr>
      <w:spacing w:line="288" w:lineRule="auto"/>
    </w:pPr>
    <w:rPr>
      <w:color w:val="0000FF"/>
      <w:szCs w:val="21"/>
      <w:lang w:val="zh-CN"/>
    </w:rPr>
  </w:style>
  <w:style w:type="paragraph" w:customStyle="1" w:styleId="1672">
    <w:name w:val="页面 7"/>
    <w:basedOn w:val="1"/>
    <w:autoRedefine/>
    <w:qFormat/>
    <w:uiPriority w:val="0"/>
    <w:pPr>
      <w:autoSpaceDE w:val="0"/>
      <w:autoSpaceDN w:val="0"/>
      <w:adjustRightInd w:val="0"/>
      <w:spacing w:before="120" w:after="120" w:line="360" w:lineRule="auto"/>
      <w:ind w:firstLine="425"/>
      <w:jc w:val="center"/>
      <w:textAlignment w:val="baseline"/>
    </w:pPr>
    <w:rPr>
      <w:rFonts w:eastAsia="楷体_GB2312"/>
      <w:kern w:val="0"/>
      <w:sz w:val="32"/>
      <w:szCs w:val="20"/>
    </w:rPr>
  </w:style>
  <w:style w:type="paragraph" w:customStyle="1" w:styleId="1673">
    <w:name w:val="Char Char Char Char Char Char1 Char Char Char Char"/>
    <w:basedOn w:val="1"/>
    <w:autoRedefine/>
    <w:qFormat/>
    <w:uiPriority w:val="0"/>
    <w:pPr>
      <w:adjustRightInd w:val="0"/>
      <w:snapToGrid w:val="0"/>
      <w:spacing w:line="360" w:lineRule="auto"/>
      <w:ind w:firstLine="567"/>
    </w:pPr>
  </w:style>
  <w:style w:type="paragraph" w:customStyle="1" w:styleId="1674">
    <w:name w:val="封面1"/>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675">
    <w:name w:val="表格 22"/>
    <w:basedOn w:val="1636"/>
    <w:autoRedefine/>
    <w:qFormat/>
    <w:uiPriority w:val="0"/>
    <w:rPr>
      <w:sz w:val="24"/>
    </w:rPr>
  </w:style>
  <w:style w:type="paragraph" w:customStyle="1" w:styleId="1676">
    <w:name w:val="xl205"/>
    <w:basedOn w:val="1"/>
    <w:autoRedefine/>
    <w:qFormat/>
    <w:uiPriority w:val="0"/>
    <w:pPr>
      <w:widowControl/>
      <w:pBdr>
        <w:left w:val="single" w:color="auto" w:sz="4" w:space="0"/>
        <w:right w:val="single" w:color="auto" w:sz="4" w:space="0"/>
      </w:pBdr>
      <w:shd w:val="clear" w:color="auto" w:fill="99CC00"/>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1677">
    <w:name w:val="表格 23"/>
    <w:basedOn w:val="1636"/>
    <w:autoRedefine/>
    <w:qFormat/>
    <w:uiPriority w:val="0"/>
    <w:rPr>
      <w:sz w:val="21"/>
    </w:rPr>
  </w:style>
  <w:style w:type="paragraph" w:customStyle="1" w:styleId="1678">
    <w:name w:val="xl203"/>
    <w:basedOn w:val="1"/>
    <w:autoRedefine/>
    <w:qFormat/>
    <w:uiPriority w:val="0"/>
    <w:pPr>
      <w:widowControl/>
      <w:pBdr>
        <w:left w:val="single" w:color="auto" w:sz="4" w:space="0"/>
        <w:right w:val="single" w:color="auto" w:sz="4" w:space="0"/>
      </w:pBdr>
      <w:shd w:val="clear" w:color="auto" w:fill="FFFF99"/>
      <w:spacing w:before="100" w:beforeAutospacing="1" w:after="100" w:afterAutospacing="1"/>
      <w:jc w:val="left"/>
      <w:textAlignment w:val="center"/>
    </w:pPr>
    <w:rPr>
      <w:rFonts w:ascii="Tahoma" w:hAnsi="Tahoma" w:eastAsia="Arial Unicode MS" w:cs="Tahoma"/>
      <w:kern w:val="0"/>
      <w:sz w:val="20"/>
      <w:szCs w:val="20"/>
    </w:rPr>
  </w:style>
  <w:style w:type="paragraph" w:customStyle="1" w:styleId="1679">
    <w:name w:val="正文 32"/>
    <w:basedOn w:val="1"/>
    <w:autoRedefine/>
    <w:qFormat/>
    <w:uiPriority w:val="0"/>
    <w:pPr>
      <w:autoSpaceDE w:val="0"/>
      <w:autoSpaceDN w:val="0"/>
      <w:adjustRightInd w:val="0"/>
      <w:spacing w:line="288" w:lineRule="auto"/>
      <w:ind w:firstLine="567"/>
      <w:textAlignment w:val="baseline"/>
    </w:pPr>
    <w:rPr>
      <w:kern w:val="0"/>
      <w:sz w:val="28"/>
      <w:szCs w:val="20"/>
    </w:rPr>
  </w:style>
  <w:style w:type="paragraph" w:customStyle="1" w:styleId="1680">
    <w:name w:val="样式 标题 3 + 宋体"/>
    <w:basedOn w:val="7"/>
    <w:autoRedefine/>
    <w:qFormat/>
    <w:uiPriority w:val="0"/>
    <w:pPr>
      <w:tabs>
        <w:tab w:val="left" w:pos="1077"/>
      </w:tabs>
      <w:ind w:left="1077" w:hanging="357"/>
    </w:pPr>
    <w:rPr>
      <w:lang w:val="zh-CN"/>
    </w:rPr>
  </w:style>
  <w:style w:type="paragraph" w:customStyle="1" w:styleId="1681">
    <w:name w:val="正文 2"/>
    <w:basedOn w:val="1"/>
    <w:autoRedefine/>
    <w:qFormat/>
    <w:uiPriority w:val="0"/>
    <w:pPr>
      <w:autoSpaceDE w:val="0"/>
      <w:autoSpaceDN w:val="0"/>
      <w:adjustRightInd w:val="0"/>
      <w:spacing w:line="300" w:lineRule="auto"/>
      <w:ind w:firstLine="510"/>
      <w:textAlignment w:val="baseline"/>
    </w:pPr>
    <w:rPr>
      <w:rFonts w:eastAsia="楷体_GB2312"/>
      <w:kern w:val="0"/>
      <w:sz w:val="24"/>
      <w:szCs w:val="20"/>
    </w:rPr>
  </w:style>
  <w:style w:type="paragraph" w:customStyle="1" w:styleId="1682">
    <w:name w:val="Char Char Char Char Char Char Char Char Char Char Char Char Char Char Char Char Char Char Char1"/>
    <w:basedOn w:val="1"/>
    <w:next w:val="1"/>
    <w:autoRedefine/>
    <w:qFormat/>
    <w:uiPriority w:val="0"/>
    <w:pPr>
      <w:spacing w:line="360" w:lineRule="auto"/>
      <w:ind w:firstLine="200" w:firstLineChars="200"/>
    </w:pPr>
    <w:rPr>
      <w:rFonts w:ascii="宋体" w:hAnsi="宋体" w:cs="宋体"/>
      <w:sz w:val="24"/>
    </w:rPr>
  </w:style>
  <w:style w:type="paragraph" w:customStyle="1" w:styleId="1683">
    <w:name w:val="批注主题 Char Char"/>
    <w:basedOn w:val="30"/>
    <w:next w:val="30"/>
    <w:autoRedefine/>
    <w:qFormat/>
    <w:uiPriority w:val="0"/>
    <w:pPr>
      <w:spacing w:line="360" w:lineRule="auto"/>
      <w:ind w:left="-2" w:leftChars="-1" w:firstLine="456" w:firstLineChars="190"/>
    </w:pPr>
    <w:rPr>
      <w:rFonts w:ascii="Calibri" w:hAnsi="Calibri"/>
      <w:b/>
      <w:kern w:val="2"/>
    </w:rPr>
  </w:style>
  <w:style w:type="paragraph" w:customStyle="1" w:styleId="1684">
    <w:name w:val="表号"/>
    <w:basedOn w:val="1"/>
    <w:next w:val="193"/>
    <w:autoRedefine/>
    <w:qFormat/>
    <w:uiPriority w:val="0"/>
    <w:pPr>
      <w:tabs>
        <w:tab w:val="left" w:pos="737"/>
      </w:tabs>
      <w:topLinePunct/>
      <w:autoSpaceDE w:val="0"/>
      <w:autoSpaceDN w:val="0"/>
      <w:adjustRightInd w:val="0"/>
      <w:spacing w:line="360" w:lineRule="auto"/>
      <w:ind w:left="420" w:hanging="420"/>
      <w:jc w:val="center"/>
      <w:textAlignment w:val="center"/>
    </w:pPr>
    <w:rPr>
      <w:kern w:val="0"/>
      <w:szCs w:val="20"/>
    </w:rPr>
  </w:style>
  <w:style w:type="paragraph" w:customStyle="1" w:styleId="1685">
    <w:name w:val="p16"/>
    <w:basedOn w:val="1"/>
    <w:autoRedefine/>
    <w:qFormat/>
    <w:uiPriority w:val="0"/>
    <w:pPr>
      <w:widowControl/>
    </w:pPr>
    <w:rPr>
      <w:rFonts w:ascii="华文中宋" w:hAnsi="华文中宋" w:eastAsia="华文中宋"/>
      <w:kern w:val="0"/>
      <w:szCs w:val="20"/>
    </w:rPr>
  </w:style>
  <w:style w:type="paragraph" w:customStyle="1" w:styleId="1686">
    <w:name w:val="投标正文"/>
    <w:basedOn w:val="1"/>
    <w:autoRedefine/>
    <w:semiHidden/>
    <w:qFormat/>
    <w:uiPriority w:val="0"/>
    <w:pPr>
      <w:adjustRightInd w:val="0"/>
      <w:snapToGrid w:val="0"/>
      <w:spacing w:line="360" w:lineRule="auto"/>
      <w:ind w:firstLine="200" w:firstLineChars="200"/>
    </w:pPr>
    <w:rPr>
      <w:sz w:val="24"/>
    </w:rPr>
  </w:style>
  <w:style w:type="paragraph" w:customStyle="1" w:styleId="1687">
    <w:name w:val="工艺正文"/>
    <w:basedOn w:val="1"/>
    <w:autoRedefine/>
    <w:qFormat/>
    <w:uiPriority w:val="0"/>
    <w:pPr>
      <w:adjustRightInd w:val="0"/>
      <w:snapToGrid w:val="0"/>
      <w:spacing w:line="360" w:lineRule="auto"/>
      <w:ind w:firstLine="578"/>
    </w:pPr>
    <w:rPr>
      <w:rFonts w:ascii="宋体"/>
      <w:sz w:val="28"/>
      <w:szCs w:val="20"/>
    </w:rPr>
  </w:style>
  <w:style w:type="paragraph" w:customStyle="1" w:styleId="1688">
    <w:name w:val="工业统一正文"/>
    <w:basedOn w:val="1"/>
    <w:autoRedefine/>
    <w:qFormat/>
    <w:uiPriority w:val="0"/>
    <w:pPr>
      <w:adjustRightInd w:val="0"/>
      <w:snapToGrid w:val="0"/>
      <w:spacing w:line="360" w:lineRule="auto"/>
      <w:ind w:firstLine="200" w:firstLineChars="200"/>
      <w:jc w:val="left"/>
    </w:pPr>
    <w:rPr>
      <w:rFonts w:ascii="宋体"/>
      <w:sz w:val="28"/>
      <w:szCs w:val="20"/>
    </w:rPr>
  </w:style>
  <w:style w:type="paragraph" w:customStyle="1" w:styleId="1689">
    <w:name w:val="xl200"/>
    <w:basedOn w:val="1"/>
    <w:autoRedefine/>
    <w:qFormat/>
    <w:uiPriority w:val="0"/>
    <w:pPr>
      <w:widowControl/>
      <w:pBdr>
        <w:top w:val="single" w:color="auto" w:sz="4" w:space="0"/>
        <w:lef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1690">
    <w:name w:val="表标题-leon"/>
    <w:basedOn w:val="1"/>
    <w:next w:val="1518"/>
    <w:autoRedefine/>
    <w:qFormat/>
    <w:uiPriority w:val="0"/>
    <w:pPr>
      <w:jc w:val="center"/>
    </w:pPr>
    <w:rPr>
      <w:b/>
      <w:sz w:val="24"/>
    </w:rPr>
  </w:style>
  <w:style w:type="paragraph" w:customStyle="1" w:styleId="1691">
    <w:name w:val="INDEX"/>
    <w:basedOn w:val="1"/>
    <w:autoRedefine/>
    <w:semiHidden/>
    <w:qFormat/>
    <w:uiPriority w:val="0"/>
    <w:pPr>
      <w:adjustRightInd w:val="0"/>
      <w:spacing w:line="360" w:lineRule="atLeast"/>
      <w:ind w:left="720" w:hanging="720"/>
      <w:jc w:val="left"/>
    </w:pPr>
    <w:rPr>
      <w:rFonts w:ascii="全真楷書" w:eastAsia="全真楷書" w:cs="Dutch801 Rm BT"/>
      <w:kern w:val="0"/>
      <w:sz w:val="24"/>
      <w:szCs w:val="20"/>
      <w:lang w:eastAsia="zh-TW"/>
    </w:rPr>
  </w:style>
  <w:style w:type="paragraph" w:customStyle="1" w:styleId="1692">
    <w:name w:val="码头表"/>
    <w:basedOn w:val="1"/>
    <w:autoRedefine/>
    <w:qFormat/>
    <w:uiPriority w:val="0"/>
    <w:pPr>
      <w:tabs>
        <w:tab w:val="left" w:pos="585"/>
        <w:tab w:val="center" w:pos="810"/>
      </w:tabs>
      <w:spacing w:line="360" w:lineRule="exact"/>
      <w:jc w:val="center"/>
    </w:pPr>
    <w:rPr>
      <w:rFonts w:eastAsia="楷体_GB2312"/>
      <w:kern w:val="0"/>
      <w:u w:color="000000"/>
    </w:rPr>
  </w:style>
  <w:style w:type="paragraph" w:customStyle="1" w:styleId="1693">
    <w:name w:val="正文仿宋"/>
    <w:basedOn w:val="1"/>
    <w:autoRedefine/>
    <w:qFormat/>
    <w:uiPriority w:val="0"/>
    <w:pPr>
      <w:adjustRightInd w:val="0"/>
      <w:snapToGrid w:val="0"/>
      <w:spacing w:line="360" w:lineRule="auto"/>
      <w:ind w:firstLine="567"/>
    </w:pPr>
    <w:rPr>
      <w:rFonts w:eastAsia="仿宋_GB2312"/>
      <w:snapToGrid w:val="0"/>
      <w:kern w:val="0"/>
      <w:sz w:val="24"/>
      <w:szCs w:val="20"/>
    </w:rPr>
  </w:style>
  <w:style w:type="paragraph" w:customStyle="1" w:styleId="1694">
    <w:name w:val="样式 标题 3标题 3 Char2标题 3 CharSottoparagrafo条标题1.1.1h3H3level...2"/>
    <w:basedOn w:val="7"/>
    <w:autoRedefine/>
    <w:qFormat/>
    <w:uiPriority w:val="0"/>
    <w:pPr>
      <w:tabs>
        <w:tab w:val="left" w:pos="1077"/>
      </w:tabs>
      <w:ind w:left="1077" w:hanging="357"/>
    </w:pPr>
    <w:rPr>
      <w:lang w:val="zh-CN"/>
    </w:rPr>
  </w:style>
  <w:style w:type="paragraph" w:customStyle="1" w:styleId="1695">
    <w:name w:val="图内表文字"/>
    <w:basedOn w:val="1"/>
    <w:autoRedefine/>
    <w:qFormat/>
    <w:uiPriority w:val="0"/>
    <w:pPr>
      <w:jc w:val="center"/>
    </w:pPr>
    <w:rPr>
      <w:b/>
      <w:color w:val="FF0000"/>
      <w:szCs w:val="21"/>
    </w:rPr>
  </w:style>
  <w:style w:type="paragraph" w:customStyle="1" w:styleId="1696">
    <w:name w:val="Char Char Char Char Char Char1 Char Char Char1 Char Char Char1 Char Char Char Char Char Char Char Char Char Char"/>
    <w:basedOn w:val="1"/>
    <w:next w:val="1"/>
    <w:autoRedefine/>
    <w:qFormat/>
    <w:uiPriority w:val="0"/>
    <w:pPr>
      <w:spacing w:line="360" w:lineRule="auto"/>
      <w:ind w:firstLine="200" w:firstLineChars="200"/>
    </w:pPr>
    <w:rPr>
      <w:rFonts w:ascii="宋体" w:hAnsi="宋体" w:cs="宋体"/>
      <w:sz w:val="24"/>
    </w:rPr>
  </w:style>
  <w:style w:type="paragraph" w:customStyle="1" w:styleId="1697">
    <w:name w:val="表注解"/>
    <w:basedOn w:val="1509"/>
    <w:next w:val="1509"/>
    <w:autoRedefine/>
    <w:qFormat/>
    <w:uiPriority w:val="0"/>
    <w:pPr>
      <w:tabs>
        <w:tab w:val="clear" w:pos="630"/>
        <w:tab w:val="clear" w:pos="1260"/>
      </w:tabs>
      <w:spacing w:line="240" w:lineRule="auto"/>
      <w:ind w:firstLine="0" w:firstLineChars="0"/>
    </w:pPr>
    <w:rPr>
      <w:b/>
      <w:sz w:val="18"/>
    </w:rPr>
  </w:style>
  <w:style w:type="paragraph" w:customStyle="1" w:styleId="1698">
    <w:name w:val="基准页脚样式"/>
    <w:basedOn w:val="1"/>
    <w:autoRedefine/>
    <w:qFormat/>
    <w:uiPriority w:val="0"/>
    <w:pPr>
      <w:widowControl/>
      <w:spacing w:before="240"/>
      <w:jc w:val="left"/>
    </w:pPr>
    <w:rPr>
      <w:rFonts w:ascii="Garamond" w:hAnsi="Garamond" w:eastAsia="Times New Roman"/>
      <w:kern w:val="0"/>
      <w:sz w:val="18"/>
      <w:szCs w:val="20"/>
    </w:rPr>
  </w:style>
  <w:style w:type="paragraph" w:customStyle="1" w:styleId="1699">
    <w:name w:val="style24"/>
    <w:basedOn w:val="1"/>
    <w:autoRedefine/>
    <w:qFormat/>
    <w:uiPriority w:val="0"/>
    <w:pPr>
      <w:widowControl/>
      <w:spacing w:before="100" w:beforeAutospacing="1" w:after="100" w:afterAutospacing="1"/>
      <w:jc w:val="left"/>
    </w:pPr>
    <w:rPr>
      <w:rFonts w:ascii="宋体" w:hAnsi="宋体" w:cs="宋体"/>
      <w:color w:val="000000"/>
      <w:kern w:val="0"/>
      <w:sz w:val="23"/>
      <w:szCs w:val="23"/>
    </w:rPr>
  </w:style>
  <w:style w:type="paragraph" w:customStyle="1" w:styleId="1700">
    <w:name w:val="样式  Char + 左  -0.01 字符"/>
    <w:basedOn w:val="9"/>
    <w:autoRedefine/>
    <w:qFormat/>
    <w:uiPriority w:val="0"/>
    <w:rPr>
      <w:rFonts w:ascii="等线 Light" w:hAnsi="等线 Light" w:eastAsia="等线 Light"/>
      <w:kern w:val="0"/>
      <w:lang w:val="zh-CN"/>
    </w:rPr>
  </w:style>
  <w:style w:type="paragraph" w:customStyle="1" w:styleId="1701">
    <w:name w:val="川岛插图"/>
    <w:basedOn w:val="1"/>
    <w:autoRedefine/>
    <w:qFormat/>
    <w:uiPriority w:val="0"/>
    <w:pPr>
      <w:spacing w:line="360" w:lineRule="auto"/>
      <w:ind w:firstLine="480" w:firstLineChars="200"/>
      <w:jc w:val="center"/>
    </w:pPr>
    <w:rPr>
      <w:color w:val="000000"/>
      <w:sz w:val="24"/>
      <w:szCs w:val="20"/>
    </w:rPr>
  </w:style>
  <w:style w:type="paragraph" w:customStyle="1" w:styleId="1702">
    <w:name w:val="a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703">
    <w:name w:val="正文四号缩进"/>
    <w:basedOn w:val="1"/>
    <w:autoRedefine/>
    <w:qFormat/>
    <w:uiPriority w:val="0"/>
    <w:pPr>
      <w:spacing w:afterLines="50"/>
      <w:ind w:firstLine="200" w:firstLineChars="200"/>
    </w:pPr>
    <w:rPr>
      <w:rFonts w:ascii="宋体"/>
      <w:spacing w:val="10"/>
      <w:sz w:val="24"/>
      <w:szCs w:val="28"/>
    </w:rPr>
  </w:style>
  <w:style w:type="paragraph" w:customStyle="1" w:styleId="1704">
    <w:name w:val="Char Char Char Char Char Char Char Char Char1"/>
    <w:basedOn w:val="1"/>
    <w:autoRedefine/>
    <w:qFormat/>
    <w:uiPriority w:val="0"/>
    <w:pPr>
      <w:snapToGrid w:val="0"/>
      <w:spacing w:line="360" w:lineRule="auto"/>
      <w:ind w:firstLine="529" w:firstLineChars="200"/>
    </w:pPr>
    <w:rPr>
      <w:rFonts w:ascii="宋体" w:hAnsi="宋体"/>
      <w:b/>
    </w:rPr>
  </w:style>
  <w:style w:type="paragraph" w:customStyle="1" w:styleId="1705">
    <w:name w:val="样式 仿宋_GB2312 四号 行距: 固定值 26 磅"/>
    <w:basedOn w:val="1"/>
    <w:autoRedefine/>
    <w:qFormat/>
    <w:uiPriority w:val="0"/>
    <w:pPr>
      <w:spacing w:line="360" w:lineRule="auto"/>
      <w:ind w:firstLine="200" w:firstLineChars="200"/>
    </w:pPr>
    <w:rPr>
      <w:rFonts w:ascii="仿宋_GB2312" w:hAnsi="宋体" w:eastAsia="仿宋_GB2312" w:cs="宋体"/>
      <w:sz w:val="28"/>
      <w:szCs w:val="20"/>
    </w:rPr>
  </w:style>
  <w:style w:type="paragraph" w:customStyle="1" w:styleId="1706">
    <w:name w:val="样式 表格 + 五号 右1"/>
    <w:basedOn w:val="155"/>
    <w:autoRedefine/>
    <w:qFormat/>
    <w:uiPriority w:val="0"/>
    <w:pPr>
      <w:keepNext/>
      <w:autoSpaceDE w:val="0"/>
      <w:autoSpaceDN w:val="0"/>
      <w:snapToGrid/>
      <w:spacing w:beforeLines="0" w:afterLines="0" w:line="240" w:lineRule="auto"/>
      <w:textAlignment w:val="baseline"/>
    </w:pPr>
    <w:rPr>
      <w:rFonts w:ascii="Times New Roman" w:cs="宋体"/>
      <w:kern w:val="2"/>
      <w:szCs w:val="22"/>
    </w:rPr>
  </w:style>
  <w:style w:type="paragraph" w:customStyle="1" w:styleId="1707">
    <w:name w:val="样式 正文缩进 + 首行缩进:  2 字符"/>
    <w:basedOn w:val="8"/>
    <w:autoRedefine/>
    <w:qFormat/>
    <w:uiPriority w:val="0"/>
    <w:rPr>
      <w:kern w:val="0"/>
      <w:sz w:val="20"/>
      <w:lang w:val="zh-CN"/>
    </w:rPr>
  </w:style>
  <w:style w:type="paragraph" w:customStyle="1" w:styleId="1708">
    <w:name w:val="Char Char Char Char Char Char1 Char Char Char1 Char Char Char1 Char Char Char Char Char Char Char Char Char Char1"/>
    <w:basedOn w:val="1"/>
    <w:next w:val="1"/>
    <w:autoRedefine/>
    <w:qFormat/>
    <w:uiPriority w:val="0"/>
    <w:pPr>
      <w:spacing w:line="360" w:lineRule="auto"/>
      <w:ind w:firstLine="200" w:firstLineChars="200"/>
    </w:pPr>
    <w:rPr>
      <w:rFonts w:ascii="宋体" w:hAnsi="宋体" w:cs="宋体"/>
      <w:sz w:val="24"/>
    </w:rPr>
  </w:style>
  <w:style w:type="paragraph" w:customStyle="1" w:styleId="1709">
    <w:name w:val="各级正文"/>
    <w:basedOn w:val="51"/>
    <w:autoRedefine/>
    <w:qFormat/>
    <w:uiPriority w:val="0"/>
    <w:pPr>
      <w:spacing w:after="0" w:line="360" w:lineRule="auto"/>
      <w:ind w:left="200"/>
    </w:pPr>
    <w:rPr>
      <w:rFonts w:ascii="Calibri" w:hAnsi="Calibri"/>
      <w:sz w:val="28"/>
    </w:rPr>
  </w:style>
  <w:style w:type="paragraph" w:customStyle="1" w:styleId="1710">
    <w:name w:val="工业统一题目"/>
    <w:basedOn w:val="1"/>
    <w:autoRedefine/>
    <w:qFormat/>
    <w:uiPriority w:val="0"/>
    <w:pPr>
      <w:adjustRightInd w:val="0"/>
      <w:snapToGrid w:val="0"/>
      <w:spacing w:line="360" w:lineRule="auto"/>
      <w:jc w:val="left"/>
    </w:pPr>
    <w:rPr>
      <w:rFonts w:ascii="宋体"/>
      <w:b/>
      <w:sz w:val="28"/>
      <w:szCs w:val="20"/>
    </w:rPr>
  </w:style>
  <w:style w:type="paragraph" w:customStyle="1" w:styleId="1711">
    <w:name w:val="图内文字"/>
    <w:basedOn w:val="1"/>
    <w:autoRedefine/>
    <w:qFormat/>
    <w:uiPriority w:val="0"/>
    <w:pPr>
      <w:spacing w:line="360" w:lineRule="auto"/>
      <w:jc w:val="center"/>
    </w:pPr>
    <w:rPr>
      <w:b/>
      <w:color w:val="000000"/>
      <w:szCs w:val="22"/>
    </w:rPr>
  </w:style>
  <w:style w:type="paragraph" w:customStyle="1" w:styleId="1712">
    <w:name w:val="样式 题注 + 首行缩进:  2 字符"/>
    <w:basedOn w:val="24"/>
    <w:autoRedefine/>
    <w:qFormat/>
    <w:uiPriority w:val="0"/>
    <w:pPr>
      <w:keepNext w:val="0"/>
      <w:widowControl w:val="0"/>
      <w:adjustRightInd/>
      <w:snapToGrid/>
      <w:spacing w:line="360" w:lineRule="auto"/>
      <w:ind w:firstLine="400" w:firstLineChars="200"/>
    </w:pPr>
    <w:rPr>
      <w:rFonts w:ascii="Arial" w:hAnsi="Arial" w:eastAsia="仿宋_GB2312" w:cs="宋体"/>
      <w:kern w:val="2"/>
      <w:sz w:val="20"/>
      <w:szCs w:val="20"/>
      <w:lang w:val="en-US"/>
    </w:rPr>
  </w:style>
  <w:style w:type="paragraph" w:customStyle="1" w:styleId="1713">
    <w:name w:val="正文内容"/>
    <w:basedOn w:val="1"/>
    <w:autoRedefine/>
    <w:semiHidden/>
    <w:qFormat/>
    <w:uiPriority w:val="0"/>
    <w:pPr>
      <w:adjustRightInd w:val="0"/>
      <w:snapToGrid w:val="0"/>
      <w:spacing w:line="360" w:lineRule="auto"/>
      <w:ind w:firstLine="510" w:firstLineChars="200"/>
      <w:jc w:val="left"/>
    </w:pPr>
    <w:rPr>
      <w:rFonts w:ascii="宋体" w:hAnsi="宋体" w:eastAsia="仿宋_GB2312"/>
      <w:snapToGrid w:val="0"/>
      <w:spacing w:val="4"/>
      <w:kern w:val="0"/>
      <w:sz w:val="24"/>
      <w:szCs w:val="20"/>
    </w:rPr>
  </w:style>
  <w:style w:type="paragraph" w:customStyle="1" w:styleId="1714">
    <w:name w:val="论文正文"/>
    <w:basedOn w:val="8"/>
    <w:autoRedefine/>
    <w:qFormat/>
    <w:uiPriority w:val="0"/>
    <w:rPr>
      <w:kern w:val="0"/>
      <w:sz w:val="20"/>
      <w:lang w:val="zh-CN"/>
    </w:rPr>
  </w:style>
  <w:style w:type="paragraph" w:customStyle="1" w:styleId="1715">
    <w:name w:val="样式 样式 正文文本 + 首行缩进:  2 字符 + 首行缩进:  2 字符"/>
    <w:basedOn w:val="1"/>
    <w:autoRedefine/>
    <w:qFormat/>
    <w:uiPriority w:val="0"/>
    <w:pPr>
      <w:widowControl/>
      <w:adjustRightInd w:val="0"/>
      <w:snapToGrid w:val="0"/>
      <w:spacing w:line="360" w:lineRule="auto"/>
      <w:ind w:firstLine="560" w:firstLineChars="200"/>
      <w:jc w:val="left"/>
    </w:pPr>
    <w:rPr>
      <w:rFonts w:ascii="宋体" w:hAnsi="宋体" w:cs="宋体"/>
      <w:smallCaps/>
      <w:sz w:val="28"/>
      <w:szCs w:val="20"/>
    </w:rPr>
  </w:style>
  <w:style w:type="character" w:customStyle="1" w:styleId="1716">
    <w:name w:val="表格文字 Char1"/>
    <w:autoRedefine/>
    <w:qFormat/>
    <w:uiPriority w:val="0"/>
    <w:rPr>
      <w:rFonts w:ascii="Times New Roman" w:hAnsi="Times New Roman" w:eastAsia="宋体" w:cs="Times New Roman"/>
      <w:sz w:val="24"/>
      <w:szCs w:val="20"/>
    </w:rPr>
  </w:style>
  <w:style w:type="paragraph" w:customStyle="1" w:styleId="1717">
    <w:name w:val="页眉页脚"/>
    <w:basedOn w:val="1"/>
    <w:autoRedefine/>
    <w:qFormat/>
    <w:uiPriority w:val="0"/>
    <w:pPr>
      <w:snapToGrid w:val="0"/>
      <w:jc w:val="center"/>
    </w:pPr>
    <w:rPr>
      <w:rFonts w:ascii="仿宋_GB2312" w:hAnsi="仿宋_GB2312" w:eastAsia="仿宋_GB2312"/>
      <w:sz w:val="18"/>
      <w:szCs w:val="21"/>
    </w:rPr>
  </w:style>
  <w:style w:type="paragraph" w:customStyle="1" w:styleId="1718">
    <w:name w:val="环评三级标题"/>
    <w:basedOn w:val="1"/>
    <w:next w:val="1"/>
    <w:autoRedefine/>
    <w:qFormat/>
    <w:uiPriority w:val="0"/>
    <w:pPr>
      <w:tabs>
        <w:tab w:val="left" w:pos="900"/>
      </w:tabs>
      <w:spacing w:line="520" w:lineRule="exact"/>
      <w:jc w:val="left"/>
      <w:outlineLvl w:val="2"/>
    </w:pPr>
    <w:rPr>
      <w:rFonts w:eastAsia="楷体_GB2312"/>
      <w:b/>
      <w:sz w:val="28"/>
      <w:szCs w:val="22"/>
    </w:rPr>
  </w:style>
  <w:style w:type="paragraph" w:customStyle="1" w:styleId="1719">
    <w:name w:val="环评一级标题"/>
    <w:basedOn w:val="1"/>
    <w:next w:val="54"/>
    <w:autoRedefine/>
    <w:qFormat/>
    <w:uiPriority w:val="0"/>
    <w:pPr>
      <w:tabs>
        <w:tab w:val="left" w:pos="4540"/>
      </w:tabs>
      <w:spacing w:before="312" w:after="312"/>
      <w:jc w:val="center"/>
      <w:outlineLvl w:val="0"/>
    </w:pPr>
    <w:rPr>
      <w:rFonts w:eastAsia="黑体"/>
      <w:b/>
      <w:sz w:val="44"/>
      <w:szCs w:val="22"/>
      <w:lang w:val="zh-CN"/>
    </w:rPr>
  </w:style>
  <w:style w:type="paragraph" w:customStyle="1" w:styleId="1720">
    <w:name w:val="环境预案正文"/>
    <w:basedOn w:val="1"/>
    <w:link w:val="1721"/>
    <w:autoRedefine/>
    <w:qFormat/>
    <w:uiPriority w:val="0"/>
    <w:pPr>
      <w:tabs>
        <w:tab w:val="left" w:pos="4540"/>
      </w:tabs>
      <w:ind w:firstLine="200" w:firstLineChars="200"/>
    </w:pPr>
    <w:rPr>
      <w:rFonts w:eastAsia="仿宋_GB2312"/>
      <w:sz w:val="28"/>
      <w:szCs w:val="20"/>
      <w:lang w:val="zh-CN"/>
    </w:rPr>
  </w:style>
  <w:style w:type="character" w:customStyle="1" w:styleId="1721">
    <w:name w:val="环境预案正文 Char"/>
    <w:link w:val="1720"/>
    <w:autoRedefine/>
    <w:qFormat/>
    <w:uiPriority w:val="0"/>
    <w:rPr>
      <w:rFonts w:eastAsia="仿宋_GB2312"/>
      <w:kern w:val="2"/>
      <w:sz w:val="28"/>
      <w:lang w:val="zh-CN" w:eastAsia="zh-CN"/>
    </w:rPr>
  </w:style>
  <w:style w:type="character" w:customStyle="1" w:styleId="1722">
    <w:name w:val="页眉2. Char"/>
    <w:autoRedefine/>
    <w:qFormat/>
    <w:uiPriority w:val="99"/>
    <w:rPr>
      <w:rFonts w:ascii="Times New Roman" w:hAnsi="Times New Roman" w:eastAsia="宋体" w:cs="Times New Roman"/>
      <w:sz w:val="18"/>
      <w:szCs w:val="18"/>
    </w:rPr>
  </w:style>
  <w:style w:type="character" w:customStyle="1" w:styleId="1723">
    <w:name w:val="Plain Text Char1 Char Char Char1"/>
    <w:autoRedefine/>
    <w:qFormat/>
    <w:uiPriority w:val="0"/>
    <w:rPr>
      <w:rFonts w:ascii="宋体" w:hAnsi="Courier New" w:eastAsia="宋体" w:cs="Courier New"/>
      <w:szCs w:val="21"/>
    </w:rPr>
  </w:style>
  <w:style w:type="paragraph" w:customStyle="1" w:styleId="1724">
    <w:name w:val="样式11111"/>
    <w:basedOn w:val="38"/>
    <w:autoRedefine/>
    <w:qFormat/>
    <w:uiPriority w:val="0"/>
    <w:pPr>
      <w:spacing w:line="300" w:lineRule="exact"/>
      <w:ind w:left="0" w:leftChars="0" w:firstLine="0" w:firstLineChars="0"/>
    </w:pPr>
    <w:rPr>
      <w:rFonts w:ascii="宋体" w:hAnsi="宋体"/>
      <w:szCs w:val="21"/>
    </w:rPr>
  </w:style>
  <w:style w:type="character" w:customStyle="1" w:styleId="1725">
    <w:name w:val="unnamed3"/>
    <w:autoRedefine/>
    <w:qFormat/>
    <w:uiPriority w:val="0"/>
  </w:style>
  <w:style w:type="paragraph" w:customStyle="1" w:styleId="1726">
    <w:name w:val="Char Char Char21"/>
    <w:basedOn w:val="1"/>
    <w:autoRedefine/>
    <w:qFormat/>
    <w:uiPriority w:val="0"/>
    <w:rPr>
      <w:sz w:val="24"/>
    </w:rPr>
  </w:style>
  <w:style w:type="character" w:customStyle="1" w:styleId="1727">
    <w:name w:val="信息标题 Char1"/>
    <w:autoRedefine/>
    <w:semiHidden/>
    <w:qFormat/>
    <w:uiPriority w:val="0"/>
    <w:rPr>
      <w:rFonts w:ascii="Cambria" w:hAnsi="Cambria" w:eastAsia="宋体" w:cs="Times New Roman"/>
      <w:kern w:val="2"/>
      <w:sz w:val="24"/>
      <w:szCs w:val="24"/>
      <w:shd w:val="pct20" w:color="auto" w:fill="auto"/>
    </w:rPr>
  </w:style>
  <w:style w:type="character" w:customStyle="1" w:styleId="1728">
    <w:name w:val="Char21"/>
    <w:autoRedefine/>
    <w:qFormat/>
    <w:uiPriority w:val="0"/>
    <w:rPr>
      <w:rFonts w:hint="eastAsia" w:ascii="黑体" w:eastAsia="黑体"/>
      <w:kern w:val="44"/>
      <w:sz w:val="44"/>
      <w:lang w:val="en-US" w:eastAsia="zh-CN" w:bidi="ar-SA"/>
    </w:rPr>
  </w:style>
  <w:style w:type="character" w:customStyle="1" w:styleId="1729">
    <w:name w:val="电子邮件签名 Char1"/>
    <w:autoRedefine/>
    <w:semiHidden/>
    <w:qFormat/>
    <w:uiPriority w:val="0"/>
    <w:rPr>
      <w:kern w:val="2"/>
      <w:sz w:val="21"/>
      <w:szCs w:val="24"/>
    </w:rPr>
  </w:style>
  <w:style w:type="character" w:customStyle="1" w:styleId="1730">
    <w:name w:val="结束语 Char1"/>
    <w:autoRedefine/>
    <w:qFormat/>
    <w:uiPriority w:val="0"/>
    <w:rPr>
      <w:kern w:val="2"/>
      <w:sz w:val="21"/>
      <w:szCs w:val="24"/>
    </w:rPr>
  </w:style>
  <w:style w:type="character" w:customStyle="1" w:styleId="1731">
    <w:name w:val="签名 Char1"/>
    <w:autoRedefine/>
    <w:semiHidden/>
    <w:qFormat/>
    <w:uiPriority w:val="0"/>
    <w:rPr>
      <w:kern w:val="2"/>
      <w:sz w:val="21"/>
      <w:szCs w:val="24"/>
    </w:rPr>
  </w:style>
  <w:style w:type="character" w:customStyle="1" w:styleId="1732">
    <w:name w:val="副标题 Char1"/>
    <w:autoRedefine/>
    <w:qFormat/>
    <w:uiPriority w:val="0"/>
    <w:rPr>
      <w:rFonts w:ascii="Cambria" w:hAnsi="Cambria" w:cs="Times New Roman"/>
      <w:b/>
      <w:bCs/>
      <w:kern w:val="28"/>
      <w:sz w:val="32"/>
      <w:szCs w:val="32"/>
    </w:rPr>
  </w:style>
  <w:style w:type="character" w:customStyle="1" w:styleId="1733">
    <w:name w:val="正文首行缩进 2 Char1"/>
    <w:autoRedefine/>
    <w:qFormat/>
    <w:uiPriority w:val="0"/>
    <w:rPr>
      <w:rFonts w:ascii="Times New Roman" w:hAnsi="Times New Roman" w:eastAsia="宋体" w:cs="Times New Roman"/>
      <w:kern w:val="2"/>
      <w:sz w:val="21"/>
      <w:szCs w:val="24"/>
    </w:rPr>
  </w:style>
  <w:style w:type="character" w:customStyle="1" w:styleId="1734">
    <w:name w:val="lemmatitleh12"/>
    <w:autoRedefine/>
    <w:qFormat/>
    <w:uiPriority w:val="0"/>
  </w:style>
  <w:style w:type="paragraph" w:customStyle="1" w:styleId="1735">
    <w:name w:val="样式 列表 + 左侧:  0 厘米 悬挂缩进: 2 字符"/>
    <w:basedOn w:val="66"/>
    <w:autoRedefine/>
    <w:qFormat/>
    <w:uiPriority w:val="0"/>
  </w:style>
  <w:style w:type="paragraph" w:customStyle="1" w:styleId="1736">
    <w:name w:val="wtext"/>
    <w:basedOn w:val="1"/>
    <w:autoRedefine/>
    <w:qFormat/>
    <w:uiPriority w:val="0"/>
    <w:pPr>
      <w:widowControl/>
      <w:spacing w:before="100" w:beforeAutospacing="1" w:after="100" w:afterAutospacing="1"/>
      <w:ind w:firstLine="480"/>
      <w:jc w:val="left"/>
    </w:pPr>
    <w:rPr>
      <w:rFonts w:ascii="仿宋_GB2312" w:hAnsi="仿宋_GB2312" w:eastAsia="Arial Unicode MS" w:cs="Arial Unicode MS"/>
      <w:color w:val="000000"/>
      <w:kern w:val="0"/>
      <w:sz w:val="22"/>
      <w:szCs w:val="22"/>
    </w:rPr>
  </w:style>
  <w:style w:type="paragraph" w:customStyle="1" w:styleId="1737">
    <w:name w:val="文本123"/>
    <w:basedOn w:val="8"/>
    <w:autoRedefine/>
    <w:qFormat/>
    <w:uiPriority w:val="0"/>
    <w:rPr>
      <w:kern w:val="0"/>
      <w:sz w:val="20"/>
      <w:lang w:val="zh-CN"/>
    </w:rPr>
  </w:style>
  <w:style w:type="paragraph" w:customStyle="1" w:styleId="1738">
    <w:name w:val="条文"/>
    <w:basedOn w:val="10"/>
    <w:next w:val="1"/>
    <w:autoRedefine/>
    <w:qFormat/>
    <w:uiPriority w:val="0"/>
  </w:style>
  <w:style w:type="paragraph" w:customStyle="1" w:styleId="1739">
    <w:name w:val="条1"/>
    <w:basedOn w:val="6"/>
    <w:autoRedefine/>
    <w:qFormat/>
    <w:uiPriority w:val="0"/>
    <w:pPr>
      <w:tabs>
        <w:tab w:val="left" w:pos="720"/>
      </w:tabs>
      <w:ind w:left="720" w:hanging="363"/>
    </w:pPr>
    <w:rPr>
      <w:kern w:val="0"/>
      <w:lang w:val="zh-CN"/>
    </w:rPr>
  </w:style>
  <w:style w:type="paragraph" w:customStyle="1" w:styleId="1740">
    <w:name w:val="标题0"/>
    <w:basedOn w:val="1"/>
    <w:next w:val="1"/>
    <w:autoRedefine/>
    <w:qFormat/>
    <w:uiPriority w:val="0"/>
    <w:pPr>
      <w:spacing w:before="200" w:after="200" w:line="240" w:lineRule="atLeast"/>
      <w:jc w:val="center"/>
    </w:pPr>
    <w:rPr>
      <w:rFonts w:eastAsia="黑体"/>
      <w:color w:val="000000"/>
      <w:sz w:val="44"/>
      <w:szCs w:val="20"/>
    </w:rPr>
  </w:style>
  <w:style w:type="paragraph" w:customStyle="1" w:styleId="1741">
    <w:name w:val="z表格文字"/>
    <w:basedOn w:val="1"/>
    <w:autoRedefine/>
    <w:qFormat/>
    <w:uiPriority w:val="0"/>
    <w:pPr>
      <w:tabs>
        <w:tab w:val="left" w:pos="1155"/>
        <w:tab w:val="left" w:pos="2625"/>
      </w:tabs>
      <w:adjustRightInd w:val="0"/>
      <w:snapToGrid w:val="0"/>
      <w:ind w:left="210"/>
      <w:jc w:val="center"/>
    </w:pPr>
    <w:rPr>
      <w:rFonts w:ascii="文鼎CS书宋二"/>
      <w:color w:val="000000"/>
      <w:kern w:val="48"/>
      <w:position w:val="-8"/>
      <w:sz w:val="24"/>
      <w:szCs w:val="20"/>
    </w:rPr>
  </w:style>
  <w:style w:type="paragraph" w:customStyle="1" w:styleId="1742">
    <w:name w:val="Z标题-0"/>
    <w:basedOn w:val="84"/>
    <w:autoRedefine/>
    <w:qFormat/>
    <w:uiPriority w:val="0"/>
    <w:pPr>
      <w:widowControl w:val="0"/>
      <w:spacing w:before="0" w:after="0" w:line="240" w:lineRule="auto"/>
      <w:ind w:right="2319"/>
      <w:jc w:val="right"/>
    </w:pPr>
    <w:rPr>
      <w:rFonts w:ascii="宋体" w:hAnsi="Times New Roman" w:eastAsia="宋体" w:cs="Times New Roman"/>
      <w:b w:val="0"/>
      <w:bCs w:val="0"/>
      <w:color w:val="000000"/>
      <w:szCs w:val="20"/>
      <w:lang w:val="zh-CN"/>
    </w:rPr>
  </w:style>
  <w:style w:type="paragraph" w:customStyle="1" w:styleId="1743">
    <w:name w:val="三级"/>
    <w:basedOn w:val="7"/>
    <w:next w:val="1"/>
    <w:autoRedefine/>
    <w:qFormat/>
    <w:uiPriority w:val="0"/>
    <w:pPr>
      <w:tabs>
        <w:tab w:val="left" w:pos="1077"/>
      </w:tabs>
      <w:ind w:left="1077" w:hanging="357"/>
    </w:pPr>
    <w:rPr>
      <w:lang w:val="zh-CN"/>
    </w:rPr>
  </w:style>
  <w:style w:type="paragraph" w:customStyle="1" w:styleId="1744">
    <w:name w:val="样式 首行缩进:  0.93 厘米"/>
    <w:basedOn w:val="1"/>
    <w:autoRedefine/>
    <w:qFormat/>
    <w:uiPriority w:val="0"/>
    <w:pPr>
      <w:widowControl/>
      <w:spacing w:line="500" w:lineRule="exact"/>
      <w:ind w:firstLine="528"/>
      <w:jc w:val="left"/>
    </w:pPr>
    <w:rPr>
      <w:rFonts w:ascii="仿宋_GB2312" w:eastAsia="仿宋_GB2312"/>
      <w:kern w:val="28"/>
      <w:sz w:val="28"/>
      <w:szCs w:val="28"/>
    </w:rPr>
  </w:style>
  <w:style w:type="character" w:customStyle="1" w:styleId="1745">
    <w:name w:val="hangju1"/>
    <w:autoRedefine/>
    <w:qFormat/>
    <w:uiPriority w:val="0"/>
  </w:style>
  <w:style w:type="paragraph" w:customStyle="1" w:styleId="1746">
    <w:name w:val="一级"/>
    <w:basedOn w:val="5"/>
    <w:next w:val="1"/>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747">
    <w:name w:val="二级"/>
    <w:basedOn w:val="6"/>
    <w:next w:val="1"/>
    <w:autoRedefine/>
    <w:qFormat/>
    <w:uiPriority w:val="0"/>
    <w:pPr>
      <w:tabs>
        <w:tab w:val="left" w:pos="720"/>
      </w:tabs>
      <w:ind w:left="720" w:hanging="363"/>
    </w:pPr>
    <w:rPr>
      <w:kern w:val="0"/>
      <w:lang w:val="zh-CN"/>
    </w:rPr>
  </w:style>
  <w:style w:type="paragraph" w:customStyle="1" w:styleId="1748">
    <w:name w:val="样式 一级 + 段前: 1 行 段后: 1 行"/>
    <w:basedOn w:val="1746"/>
    <w:autoRedefine/>
    <w:qFormat/>
    <w:uiPriority w:val="0"/>
    <w:pPr>
      <w:keepNext w:val="0"/>
      <w:tabs>
        <w:tab w:val="clear" w:pos="360"/>
      </w:tabs>
      <w:ind w:left="0" w:firstLine="200" w:firstLineChars="200"/>
      <w:outlineLvl w:val="9"/>
    </w:pPr>
    <w:rPr>
      <w:kern w:val="2"/>
      <w:sz w:val="28"/>
      <w:szCs w:val="28"/>
      <w:lang w:val="en-US"/>
    </w:rPr>
  </w:style>
  <w:style w:type="paragraph" w:customStyle="1" w:styleId="1749">
    <w:name w:val="样式 样式 首行缩进:  2 字符 + 居中"/>
    <w:basedOn w:val="436"/>
    <w:autoRedefine/>
    <w:qFormat/>
    <w:uiPriority w:val="0"/>
    <w:pPr>
      <w:spacing w:line="240" w:lineRule="auto"/>
      <w:ind w:firstLine="0" w:firstLineChars="0"/>
    </w:pPr>
    <w:rPr>
      <w:rFonts w:ascii="Times New Roman"/>
      <w:sz w:val="21"/>
      <w:szCs w:val="24"/>
      <w:lang w:val="zh-CN"/>
    </w:rPr>
  </w:style>
  <w:style w:type="paragraph" w:customStyle="1" w:styleId="1750">
    <w:name w:val="样式 三级 + 段前: 12 磅 段后: 12 磅"/>
    <w:basedOn w:val="1743"/>
    <w:autoRedefine/>
    <w:qFormat/>
    <w:uiPriority w:val="0"/>
    <w:pPr>
      <w:keepNext w:val="0"/>
      <w:keepLines w:val="0"/>
      <w:adjustRightInd/>
      <w:spacing w:before="0" w:line="360" w:lineRule="auto"/>
      <w:ind w:firstLine="482"/>
      <w:jc w:val="both"/>
      <w:textAlignment w:val="auto"/>
      <w:outlineLvl w:val="9"/>
    </w:pPr>
    <w:rPr>
      <w:rFonts w:ascii="宋体" w:hAnsi="Times New Roman" w:eastAsia="宋体" w:cs="宋体"/>
      <w:kern w:val="2"/>
      <w:sz w:val="24"/>
      <w:szCs w:val="24"/>
      <w:lang w:val="en-US"/>
    </w:rPr>
  </w:style>
  <w:style w:type="paragraph" w:customStyle="1" w:styleId="1751">
    <w:name w:val="样式 样式 三级 + 段前: 12 磅 段后: 12 磅 + 右侧:  1 字符"/>
    <w:basedOn w:val="7"/>
    <w:next w:val="1"/>
    <w:autoRedefine/>
    <w:qFormat/>
    <w:uiPriority w:val="0"/>
    <w:pPr>
      <w:tabs>
        <w:tab w:val="left" w:pos="1077"/>
      </w:tabs>
      <w:ind w:left="1077" w:hanging="357"/>
    </w:pPr>
    <w:rPr>
      <w:lang w:val="zh-CN"/>
    </w:rPr>
  </w:style>
  <w:style w:type="paragraph" w:customStyle="1" w:styleId="1752">
    <w:name w:val="Char2 Char Char Char Char Char Char Char Char 字元 字元 Char Char Char"/>
    <w:basedOn w:val="1"/>
    <w:autoRedefine/>
    <w:qFormat/>
    <w:uiPriority w:val="0"/>
    <w:rPr>
      <w:sz w:val="24"/>
    </w:rPr>
  </w:style>
  <w:style w:type="paragraph" w:customStyle="1" w:styleId="1753">
    <w:name w:val="Char2 Char Char Char"/>
    <w:basedOn w:val="1"/>
    <w:autoRedefine/>
    <w:qFormat/>
    <w:uiPriority w:val="0"/>
    <w:rPr>
      <w:sz w:val="24"/>
    </w:rPr>
  </w:style>
  <w:style w:type="paragraph" w:customStyle="1" w:styleId="1754">
    <w:name w:val="Char424"/>
    <w:basedOn w:val="1"/>
    <w:autoRedefine/>
    <w:qFormat/>
    <w:uiPriority w:val="0"/>
    <w:rPr>
      <w:sz w:val="24"/>
    </w:rPr>
  </w:style>
  <w:style w:type="paragraph" w:customStyle="1" w:styleId="1755">
    <w:name w:val="样式 表题 +"/>
    <w:basedOn w:val="380"/>
    <w:autoRedefine/>
    <w:qFormat/>
    <w:uiPriority w:val="0"/>
    <w:pPr>
      <w:tabs>
        <w:tab w:val="left" w:pos="425"/>
        <w:tab w:val="left" w:pos="1134"/>
      </w:tabs>
      <w:spacing w:before="120" w:beforeLines="0" w:line="240" w:lineRule="auto"/>
    </w:pPr>
    <w:rPr>
      <w:rFonts w:ascii="仿宋_GB2312" w:cs="宋体"/>
      <w:b w:val="0"/>
      <w:bCs/>
      <w:szCs w:val="28"/>
    </w:rPr>
  </w:style>
  <w:style w:type="paragraph" w:customStyle="1" w:styleId="1756">
    <w:name w:val="样式 样式 标题 1章标题章节H1NMP Heading 1Section HeadHeader1h11st leve... +..."/>
    <w:basedOn w:val="1"/>
    <w:autoRedefine/>
    <w:qFormat/>
    <w:uiPriority w:val="0"/>
    <w:pPr>
      <w:keepNext/>
      <w:spacing w:before="240" w:beforeLines="100" w:after="240" w:afterLines="100" w:line="480" w:lineRule="exact"/>
      <w:outlineLvl w:val="0"/>
    </w:pPr>
    <w:rPr>
      <w:rFonts w:ascii="仿宋_GB2312" w:hAnsi="宋体" w:eastAsia="仿宋_GB2312"/>
      <w:b/>
      <w:bCs/>
      <w:sz w:val="30"/>
      <w:szCs w:val="30"/>
    </w:rPr>
  </w:style>
  <w:style w:type="paragraph" w:customStyle="1" w:styleId="1757">
    <w:name w:val="方框图"/>
    <w:basedOn w:val="1"/>
    <w:autoRedefine/>
    <w:qFormat/>
    <w:uiPriority w:val="0"/>
    <w:pPr>
      <w:spacing w:line="240" w:lineRule="exact"/>
      <w:jc w:val="center"/>
    </w:pPr>
    <w:rPr>
      <w:rFonts w:eastAsia="方正仿宋_GBK"/>
    </w:rPr>
  </w:style>
  <w:style w:type="character" w:customStyle="1" w:styleId="1758">
    <w:name w:val="qqq1"/>
    <w:autoRedefine/>
    <w:qFormat/>
    <w:uiPriority w:val="0"/>
    <w:rPr>
      <w:color w:val="527594"/>
      <w:sz w:val="18"/>
      <w:szCs w:val="18"/>
    </w:rPr>
  </w:style>
  <w:style w:type="paragraph" w:customStyle="1" w:styleId="1759">
    <w:name w:val="Char2 Char Char Char3"/>
    <w:basedOn w:val="1"/>
    <w:autoRedefine/>
    <w:qFormat/>
    <w:uiPriority w:val="0"/>
    <w:pPr>
      <w:tabs>
        <w:tab w:val="left" w:pos="0"/>
      </w:tabs>
      <w:spacing w:line="560" w:lineRule="exact"/>
      <w:ind w:firstLine="200" w:firstLineChars="200"/>
    </w:pPr>
    <w:rPr>
      <w:rFonts w:eastAsia="仿宋_GB2312"/>
      <w:spacing w:val="12"/>
      <w:sz w:val="24"/>
      <w:szCs w:val="28"/>
    </w:rPr>
  </w:style>
  <w:style w:type="paragraph" w:customStyle="1" w:styleId="1760">
    <w:name w:val="Char1 Char Char Char Char Char Char"/>
    <w:basedOn w:val="1"/>
    <w:autoRedefine/>
    <w:qFormat/>
    <w:uiPriority w:val="0"/>
    <w:rPr>
      <w:sz w:val="24"/>
    </w:rPr>
  </w:style>
  <w:style w:type="paragraph" w:customStyle="1" w:styleId="1761">
    <w:name w:val="Char Char Char Char Char Char Char Char Char Char Char Char Char Char Char Char Char Char Char Char Char Char Char Char Char Char Char Char Char Char Char Char Char Char Char Char Char Char Char Char2"/>
    <w:basedOn w:val="1"/>
    <w:autoRedefine/>
    <w:qFormat/>
    <w:uiPriority w:val="0"/>
    <w:rPr>
      <w:sz w:val="24"/>
    </w:rPr>
  </w:style>
  <w:style w:type="character" w:customStyle="1" w:styleId="1762">
    <w:name w:val="7 Char"/>
    <w:link w:val="879"/>
    <w:autoRedefine/>
    <w:qFormat/>
    <w:uiPriority w:val="0"/>
    <w:rPr>
      <w:rFonts w:ascii="宋体" w:hAnsi="宋体"/>
      <w:kern w:val="2"/>
      <w:sz w:val="28"/>
      <w:szCs w:val="24"/>
    </w:rPr>
  </w:style>
  <w:style w:type="paragraph" w:customStyle="1" w:styleId="1763">
    <w:name w:val="ISO标题3"/>
    <w:basedOn w:val="1"/>
    <w:autoRedefine/>
    <w:qFormat/>
    <w:uiPriority w:val="0"/>
    <w:pPr>
      <w:widowControl/>
      <w:tabs>
        <w:tab w:val="left" w:pos="360"/>
        <w:tab w:val="left" w:pos="840"/>
        <w:tab w:val="left" w:pos="1260"/>
      </w:tabs>
      <w:autoSpaceDE w:val="0"/>
      <w:autoSpaceDN w:val="0"/>
      <w:adjustRightInd w:val="0"/>
      <w:ind w:left="1260" w:hanging="420"/>
      <w:jc w:val="left"/>
      <w:outlineLvl w:val="2"/>
    </w:pPr>
    <w:rPr>
      <w:rFonts w:ascii="宋体" w:hAnsi="宋体"/>
      <w:color w:val="000000"/>
      <w:kern w:val="0"/>
      <w:sz w:val="24"/>
    </w:rPr>
  </w:style>
  <w:style w:type="paragraph" w:customStyle="1" w:styleId="1764">
    <w:name w:val="Char2 Char Char Char Char Char Char Char Char Char Char Char Char"/>
    <w:basedOn w:val="1"/>
    <w:autoRedefine/>
    <w:qFormat/>
    <w:uiPriority w:val="0"/>
    <w:rPr>
      <w:sz w:val="24"/>
    </w:rPr>
  </w:style>
  <w:style w:type="paragraph" w:customStyle="1" w:styleId="1765">
    <w:name w:val="7表格(治)"/>
    <w:autoRedefine/>
    <w:qFormat/>
    <w:uiPriority w:val="0"/>
    <w:pPr>
      <w:spacing w:line="400" w:lineRule="atLeast"/>
      <w:jc w:val="center"/>
    </w:pPr>
    <w:rPr>
      <w:rFonts w:hint="eastAsia" w:ascii="宋体" w:hAnsi="宋体" w:eastAsia="宋体" w:cs="Times New Roman"/>
      <w:sz w:val="21"/>
      <w:lang w:val="en-US" w:eastAsia="zh-CN" w:bidi="ar-SA"/>
    </w:rPr>
  </w:style>
  <w:style w:type="character" w:customStyle="1" w:styleId="1766">
    <w:name w:val="正文(首行缩进) Char"/>
    <w:link w:val="410"/>
    <w:autoRedefine/>
    <w:qFormat/>
    <w:uiPriority w:val="0"/>
    <w:rPr>
      <w:rFonts w:ascii="宋体" w:hAnsi="宋体"/>
      <w:snapToGrid w:val="0"/>
      <w:kern w:val="2"/>
      <w:sz w:val="24"/>
      <w:szCs w:val="24"/>
    </w:rPr>
  </w:style>
  <w:style w:type="paragraph" w:customStyle="1" w:styleId="1767">
    <w:name w:val="Char510"/>
    <w:basedOn w:val="1"/>
    <w:autoRedefine/>
    <w:qFormat/>
    <w:uiPriority w:val="0"/>
  </w:style>
  <w:style w:type="character" w:customStyle="1" w:styleId="1768">
    <w:name w:val="图文框 Char Char"/>
    <w:autoRedefine/>
    <w:qFormat/>
    <w:uiPriority w:val="0"/>
    <w:rPr>
      <w:rFonts w:ascii="宋体" w:eastAsia="宋体"/>
      <w:color w:val="000000"/>
      <w:kern w:val="28"/>
      <w:sz w:val="21"/>
      <w:lang w:val="en-US" w:eastAsia="zh-CN" w:bidi="ar-SA"/>
    </w:rPr>
  </w:style>
  <w:style w:type="character" w:customStyle="1" w:styleId="1769">
    <w:name w:val="正文－1.5行距－段后6磅 Char"/>
    <w:link w:val="1770"/>
    <w:autoRedefine/>
    <w:qFormat/>
    <w:uiPriority w:val="0"/>
    <w:rPr>
      <w:rFonts w:cs="宋体"/>
      <w:b/>
      <w:spacing w:val="4"/>
      <w:sz w:val="24"/>
      <w:szCs w:val="21"/>
    </w:rPr>
  </w:style>
  <w:style w:type="paragraph" w:customStyle="1" w:styleId="1770">
    <w:name w:val="正文－1.5行距－段后6磅"/>
    <w:basedOn w:val="1"/>
    <w:link w:val="1769"/>
    <w:autoRedefine/>
    <w:qFormat/>
    <w:uiPriority w:val="0"/>
    <w:pPr>
      <w:spacing w:after="120" w:line="360" w:lineRule="auto"/>
      <w:ind w:firstLine="200" w:firstLineChars="200"/>
    </w:pPr>
    <w:rPr>
      <w:rFonts w:cs="宋体"/>
      <w:b/>
      <w:spacing w:val="4"/>
      <w:kern w:val="0"/>
      <w:sz w:val="24"/>
      <w:szCs w:val="21"/>
    </w:rPr>
  </w:style>
  <w:style w:type="paragraph" w:customStyle="1" w:styleId="1771">
    <w:name w:val="样式 四号 左 行距: 1.5 倍行距 首行缩进:  2 字符"/>
    <w:basedOn w:val="1"/>
    <w:autoRedefine/>
    <w:qFormat/>
    <w:uiPriority w:val="0"/>
    <w:pPr>
      <w:spacing w:line="360" w:lineRule="auto"/>
      <w:ind w:firstLine="560" w:firstLineChars="200"/>
      <w:jc w:val="left"/>
    </w:pPr>
    <w:rPr>
      <w:rFonts w:cs="宋体"/>
      <w:sz w:val="24"/>
      <w:szCs w:val="20"/>
    </w:rPr>
  </w:style>
  <w:style w:type="paragraph" w:customStyle="1" w:styleId="1772">
    <w:name w:val="Char2 Char Char Char Char Char Char Char Char 字元 字元 Char Char Char1"/>
    <w:basedOn w:val="1"/>
    <w:autoRedefine/>
    <w:qFormat/>
    <w:uiPriority w:val="0"/>
    <w:rPr>
      <w:sz w:val="24"/>
    </w:rPr>
  </w:style>
  <w:style w:type="paragraph" w:customStyle="1" w:styleId="1773">
    <w:name w:val="Char2 Char Char Char2"/>
    <w:basedOn w:val="1"/>
    <w:autoRedefine/>
    <w:qFormat/>
    <w:uiPriority w:val="0"/>
    <w:rPr>
      <w:sz w:val="24"/>
    </w:rPr>
  </w:style>
  <w:style w:type="paragraph" w:customStyle="1" w:styleId="1774">
    <w:name w:val="Char2 Char Char Char31"/>
    <w:basedOn w:val="1"/>
    <w:autoRedefine/>
    <w:qFormat/>
    <w:uiPriority w:val="0"/>
    <w:pPr>
      <w:tabs>
        <w:tab w:val="left" w:pos="0"/>
      </w:tabs>
      <w:spacing w:line="560" w:lineRule="exact"/>
      <w:ind w:firstLine="200" w:firstLineChars="200"/>
    </w:pPr>
    <w:rPr>
      <w:rFonts w:eastAsia="仿宋_GB2312"/>
      <w:spacing w:val="12"/>
      <w:sz w:val="24"/>
      <w:szCs w:val="28"/>
    </w:rPr>
  </w:style>
  <w:style w:type="paragraph" w:customStyle="1" w:styleId="1775">
    <w:name w:val="Char1 Char Char Char Char Char Char1"/>
    <w:basedOn w:val="1"/>
    <w:autoRedefine/>
    <w:qFormat/>
    <w:uiPriority w:val="0"/>
    <w:rPr>
      <w:sz w:val="24"/>
    </w:rPr>
  </w:style>
  <w:style w:type="paragraph" w:customStyle="1" w:styleId="1776">
    <w:name w:val="Char2 Char Char Char Char Char Char Char Char Char Char Char Char1"/>
    <w:basedOn w:val="1"/>
    <w:autoRedefine/>
    <w:qFormat/>
    <w:uiPriority w:val="0"/>
    <w:rPr>
      <w:sz w:val="24"/>
    </w:rPr>
  </w:style>
  <w:style w:type="paragraph" w:customStyle="1" w:styleId="1777">
    <w:name w:val="album-div1"/>
    <w:basedOn w:val="1"/>
    <w:autoRedefine/>
    <w:qFormat/>
    <w:uiPriority w:val="0"/>
    <w:pPr>
      <w:widowControl/>
      <w:shd w:val="clear" w:color="auto" w:fill="FFFFFF"/>
      <w:spacing w:before="100" w:beforeAutospacing="1" w:after="100" w:afterAutospacing="1"/>
      <w:jc w:val="left"/>
    </w:pPr>
    <w:rPr>
      <w:rFonts w:ascii="宋体" w:hAnsi="宋体" w:cs="宋体"/>
      <w:kern w:val="0"/>
      <w:sz w:val="24"/>
    </w:rPr>
  </w:style>
  <w:style w:type="character" w:customStyle="1" w:styleId="1778">
    <w:name w:val="title12"/>
    <w:autoRedefine/>
    <w:qFormat/>
    <w:uiPriority w:val="0"/>
  </w:style>
  <w:style w:type="character" w:customStyle="1" w:styleId="1779">
    <w:name w:val="count4"/>
    <w:autoRedefine/>
    <w:qFormat/>
    <w:uiPriority w:val="0"/>
  </w:style>
  <w:style w:type="paragraph" w:customStyle="1" w:styleId="1780">
    <w:name w:val="样式 标题 1 + 小二 非加粗"/>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781">
    <w:name w:val="表头2"/>
    <w:basedOn w:val="1"/>
    <w:autoRedefine/>
    <w:qFormat/>
    <w:uiPriority w:val="0"/>
    <w:pPr>
      <w:spacing w:line="360" w:lineRule="auto"/>
      <w:jc w:val="center"/>
    </w:pPr>
    <w:rPr>
      <w:rFonts w:hAnsi="宋体"/>
      <w:color w:val="000000"/>
      <w:sz w:val="24"/>
      <w:lang w:val="zh-CN"/>
    </w:rPr>
  </w:style>
  <w:style w:type="paragraph" w:customStyle="1" w:styleId="1782">
    <w:name w:val="表中"/>
    <w:autoRedefine/>
    <w:qFormat/>
    <w:uiPriority w:val="0"/>
    <w:pPr>
      <w:spacing w:line="280" w:lineRule="exact"/>
      <w:jc w:val="center"/>
    </w:pPr>
    <w:rPr>
      <w:rFonts w:ascii="Times New Roman" w:hAnsi="Times New Roman" w:eastAsia="宋体" w:cs="Times New Roman"/>
      <w:kern w:val="44"/>
      <w:sz w:val="21"/>
      <w:szCs w:val="21"/>
      <w:lang w:val="en-US" w:eastAsia="zh-CN" w:bidi="ar-SA"/>
    </w:rPr>
  </w:style>
  <w:style w:type="character" w:customStyle="1" w:styleId="1783">
    <w:name w:val="style6 style10"/>
    <w:autoRedefine/>
    <w:qFormat/>
    <w:uiPriority w:val="0"/>
  </w:style>
  <w:style w:type="character" w:customStyle="1" w:styleId="1784">
    <w:name w:val="style101"/>
    <w:autoRedefine/>
    <w:qFormat/>
    <w:uiPriority w:val="0"/>
    <w:rPr>
      <w:color w:val="000000"/>
    </w:rPr>
  </w:style>
  <w:style w:type="paragraph" w:customStyle="1" w:styleId="1785">
    <w:name w:val="zxl行距: 1.5 倍行距 首行缩进:  2 字符"/>
    <w:basedOn w:val="1"/>
    <w:next w:val="1"/>
    <w:autoRedefine/>
    <w:qFormat/>
    <w:uiPriority w:val="0"/>
    <w:pPr>
      <w:adjustRightInd w:val="0"/>
      <w:snapToGrid w:val="0"/>
      <w:spacing w:line="360" w:lineRule="auto"/>
      <w:ind w:firstLine="480" w:firstLineChars="200"/>
      <w:jc w:val="left"/>
    </w:pPr>
    <w:rPr>
      <w:rFonts w:hAnsi="宋体"/>
      <w:color w:val="000000"/>
      <w:sz w:val="24"/>
    </w:rPr>
  </w:style>
  <w:style w:type="character" w:customStyle="1" w:styleId="1786">
    <w:name w:val="宏文本 Char"/>
    <w:link w:val="4"/>
    <w:autoRedefine/>
    <w:qFormat/>
    <w:uiPriority w:val="0"/>
    <w:rPr>
      <w:rFonts w:ascii="Courier New" w:hAnsi="Courier New"/>
      <w:kern w:val="2"/>
      <w:sz w:val="24"/>
    </w:rPr>
  </w:style>
  <w:style w:type="paragraph" w:customStyle="1" w:styleId="1787">
    <w:name w:val="报告正文朱"/>
    <w:basedOn w:val="1"/>
    <w:autoRedefine/>
    <w:qFormat/>
    <w:uiPriority w:val="0"/>
    <w:pPr>
      <w:widowControl/>
      <w:adjustRightInd w:val="0"/>
      <w:snapToGrid w:val="0"/>
      <w:spacing w:line="360" w:lineRule="auto"/>
      <w:ind w:firstLine="200" w:firstLineChars="200"/>
      <w:jc w:val="left"/>
    </w:pPr>
    <w:rPr>
      <w:rFonts w:ascii="宋体" w:hAnsi="宋体"/>
      <w:bCs/>
      <w:kern w:val="44"/>
      <w:sz w:val="24"/>
      <w:szCs w:val="44"/>
    </w:rPr>
  </w:style>
  <w:style w:type="paragraph" w:customStyle="1" w:styleId="1788">
    <w:name w:val="图表"/>
    <w:link w:val="1790"/>
    <w:autoRedefine/>
    <w:qFormat/>
    <w:uiPriority w:val="0"/>
    <w:pPr>
      <w:jc w:val="center"/>
    </w:pPr>
    <w:rPr>
      <w:rFonts w:ascii="Times New Roman" w:hAnsi="Times New Roman" w:eastAsia="仿宋_GB2312" w:cs="Times New Roman"/>
      <w:b/>
      <w:kern w:val="2"/>
      <w:sz w:val="24"/>
      <w:lang w:val="en-US" w:eastAsia="zh-CN" w:bidi="ar-SA"/>
    </w:rPr>
  </w:style>
  <w:style w:type="paragraph" w:customStyle="1" w:styleId="1789">
    <w:name w:val="Char1 Char Char Char Char Char Char Char Char 字元 字元 Char Char Char Char Char"/>
    <w:basedOn w:val="1"/>
    <w:autoRedefine/>
    <w:qFormat/>
    <w:uiPriority w:val="0"/>
    <w:rPr>
      <w:sz w:val="24"/>
    </w:rPr>
  </w:style>
  <w:style w:type="character" w:customStyle="1" w:styleId="1790">
    <w:name w:val="图表 Char"/>
    <w:link w:val="1788"/>
    <w:autoRedefine/>
    <w:qFormat/>
    <w:uiPriority w:val="0"/>
    <w:rPr>
      <w:rFonts w:eastAsia="仿宋_GB2312"/>
      <w:b/>
      <w:kern w:val="2"/>
      <w:sz w:val="24"/>
    </w:rPr>
  </w:style>
  <w:style w:type="paragraph" w:customStyle="1" w:styleId="1791">
    <w:name w:val="样式 样式 正文首行缩进正文首行缩进 Char + 首行缩进:  2 字符 + 首行缩进:  2 字符"/>
    <w:basedOn w:val="1"/>
    <w:autoRedefine/>
    <w:qFormat/>
    <w:uiPriority w:val="0"/>
    <w:pPr>
      <w:adjustRightInd w:val="0"/>
      <w:snapToGrid w:val="0"/>
      <w:spacing w:line="360" w:lineRule="auto"/>
      <w:ind w:firstLine="480" w:firstLineChars="200"/>
      <w:textAlignment w:val="baseline"/>
    </w:pPr>
    <w:rPr>
      <w:rFonts w:ascii="宋体" w:cs="宋体"/>
      <w:sz w:val="24"/>
      <w:szCs w:val="20"/>
      <w:lang w:val="zh-CN"/>
    </w:rPr>
  </w:style>
  <w:style w:type="paragraph" w:customStyle="1" w:styleId="1792">
    <w:name w:val="xl19"/>
    <w:basedOn w:val="1"/>
    <w:autoRedefine/>
    <w:qFormat/>
    <w:uiPriority w:val="0"/>
    <w:pPr>
      <w:widowControl/>
      <w:spacing w:before="100" w:beforeAutospacing="1" w:after="100" w:afterAutospacing="1"/>
      <w:jc w:val="center"/>
      <w:textAlignment w:val="center"/>
    </w:pPr>
    <w:rPr>
      <w:rFonts w:ascii="宋体" w:hAnsi="宋体"/>
      <w:kern w:val="0"/>
      <w:sz w:val="18"/>
      <w:szCs w:val="18"/>
    </w:rPr>
  </w:style>
  <w:style w:type="paragraph" w:customStyle="1" w:styleId="1793">
    <w:name w:val="xl17"/>
    <w:basedOn w:val="1"/>
    <w:autoRedefine/>
    <w:qFormat/>
    <w:uiPriority w:val="0"/>
    <w:pPr>
      <w:widowControl/>
      <w:spacing w:before="100" w:beforeAutospacing="1" w:after="100" w:afterAutospacing="1"/>
      <w:jc w:val="center"/>
      <w:textAlignment w:val="center"/>
    </w:pPr>
    <w:rPr>
      <w:rFonts w:ascii="宋体" w:hAnsi="宋体"/>
      <w:kern w:val="0"/>
      <w:sz w:val="18"/>
      <w:szCs w:val="18"/>
    </w:rPr>
  </w:style>
  <w:style w:type="paragraph" w:customStyle="1" w:styleId="1794">
    <w:name w:val="Char1 Char Char Char Char Char Char Char Char 字元 字元"/>
    <w:basedOn w:val="1"/>
    <w:autoRedefine/>
    <w:qFormat/>
    <w:uiPriority w:val="0"/>
    <w:rPr>
      <w:sz w:val="24"/>
    </w:rPr>
  </w:style>
  <w:style w:type="paragraph" w:customStyle="1" w:styleId="1795">
    <w:name w:val="小四表格"/>
    <w:basedOn w:val="1"/>
    <w:autoRedefine/>
    <w:qFormat/>
    <w:uiPriority w:val="0"/>
    <w:pPr>
      <w:keepNext/>
      <w:autoSpaceDE w:val="0"/>
      <w:autoSpaceDN w:val="0"/>
      <w:adjustRightInd w:val="0"/>
      <w:spacing w:line="480" w:lineRule="atLeast"/>
      <w:jc w:val="center"/>
    </w:pPr>
    <w:rPr>
      <w:color w:val="000000"/>
      <w:sz w:val="24"/>
      <w:szCs w:val="20"/>
    </w:rPr>
  </w:style>
  <w:style w:type="character" w:customStyle="1" w:styleId="1796">
    <w:name w:val="ttk"/>
    <w:autoRedefine/>
    <w:qFormat/>
    <w:uiPriority w:val="0"/>
  </w:style>
  <w:style w:type="paragraph" w:customStyle="1" w:styleId="1797">
    <w:name w:val="TY"/>
    <w:basedOn w:val="1"/>
    <w:autoRedefine/>
    <w:qFormat/>
    <w:uiPriority w:val="0"/>
    <w:pPr>
      <w:adjustRightInd w:val="0"/>
      <w:snapToGrid w:val="0"/>
      <w:spacing w:before="40" w:after="40"/>
    </w:pPr>
    <w:rPr>
      <w:szCs w:val="20"/>
    </w:rPr>
  </w:style>
  <w:style w:type="paragraph" w:customStyle="1" w:styleId="1798">
    <w:name w:val="TT"/>
    <w:basedOn w:val="1"/>
    <w:autoRedefine/>
    <w:qFormat/>
    <w:uiPriority w:val="0"/>
    <w:pPr>
      <w:adjustRightInd w:val="0"/>
      <w:snapToGrid w:val="0"/>
      <w:spacing w:before="40" w:after="40" w:line="300" w:lineRule="auto"/>
      <w:jc w:val="left"/>
    </w:pPr>
    <w:rPr>
      <w:b/>
      <w:sz w:val="24"/>
      <w:szCs w:val="20"/>
    </w:rPr>
  </w:style>
  <w:style w:type="character" w:customStyle="1" w:styleId="1799">
    <w:name w:val="f3"/>
    <w:autoRedefine/>
    <w:qFormat/>
    <w:uiPriority w:val="0"/>
  </w:style>
  <w:style w:type="paragraph" w:customStyle="1" w:styleId="1800">
    <w:name w:val="环评正文1"/>
    <w:basedOn w:val="437"/>
    <w:autoRedefine/>
    <w:qFormat/>
    <w:uiPriority w:val="0"/>
    <w:pPr>
      <w:ind w:firstLine="0" w:firstLineChars="0"/>
    </w:pPr>
    <w:rPr>
      <w:lang w:val="zh-CN"/>
    </w:rPr>
  </w:style>
  <w:style w:type="paragraph" w:customStyle="1" w:styleId="1801">
    <w:name w:val="新表"/>
    <w:basedOn w:val="1"/>
    <w:autoRedefine/>
    <w:qFormat/>
    <w:uiPriority w:val="0"/>
    <w:pPr>
      <w:spacing w:line="360" w:lineRule="exact"/>
    </w:pPr>
    <w:rPr>
      <w:rFonts w:eastAsia="仿宋_GB2312"/>
      <w:bCs/>
      <w:kern w:val="0"/>
      <w:sz w:val="24"/>
      <w:szCs w:val="20"/>
    </w:rPr>
  </w:style>
  <w:style w:type="paragraph" w:customStyle="1" w:styleId="1802">
    <w:name w:val="QIXIN"/>
    <w:basedOn w:val="1"/>
    <w:autoRedefine/>
    <w:qFormat/>
    <w:uiPriority w:val="0"/>
    <w:pPr>
      <w:spacing w:line="360" w:lineRule="auto"/>
      <w:ind w:firstLine="600" w:firstLineChars="200"/>
    </w:pPr>
    <w:rPr>
      <w:rFonts w:ascii="宋体" w:hAnsi="宋体"/>
      <w:sz w:val="30"/>
      <w:szCs w:val="30"/>
    </w:rPr>
  </w:style>
  <w:style w:type="paragraph" w:customStyle="1" w:styleId="1803">
    <w:name w:val="清洁生产正文"/>
    <w:basedOn w:val="1"/>
    <w:autoRedefine/>
    <w:qFormat/>
    <w:uiPriority w:val="0"/>
    <w:pPr>
      <w:tabs>
        <w:tab w:val="left" w:pos="3255"/>
      </w:tabs>
      <w:autoSpaceDE w:val="0"/>
      <w:autoSpaceDN w:val="0"/>
      <w:adjustRightInd w:val="0"/>
      <w:ind w:firstLine="560" w:firstLineChars="200"/>
      <w:jc w:val="left"/>
    </w:pPr>
    <w:rPr>
      <w:rFonts w:eastAsia="仿宋_GB2312"/>
      <w:color w:val="000000"/>
      <w:sz w:val="28"/>
      <w:szCs w:val="28"/>
    </w:rPr>
  </w:style>
  <w:style w:type="character" w:customStyle="1" w:styleId="1804">
    <w:name w:val="work4"/>
    <w:autoRedefine/>
    <w:qFormat/>
    <w:uiPriority w:val="0"/>
    <w:rPr>
      <w:spacing w:val="360"/>
      <w:sz w:val="18"/>
      <w:szCs w:val="18"/>
      <w:u w:val="none"/>
    </w:rPr>
  </w:style>
  <w:style w:type="character" w:customStyle="1" w:styleId="1805">
    <w:name w:val="环评正文 Char"/>
    <w:autoRedefine/>
    <w:qFormat/>
    <w:uiPriority w:val="0"/>
    <w:rPr>
      <w:rFonts w:ascii="仿宋_GB2312" w:hAnsi="Times New Roman" w:eastAsia="仿宋_GB2312" w:cs="Times New Roman"/>
      <w:kern w:val="2"/>
      <w:sz w:val="28"/>
      <w:szCs w:val="20"/>
      <w:lang w:val="en-US" w:eastAsia="zh-CN" w:bidi="ar-SA"/>
    </w:rPr>
  </w:style>
  <w:style w:type="paragraph" w:customStyle="1" w:styleId="1806">
    <w:name w:val="9 Char Char Char3"/>
    <w:basedOn w:val="1"/>
    <w:autoRedefine/>
    <w:qFormat/>
    <w:uiPriority w:val="0"/>
    <w:pPr>
      <w:spacing w:line="240" w:lineRule="exact"/>
      <w:ind w:firstLine="200" w:firstLineChars="200"/>
    </w:pPr>
    <w:rPr>
      <w:sz w:val="28"/>
      <w:szCs w:val="28"/>
    </w:rPr>
  </w:style>
  <w:style w:type="paragraph" w:customStyle="1" w:styleId="1807">
    <w:name w:val="Char4 Char Char Char Char Char Char Char Char Char Char Char Char Char Char Char Char Char1 Char Char Char Char Char Char1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1808">
    <w:name w:val="Char4 Char Char Char Char Char Char Char Char Char Char Char Char Char Char Char Char Char1 Char Char Char"/>
    <w:basedOn w:val="1"/>
    <w:autoRedefine/>
    <w:qFormat/>
    <w:uiPriority w:val="0"/>
    <w:pPr>
      <w:spacing w:line="240" w:lineRule="exact"/>
      <w:ind w:firstLine="200" w:firstLineChars="200"/>
    </w:pPr>
    <w:rPr>
      <w:sz w:val="28"/>
      <w:szCs w:val="28"/>
    </w:rPr>
  </w:style>
  <w:style w:type="paragraph" w:customStyle="1" w:styleId="1809">
    <w:name w:val="字元 字元1"/>
    <w:basedOn w:val="1"/>
    <w:autoRedefine/>
    <w:qFormat/>
    <w:uiPriority w:val="0"/>
    <w:rPr>
      <w:sz w:val="24"/>
    </w:rPr>
  </w:style>
  <w:style w:type="paragraph" w:customStyle="1" w:styleId="1810">
    <w:name w:val="Char77"/>
    <w:basedOn w:val="1"/>
    <w:autoRedefine/>
    <w:qFormat/>
    <w:uiPriority w:val="0"/>
    <w:rPr>
      <w:rFonts w:ascii="Arial" w:hAnsi="Arial" w:cs="Arial"/>
    </w:rPr>
  </w:style>
  <w:style w:type="paragraph" w:customStyle="1" w:styleId="1811">
    <w:name w:val="Char Char Char Char1 Char Char Char"/>
    <w:basedOn w:val="1"/>
    <w:autoRedefine/>
    <w:qFormat/>
    <w:uiPriority w:val="0"/>
    <w:rPr>
      <w:sz w:val="24"/>
    </w:rPr>
  </w:style>
  <w:style w:type="paragraph" w:customStyle="1" w:styleId="1812">
    <w:name w:val="文字段落10"/>
    <w:basedOn w:val="1"/>
    <w:autoRedefine/>
    <w:qFormat/>
    <w:uiPriority w:val="0"/>
    <w:pPr>
      <w:overflowPunct w:val="0"/>
      <w:autoSpaceDE w:val="0"/>
      <w:autoSpaceDN w:val="0"/>
      <w:adjustRightInd w:val="0"/>
      <w:snapToGrid w:val="0"/>
      <w:spacing w:before="50" w:after="50" w:line="360" w:lineRule="auto"/>
      <w:ind w:firstLine="200" w:firstLineChars="200"/>
      <w:textAlignment w:val="baseline"/>
    </w:pPr>
    <w:rPr>
      <w:sz w:val="28"/>
      <w:szCs w:val="20"/>
    </w:rPr>
  </w:style>
  <w:style w:type="paragraph" w:customStyle="1" w:styleId="1813">
    <w:name w:val="环正文"/>
    <w:basedOn w:val="1"/>
    <w:link w:val="2070"/>
    <w:autoRedefine/>
    <w:qFormat/>
    <w:uiPriority w:val="0"/>
    <w:pPr>
      <w:widowControl/>
      <w:tabs>
        <w:tab w:val="left" w:pos="5094"/>
      </w:tabs>
      <w:adjustRightInd w:val="0"/>
      <w:spacing w:line="312" w:lineRule="atLeast"/>
      <w:ind w:firstLine="487" w:firstLineChars="232"/>
      <w:jc w:val="left"/>
      <w:textAlignment w:val="baseline"/>
    </w:pPr>
    <w:rPr>
      <w:rFonts w:hAnsi="宋体"/>
      <w:color w:val="FF0000"/>
      <w:kern w:val="0"/>
      <w:szCs w:val="20"/>
      <w:lang w:val="zh-CN"/>
    </w:rPr>
  </w:style>
  <w:style w:type="paragraph" w:customStyle="1" w:styleId="1814">
    <w:name w:val="样式 标题 3 + 黑色 段前: 0行 段后: 0 行"/>
    <w:basedOn w:val="7"/>
    <w:autoRedefine/>
    <w:qFormat/>
    <w:uiPriority w:val="0"/>
    <w:pPr>
      <w:tabs>
        <w:tab w:val="left" w:pos="1077"/>
      </w:tabs>
      <w:ind w:left="1077" w:hanging="357"/>
    </w:pPr>
    <w:rPr>
      <w:lang w:val="zh-CN"/>
    </w:rPr>
  </w:style>
  <w:style w:type="paragraph" w:customStyle="1" w:styleId="1815">
    <w:name w:val="正文王"/>
    <w:basedOn w:val="46"/>
    <w:autoRedefine/>
    <w:qFormat/>
    <w:uiPriority w:val="0"/>
    <w:rPr>
      <w:rFonts w:cs="Times New Roman"/>
      <w:kern w:val="0"/>
      <w:sz w:val="20"/>
      <w:lang w:val="zh-CN"/>
    </w:rPr>
  </w:style>
  <w:style w:type="paragraph" w:customStyle="1" w:styleId="1816">
    <w:name w:val="T表格"/>
    <w:autoRedefine/>
    <w:qFormat/>
    <w:uiPriority w:val="0"/>
    <w:pPr>
      <w:spacing w:line="300" w:lineRule="exact"/>
      <w:jc w:val="center"/>
    </w:pPr>
    <w:rPr>
      <w:rFonts w:ascii="Times New Roman" w:hAnsi="Times New Roman" w:eastAsia="宋体" w:cs="Times New Roman"/>
      <w:kern w:val="2"/>
      <w:sz w:val="21"/>
      <w:szCs w:val="21"/>
      <w:lang w:val="en-US" w:eastAsia="zh-CN" w:bidi="ar-SA"/>
    </w:rPr>
  </w:style>
  <w:style w:type="paragraph" w:customStyle="1" w:styleId="1817">
    <w:name w:val="表中字"/>
    <w:autoRedefine/>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1818">
    <w:name w:val="样式 标题 4 + 图案: 清除 (白色)1"/>
    <w:basedOn w:val="9"/>
    <w:autoRedefine/>
    <w:qFormat/>
    <w:uiPriority w:val="0"/>
    <w:rPr>
      <w:rFonts w:ascii="等线 Light" w:hAnsi="等线 Light" w:eastAsia="等线 Light"/>
      <w:kern w:val="0"/>
      <w:lang w:val="zh-CN"/>
    </w:rPr>
  </w:style>
  <w:style w:type="character" w:customStyle="1" w:styleId="1819">
    <w:name w:val="样式 标题 4 + 图案: 清除 (白色)1 Char"/>
    <w:autoRedefine/>
    <w:qFormat/>
    <w:uiPriority w:val="0"/>
    <w:rPr>
      <w:rFonts w:ascii="Arial Narrow" w:hAnsi="Arial Narrow" w:eastAsia="仿宋_GB2312"/>
      <w:sz w:val="24"/>
      <w:shd w:val="clear" w:color="auto" w:fill="FFFFFF"/>
      <w:lang w:val="en-US" w:eastAsia="zh-CN" w:bidi="ar-SA"/>
    </w:rPr>
  </w:style>
  <w:style w:type="paragraph" w:customStyle="1" w:styleId="1820">
    <w:name w:val="样式 标题 1 + 段前: 1.5 行 段后: 1.5 行"/>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821">
    <w:name w:val="表前文"/>
    <w:basedOn w:val="1"/>
    <w:autoRedefine/>
    <w:qFormat/>
    <w:uiPriority w:val="0"/>
    <w:pPr>
      <w:adjustRightInd w:val="0"/>
      <w:spacing w:after="120" w:line="400" w:lineRule="exact"/>
      <w:textAlignment w:val="baseline"/>
    </w:pPr>
    <w:rPr>
      <w:rFonts w:ascii="宋体" w:hAnsi="宋体"/>
      <w:spacing w:val="8"/>
      <w:kern w:val="0"/>
      <w:szCs w:val="20"/>
    </w:rPr>
  </w:style>
  <w:style w:type="paragraph" w:customStyle="1" w:styleId="1822">
    <w:name w:val="抚顺项目章节标题"/>
    <w:basedOn w:val="1"/>
    <w:autoRedefine/>
    <w:qFormat/>
    <w:uiPriority w:val="0"/>
    <w:pPr>
      <w:tabs>
        <w:tab w:val="left" w:pos="567"/>
      </w:tabs>
      <w:spacing w:line="360" w:lineRule="auto"/>
    </w:pPr>
    <w:rPr>
      <w:rFonts w:ascii="黑体" w:hAnsi="宋体" w:eastAsia="黑体"/>
      <w:sz w:val="24"/>
      <w:szCs w:val="20"/>
    </w:rPr>
  </w:style>
  <w:style w:type="paragraph" w:customStyle="1" w:styleId="1823">
    <w:name w:val="Char Char Char Char Char Char Char Char Char1 Char Char Char"/>
    <w:basedOn w:val="1"/>
    <w:autoRedefine/>
    <w:qFormat/>
    <w:uiPriority w:val="0"/>
    <w:rPr>
      <w:szCs w:val="21"/>
    </w:rPr>
  </w:style>
  <w:style w:type="paragraph" w:customStyle="1" w:styleId="1824">
    <w:name w:val="主要条文"/>
    <w:basedOn w:val="1"/>
    <w:autoRedefine/>
    <w:qFormat/>
    <w:uiPriority w:val="0"/>
    <w:pPr>
      <w:tabs>
        <w:tab w:val="left" w:pos="1260"/>
      </w:tabs>
      <w:ind w:left="1260" w:hanging="420"/>
    </w:pPr>
    <w:rPr>
      <w:sz w:val="24"/>
    </w:rPr>
  </w:style>
  <w:style w:type="paragraph" w:customStyle="1" w:styleId="1825">
    <w:name w:val="样式 标题 2mystyle2style2 + 四号 非加粗 居中 行距: 多倍行距 1.73 字行"/>
    <w:basedOn w:val="6"/>
    <w:autoRedefine/>
    <w:qFormat/>
    <w:uiPriority w:val="0"/>
    <w:pPr>
      <w:tabs>
        <w:tab w:val="left" w:pos="720"/>
      </w:tabs>
      <w:ind w:left="720" w:hanging="363"/>
    </w:pPr>
    <w:rPr>
      <w:kern w:val="0"/>
      <w:lang w:val="zh-CN"/>
    </w:rPr>
  </w:style>
  <w:style w:type="paragraph" w:customStyle="1" w:styleId="1826">
    <w:name w:val="－列表"/>
    <w:basedOn w:val="66"/>
    <w:autoRedefine/>
    <w:qFormat/>
    <w:uiPriority w:val="0"/>
  </w:style>
  <w:style w:type="paragraph" w:customStyle="1" w:styleId="1827">
    <w:name w:val="淮安正文样式 小四 行距: 1.5 倍行距 首行缩进:  2 字符"/>
    <w:basedOn w:val="1"/>
    <w:autoRedefine/>
    <w:qFormat/>
    <w:uiPriority w:val="0"/>
    <w:pPr>
      <w:adjustRightInd w:val="0"/>
      <w:snapToGrid w:val="0"/>
      <w:spacing w:line="360" w:lineRule="auto"/>
      <w:ind w:firstLine="480" w:firstLineChars="200"/>
    </w:pPr>
    <w:rPr>
      <w:snapToGrid w:val="0"/>
      <w:kern w:val="0"/>
      <w:sz w:val="24"/>
      <w:szCs w:val="20"/>
    </w:rPr>
  </w:style>
  <w:style w:type="paragraph" w:customStyle="1" w:styleId="1828">
    <w:name w:val="正文新 Char"/>
    <w:basedOn w:val="1"/>
    <w:autoRedefine/>
    <w:qFormat/>
    <w:uiPriority w:val="0"/>
    <w:pPr>
      <w:spacing w:line="360" w:lineRule="auto"/>
      <w:ind w:firstLine="480" w:firstLineChars="200"/>
    </w:pPr>
    <w:rPr>
      <w:sz w:val="24"/>
      <w:szCs w:val="20"/>
    </w:rPr>
  </w:style>
  <w:style w:type="paragraph" w:customStyle="1" w:styleId="1829">
    <w:name w:val="正文首行缩进 Char Char"/>
    <w:basedOn w:val="1"/>
    <w:autoRedefine/>
    <w:qFormat/>
    <w:uiPriority w:val="0"/>
    <w:pPr>
      <w:spacing w:line="606" w:lineRule="atLeast"/>
      <w:ind w:firstLine="538"/>
    </w:pPr>
    <w:rPr>
      <w:rFonts w:hint="eastAsia"/>
      <w:sz w:val="24"/>
      <w:szCs w:val="20"/>
    </w:rPr>
  </w:style>
  <w:style w:type="paragraph" w:customStyle="1" w:styleId="1830">
    <w:name w:val="我的 标题 3条标题1.1.1标题 3 Char Char小标题头小节标题标题 3 Char Char Char标... Char"/>
    <w:basedOn w:val="7"/>
    <w:link w:val="1831"/>
    <w:autoRedefine/>
    <w:qFormat/>
    <w:uiPriority w:val="0"/>
    <w:pPr>
      <w:tabs>
        <w:tab w:val="left" w:pos="1077"/>
      </w:tabs>
      <w:ind w:left="1077" w:hanging="357"/>
    </w:pPr>
    <w:rPr>
      <w:lang w:val="zh-CN"/>
    </w:rPr>
  </w:style>
  <w:style w:type="character" w:customStyle="1" w:styleId="1831">
    <w:name w:val="我的 标题 3条标题1.1.1标题 3 Char Char小标题头小节标题标题 3 Char Char Char标... Char Char"/>
    <w:link w:val="1830"/>
    <w:autoRedefine/>
    <w:qFormat/>
    <w:uiPriority w:val="0"/>
    <w:rPr>
      <w:rFonts w:ascii="Arial" w:hAnsi="Arial" w:eastAsia="黑体"/>
      <w:sz w:val="28"/>
      <w:szCs w:val="28"/>
      <w:lang w:val="zh-CN" w:eastAsia="zh-CN"/>
    </w:rPr>
  </w:style>
  <w:style w:type="paragraph" w:customStyle="1" w:styleId="1832">
    <w:name w:val="表X"/>
    <w:basedOn w:val="46"/>
    <w:autoRedefine/>
    <w:qFormat/>
    <w:uiPriority w:val="0"/>
    <w:rPr>
      <w:rFonts w:cs="Times New Roman"/>
      <w:kern w:val="0"/>
      <w:sz w:val="20"/>
      <w:lang w:val="zh-CN"/>
    </w:rPr>
  </w:style>
  <w:style w:type="paragraph" w:customStyle="1" w:styleId="1833">
    <w:name w:val="样式 样式 正文缩进正文（首行缩进两字）文本条款 + 段前: 0.4 行 + 非加粗"/>
    <w:basedOn w:val="1834"/>
    <w:autoRedefine/>
    <w:qFormat/>
    <w:uiPriority w:val="0"/>
    <w:pPr>
      <w:spacing w:beforeLines="30" w:line="288" w:lineRule="auto"/>
      <w:ind w:left="-7" w:firstLine="567" w:firstLineChars="0"/>
      <w:outlineLvl w:val="6"/>
    </w:pPr>
    <w:rPr>
      <w:kern w:val="2"/>
      <w:sz w:val="24"/>
      <w:szCs w:val="24"/>
      <w:lang w:val="en-US"/>
    </w:rPr>
  </w:style>
  <w:style w:type="paragraph" w:customStyle="1" w:styleId="1834">
    <w:name w:val="样式 正文缩进正文（首行缩进两字）文本条款 + 段前: 0.4 行"/>
    <w:basedOn w:val="8"/>
    <w:autoRedefine/>
    <w:qFormat/>
    <w:uiPriority w:val="0"/>
    <w:rPr>
      <w:kern w:val="0"/>
      <w:sz w:val="20"/>
      <w:lang w:val="zh-CN"/>
    </w:rPr>
  </w:style>
  <w:style w:type="paragraph" w:customStyle="1" w:styleId="1835">
    <w:name w:val="样式 文本123 + 段前: 0.2 行1"/>
    <w:basedOn w:val="1737"/>
    <w:autoRedefine/>
    <w:qFormat/>
    <w:uiPriority w:val="0"/>
    <w:pPr>
      <w:tabs>
        <w:tab w:val="left" w:pos="3360"/>
      </w:tabs>
      <w:snapToGrid w:val="0"/>
      <w:spacing w:beforeLines="20" w:line="480" w:lineRule="exact"/>
      <w:ind w:firstLine="510" w:firstLineChars="0"/>
      <w:outlineLvl w:val="7"/>
    </w:pPr>
    <w:rPr>
      <w:kern w:val="2"/>
      <w:sz w:val="24"/>
      <w:lang w:val="en-US"/>
    </w:rPr>
  </w:style>
  <w:style w:type="character" w:customStyle="1" w:styleId="1836">
    <w:name w:val="默认段落字体 Char"/>
    <w:autoRedefine/>
    <w:qFormat/>
    <w:uiPriority w:val="0"/>
    <w:rPr>
      <w:rFonts w:hint="eastAsia"/>
      <w:color w:val="000000"/>
      <w:sz w:val="21"/>
      <w:u w:color="000000"/>
      <w:lang w:val="en-US" w:eastAsia="zh-CN"/>
    </w:rPr>
  </w:style>
  <w:style w:type="paragraph" w:customStyle="1" w:styleId="1837">
    <w:name w:val="表头1"/>
    <w:basedOn w:val="46"/>
    <w:autoRedefine/>
    <w:qFormat/>
    <w:uiPriority w:val="0"/>
    <w:rPr>
      <w:rFonts w:cs="Times New Roman"/>
      <w:kern w:val="0"/>
      <w:sz w:val="20"/>
      <w:lang w:val="zh-CN"/>
    </w:rPr>
  </w:style>
  <w:style w:type="paragraph" w:customStyle="1" w:styleId="1838">
    <w:name w:val="gy"/>
    <w:basedOn w:val="1"/>
    <w:autoRedefine/>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1839">
    <w:name w:val="样式 纯文本普通文字 + Times New Roman 小四 两端对齐 行距: 1.5 倍行距"/>
    <w:basedOn w:val="46"/>
    <w:autoRedefine/>
    <w:qFormat/>
    <w:uiPriority w:val="0"/>
    <w:rPr>
      <w:rFonts w:cs="Times New Roman"/>
      <w:kern w:val="0"/>
      <w:sz w:val="20"/>
      <w:lang w:val="zh-CN"/>
    </w:rPr>
  </w:style>
  <w:style w:type="paragraph" w:customStyle="1" w:styleId="1840">
    <w:name w:val="我的 标题 1.."/>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841">
    <w:name w:val="节标题"/>
    <w:basedOn w:val="1"/>
    <w:next w:val="1"/>
    <w:autoRedefine/>
    <w:qFormat/>
    <w:uiPriority w:val="0"/>
    <w:pPr>
      <w:snapToGrid w:val="0"/>
      <w:spacing w:line="360" w:lineRule="auto"/>
      <w:jc w:val="left"/>
    </w:pPr>
    <w:rPr>
      <w:rFonts w:hint="eastAsia" w:hAnsi="黑体" w:eastAsia="黑体"/>
      <w:sz w:val="28"/>
      <w:szCs w:val="20"/>
    </w:rPr>
  </w:style>
  <w:style w:type="paragraph" w:customStyle="1" w:styleId="1842">
    <w:name w:val="样式 样式 首行缩进:  2 字符1 + 首行缩进:  2 字符 段前: 0.2 行"/>
    <w:basedOn w:val="1"/>
    <w:autoRedefine/>
    <w:qFormat/>
    <w:uiPriority w:val="0"/>
    <w:pPr>
      <w:spacing w:line="440" w:lineRule="exact"/>
      <w:ind w:firstLine="200" w:firstLineChars="200"/>
    </w:pPr>
    <w:rPr>
      <w:sz w:val="24"/>
      <w:szCs w:val="20"/>
    </w:rPr>
  </w:style>
  <w:style w:type="paragraph" w:customStyle="1" w:styleId="1843">
    <w:name w:val="样式 标题 4 + 四号 段前: 1 行"/>
    <w:basedOn w:val="9"/>
    <w:autoRedefine/>
    <w:qFormat/>
    <w:uiPriority w:val="0"/>
    <w:rPr>
      <w:rFonts w:ascii="等线 Light" w:hAnsi="等线 Light" w:eastAsia="等线 Light"/>
      <w:kern w:val="0"/>
      <w:lang w:val="zh-CN"/>
    </w:rPr>
  </w:style>
  <w:style w:type="paragraph" w:customStyle="1" w:styleId="1844">
    <w:name w:val="文本123-II"/>
    <w:basedOn w:val="9"/>
    <w:autoRedefine/>
    <w:qFormat/>
    <w:uiPriority w:val="0"/>
    <w:rPr>
      <w:rFonts w:ascii="等线 Light" w:hAnsi="等线 Light" w:eastAsia="等线 Light"/>
      <w:kern w:val="0"/>
      <w:lang w:val="zh-CN"/>
    </w:rPr>
  </w:style>
  <w:style w:type="paragraph" w:customStyle="1" w:styleId="1845">
    <w:name w:val="样式 表标题 + 段前: 0.5 行1"/>
    <w:basedOn w:val="184"/>
    <w:autoRedefine/>
    <w:qFormat/>
    <w:uiPriority w:val="0"/>
    <w:pPr>
      <w:tabs>
        <w:tab w:val="left" w:pos="4318"/>
      </w:tabs>
      <w:adjustRightInd w:val="0"/>
      <w:snapToGrid w:val="0"/>
      <w:spacing w:beforeLines="50" w:line="480" w:lineRule="exact"/>
    </w:pPr>
    <w:rPr>
      <w:rFonts w:eastAsia="黑体"/>
      <w:b w:val="0"/>
      <w:sz w:val="28"/>
    </w:rPr>
  </w:style>
  <w:style w:type="paragraph" w:customStyle="1" w:styleId="1846">
    <w:name w:val="样式 宋体 首行缩进:  2 字符 行距: 1.5 倍行距"/>
    <w:basedOn w:val="1"/>
    <w:autoRedefine/>
    <w:qFormat/>
    <w:uiPriority w:val="0"/>
    <w:pPr>
      <w:spacing w:line="360" w:lineRule="auto"/>
      <w:ind w:firstLine="480" w:firstLineChars="200"/>
    </w:pPr>
    <w:rPr>
      <w:sz w:val="24"/>
    </w:rPr>
  </w:style>
  <w:style w:type="paragraph" w:customStyle="1" w:styleId="1847">
    <w:name w:val="项目符号1"/>
    <w:basedOn w:val="1"/>
    <w:autoRedefine/>
    <w:qFormat/>
    <w:uiPriority w:val="0"/>
    <w:pPr>
      <w:tabs>
        <w:tab w:val="left" w:pos="1320"/>
      </w:tabs>
      <w:overflowPunct w:val="0"/>
      <w:snapToGrid w:val="0"/>
      <w:spacing w:line="480" w:lineRule="exact"/>
      <w:ind w:left="435" w:hanging="285"/>
    </w:pPr>
    <w:rPr>
      <w:rFonts w:ascii="Arial" w:hAnsi="Arial" w:eastAsia="仿宋_GB2312"/>
      <w:sz w:val="28"/>
      <w:szCs w:val="20"/>
    </w:rPr>
  </w:style>
  <w:style w:type="paragraph" w:customStyle="1" w:styleId="1848">
    <w:name w:val="大标题"/>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849">
    <w:name w:val="my1"/>
    <w:basedOn w:val="59"/>
    <w:autoRedefine/>
    <w:qFormat/>
    <w:uiPriority w:val="0"/>
    <w:pPr>
      <w:tabs>
        <w:tab w:val="left" w:pos="360"/>
        <w:tab w:val="right" w:leader="dot" w:pos="8296"/>
      </w:tabs>
      <w:spacing w:before="120" w:after="120" w:line="300" w:lineRule="auto"/>
      <w:ind w:left="360" w:hanging="360" w:hangingChars="200"/>
      <w:jc w:val="left"/>
    </w:pPr>
    <w:rPr>
      <w:rFonts w:ascii="Times New Roman" w:hAnsi="Times New Roman" w:eastAsia="宋体"/>
      <w:sz w:val="20"/>
      <w:szCs w:val="20"/>
    </w:rPr>
  </w:style>
  <w:style w:type="paragraph" w:customStyle="1" w:styleId="1850">
    <w:name w:val="样式 样式 宋体 小四 行距: 1.5 倍行距 + 首行缩进:  2 字符 段前: 7.8 磅 段后: 7.8 磅"/>
    <w:basedOn w:val="1"/>
    <w:autoRedefine/>
    <w:qFormat/>
    <w:uiPriority w:val="0"/>
    <w:pPr>
      <w:snapToGrid w:val="0"/>
      <w:spacing w:beforeLines="50" w:afterLines="50" w:line="360" w:lineRule="auto"/>
      <w:ind w:firstLine="200" w:firstLineChars="200"/>
      <w:jc w:val="left"/>
    </w:pPr>
    <w:rPr>
      <w:rFonts w:ascii="宋体" w:hAnsi="宋体"/>
      <w:sz w:val="24"/>
      <w:szCs w:val="20"/>
    </w:rPr>
  </w:style>
  <w:style w:type="paragraph" w:customStyle="1" w:styleId="1851">
    <w:name w:val="Table Title Char1 Char"/>
    <w:basedOn w:val="1"/>
    <w:autoRedefine/>
    <w:qFormat/>
    <w:uiPriority w:val="0"/>
    <w:pPr>
      <w:widowControl/>
      <w:snapToGrid w:val="0"/>
      <w:spacing w:beforeLines="50" w:afterLines="50" w:line="400" w:lineRule="exact"/>
      <w:jc w:val="center"/>
    </w:pPr>
    <w:rPr>
      <w:sz w:val="24"/>
      <w:lang w:eastAsia="en-US"/>
    </w:rPr>
  </w:style>
  <w:style w:type="paragraph" w:customStyle="1" w:styleId="1852">
    <w:name w:val="目录 7 Char Char"/>
    <w:basedOn w:val="1"/>
    <w:next w:val="1"/>
    <w:autoRedefine/>
    <w:qFormat/>
    <w:uiPriority w:val="0"/>
    <w:pPr>
      <w:spacing w:line="351" w:lineRule="atLeast"/>
      <w:ind w:left="1258" w:firstLine="419"/>
      <w:jc w:val="left"/>
    </w:pPr>
    <w:rPr>
      <w:rFonts w:hint="eastAsia"/>
      <w:szCs w:val="20"/>
    </w:rPr>
  </w:style>
  <w:style w:type="paragraph" w:customStyle="1" w:styleId="1853">
    <w:name w:val="正文楷体"/>
    <w:basedOn w:val="1"/>
    <w:autoRedefine/>
    <w:qFormat/>
    <w:uiPriority w:val="0"/>
    <w:rPr>
      <w:rFonts w:eastAsia="楷体_GB2312"/>
    </w:rPr>
  </w:style>
  <w:style w:type="paragraph" w:customStyle="1" w:styleId="1854">
    <w:name w:val="a3"/>
    <w:basedOn w:val="1"/>
    <w:autoRedefine/>
    <w:qFormat/>
    <w:uiPriority w:val="0"/>
    <w:pPr>
      <w:widowControl/>
      <w:spacing w:before="100" w:beforeAutospacing="1" w:after="100" w:afterAutospacing="1" w:line="425" w:lineRule="atLeast"/>
      <w:jc w:val="left"/>
      <w:textAlignment w:val="baseline"/>
    </w:pPr>
    <w:rPr>
      <w:rFonts w:ascii="宋体" w:hAnsi="宋体"/>
      <w:color w:val="000000"/>
      <w:kern w:val="0"/>
      <w:sz w:val="24"/>
      <w:szCs w:val="20"/>
      <w:u w:color="000000"/>
    </w:rPr>
  </w:style>
  <w:style w:type="paragraph" w:customStyle="1" w:styleId="1855">
    <w:name w:val="正文aa"/>
    <w:basedOn w:val="1"/>
    <w:autoRedefine/>
    <w:qFormat/>
    <w:uiPriority w:val="0"/>
    <w:pPr>
      <w:spacing w:line="360" w:lineRule="auto"/>
      <w:ind w:firstLine="200" w:firstLineChars="200"/>
    </w:pPr>
    <w:rPr>
      <w:sz w:val="24"/>
    </w:rPr>
  </w:style>
  <w:style w:type="paragraph" w:customStyle="1" w:styleId="1856">
    <w:name w:val="默认段落字体 Para Char Char Char1 Char Char Char Char"/>
    <w:basedOn w:val="1"/>
    <w:autoRedefine/>
    <w:qFormat/>
    <w:uiPriority w:val="0"/>
    <w:rPr>
      <w:sz w:val="24"/>
    </w:rPr>
  </w:style>
  <w:style w:type="character" w:customStyle="1" w:styleId="1857">
    <w:name w:val="样式7 Char"/>
    <w:autoRedefine/>
    <w:qFormat/>
    <w:uiPriority w:val="0"/>
    <w:rPr>
      <w:rFonts w:eastAsia="楷体_GB2312"/>
      <w:b/>
      <w:w w:val="95"/>
      <w:kern w:val="28"/>
      <w:sz w:val="36"/>
      <w:lang w:val="en-US" w:eastAsia="zh-CN" w:bidi="ar-SA"/>
    </w:rPr>
  </w:style>
  <w:style w:type="character" w:customStyle="1" w:styleId="1858">
    <w:name w:val="3zw1"/>
    <w:autoRedefine/>
    <w:qFormat/>
    <w:uiPriority w:val="0"/>
    <w:rPr>
      <w:color w:val="000000"/>
      <w:spacing w:val="360"/>
      <w:sz w:val="21"/>
      <w:szCs w:val="21"/>
    </w:rPr>
  </w:style>
  <w:style w:type="paragraph" w:customStyle="1" w:styleId="1859">
    <w:name w:val="MG"/>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860">
    <w:name w:val="GM"/>
    <w:basedOn w:val="5"/>
    <w:autoRedefine/>
    <w:qFormat/>
    <w:uiPriority w:val="0"/>
    <w:pPr>
      <w:tabs>
        <w:tab w:val="left" w:pos="360"/>
      </w:tabs>
      <w:overflowPunct/>
      <w:snapToGrid/>
      <w:spacing w:before="0" w:after="0" w:line="400" w:lineRule="exact"/>
      <w:ind w:left="357" w:firstLine="3200" w:firstLineChars="3200"/>
    </w:pPr>
    <w:rPr>
      <w:rFonts w:eastAsia="宋体"/>
      <w:b w:val="0"/>
      <w:bCs w:val="0"/>
      <w:color w:val="auto"/>
      <w:kern w:val="0"/>
      <w:sz w:val="32"/>
      <w:szCs w:val="20"/>
      <w:lang w:val="zh-CN"/>
    </w:rPr>
  </w:style>
  <w:style w:type="paragraph" w:customStyle="1" w:styleId="1861">
    <w:name w:val="puce"/>
    <w:basedOn w:val="1"/>
    <w:autoRedefine/>
    <w:qFormat/>
    <w:uiPriority w:val="0"/>
    <w:pPr>
      <w:widowControl/>
      <w:tabs>
        <w:tab w:val="left" w:pos="720"/>
        <w:tab w:val="left" w:pos="1200"/>
      </w:tabs>
      <w:adjustRightInd w:val="0"/>
      <w:snapToGrid w:val="0"/>
      <w:spacing w:before="120" w:line="300" w:lineRule="auto"/>
      <w:ind w:left="1200" w:hanging="480"/>
    </w:pPr>
    <w:rPr>
      <w:rFonts w:ascii="Arial" w:hAnsi="Arial"/>
      <w:kern w:val="0"/>
      <w:sz w:val="24"/>
      <w:szCs w:val="20"/>
    </w:rPr>
  </w:style>
  <w:style w:type="paragraph" w:customStyle="1" w:styleId="1862">
    <w:name w:val="ENUM"/>
    <w:basedOn w:val="1"/>
    <w:autoRedefine/>
    <w:qFormat/>
    <w:uiPriority w:val="0"/>
    <w:pPr>
      <w:widowControl/>
      <w:tabs>
        <w:tab w:val="left" w:pos="1320"/>
        <w:tab w:val="left" w:pos="1418"/>
      </w:tabs>
      <w:spacing w:before="60" w:after="60"/>
      <w:ind w:left="1418" w:hanging="284" w:firstLineChars="200"/>
    </w:pPr>
    <w:rPr>
      <w:rFonts w:ascii="Arial" w:hAnsi="Arial"/>
      <w:kern w:val="0"/>
      <w:sz w:val="22"/>
      <w:szCs w:val="20"/>
      <w:lang w:val="en-GB"/>
    </w:rPr>
  </w:style>
  <w:style w:type="character" w:customStyle="1" w:styleId="1863">
    <w:name w:val="style81"/>
    <w:autoRedefine/>
    <w:qFormat/>
    <w:uiPriority w:val="0"/>
    <w:rPr>
      <w:sz w:val="24"/>
      <w:szCs w:val="24"/>
    </w:rPr>
  </w:style>
  <w:style w:type="character" w:customStyle="1" w:styleId="1864">
    <w:name w:val="normal1"/>
    <w:autoRedefine/>
    <w:qFormat/>
    <w:uiPriority w:val="0"/>
    <w:rPr>
      <w:rFonts w:hint="default" w:ascii="Arial" w:hAnsi="Arial" w:cs="Arial"/>
      <w:color w:val="555555"/>
      <w:sz w:val="19"/>
      <w:szCs w:val="19"/>
    </w:rPr>
  </w:style>
  <w:style w:type="paragraph" w:customStyle="1" w:styleId="1865">
    <w:name w:val="首页页眉样式"/>
    <w:basedOn w:val="1"/>
    <w:autoRedefine/>
    <w:qFormat/>
    <w:uiPriority w:val="0"/>
    <w:pPr>
      <w:snapToGrid w:val="0"/>
      <w:spacing w:line="240" w:lineRule="atLeast"/>
      <w:jc w:val="center"/>
    </w:pPr>
    <w:rPr>
      <w:rFonts w:ascii="宋体" w:hAnsi="宋体" w:eastAsia="仿宋_GB2312"/>
      <w:b/>
      <w:kern w:val="0"/>
      <w:szCs w:val="20"/>
    </w:rPr>
  </w:style>
  <w:style w:type="paragraph" w:customStyle="1" w:styleId="1866">
    <w:name w:val="标题01"/>
    <w:basedOn w:val="1"/>
    <w:autoRedefine/>
    <w:qFormat/>
    <w:uiPriority w:val="0"/>
    <w:pPr>
      <w:spacing w:after="120" w:line="460" w:lineRule="atLeast"/>
      <w:ind w:firstLine="480"/>
      <w:jc w:val="center"/>
      <w:outlineLvl w:val="0"/>
    </w:pPr>
    <w:rPr>
      <w:b/>
      <w:sz w:val="30"/>
      <w:szCs w:val="20"/>
    </w:rPr>
  </w:style>
  <w:style w:type="paragraph" w:customStyle="1" w:styleId="1867">
    <w:name w:val="样式 四号 首行缩进:  2 字符"/>
    <w:basedOn w:val="1"/>
    <w:autoRedefine/>
    <w:qFormat/>
    <w:uiPriority w:val="0"/>
    <w:pPr>
      <w:spacing w:line="480" w:lineRule="atLeast"/>
      <w:ind w:firstLine="200" w:firstLineChars="200"/>
    </w:pPr>
    <w:rPr>
      <w:sz w:val="24"/>
    </w:rPr>
  </w:style>
  <w:style w:type="paragraph" w:customStyle="1" w:styleId="1868">
    <w:name w:val="样式 四号 黑色 首行缩进:  2 字符"/>
    <w:basedOn w:val="1"/>
    <w:autoRedefine/>
    <w:qFormat/>
    <w:uiPriority w:val="0"/>
    <w:pPr>
      <w:spacing w:line="480" w:lineRule="atLeast"/>
      <w:ind w:firstLine="200" w:firstLineChars="200"/>
    </w:pPr>
    <w:rPr>
      <w:color w:val="000000"/>
      <w:sz w:val="24"/>
    </w:rPr>
  </w:style>
  <w:style w:type="paragraph" w:customStyle="1" w:styleId="1869">
    <w:name w:val="样式 标题 2 + 首行缩进:  2 字符"/>
    <w:basedOn w:val="6"/>
    <w:autoRedefine/>
    <w:qFormat/>
    <w:uiPriority w:val="0"/>
    <w:pPr>
      <w:tabs>
        <w:tab w:val="left" w:pos="720"/>
      </w:tabs>
      <w:ind w:left="720" w:hanging="363"/>
    </w:pPr>
    <w:rPr>
      <w:kern w:val="0"/>
      <w:lang w:val="zh-CN"/>
    </w:rPr>
  </w:style>
  <w:style w:type="paragraph" w:customStyle="1" w:styleId="1870">
    <w:name w:val="样式 居中"/>
    <w:basedOn w:val="1"/>
    <w:autoRedefine/>
    <w:qFormat/>
    <w:uiPriority w:val="0"/>
    <w:pPr>
      <w:adjustRightInd w:val="0"/>
      <w:snapToGrid w:val="0"/>
      <w:spacing w:line="440" w:lineRule="atLeast"/>
      <w:ind w:firstLine="200" w:firstLineChars="200"/>
      <w:jc w:val="center"/>
    </w:pPr>
    <w:rPr>
      <w:rFonts w:cs="宋体"/>
      <w:sz w:val="24"/>
      <w:szCs w:val="20"/>
    </w:rPr>
  </w:style>
  <w:style w:type="paragraph" w:customStyle="1" w:styleId="1871">
    <w:name w:val="热电厂正文 Char Char Char Char"/>
    <w:basedOn w:val="1"/>
    <w:link w:val="1872"/>
    <w:autoRedefine/>
    <w:qFormat/>
    <w:uiPriority w:val="0"/>
    <w:pPr>
      <w:spacing w:line="440" w:lineRule="exact"/>
      <w:ind w:firstLine="480" w:firstLineChars="200"/>
    </w:pPr>
    <w:rPr>
      <w:sz w:val="24"/>
      <w:lang w:val="zh-CN"/>
    </w:rPr>
  </w:style>
  <w:style w:type="character" w:customStyle="1" w:styleId="1872">
    <w:name w:val="热电厂正文 Char Char Char Char Char"/>
    <w:link w:val="1871"/>
    <w:autoRedefine/>
    <w:qFormat/>
    <w:uiPriority w:val="0"/>
    <w:rPr>
      <w:kern w:val="2"/>
      <w:sz w:val="24"/>
      <w:szCs w:val="24"/>
      <w:lang w:val="zh-CN" w:eastAsia="zh-CN"/>
    </w:rPr>
  </w:style>
  <w:style w:type="paragraph" w:customStyle="1" w:styleId="1873">
    <w:name w:val="热电厂正文 Char Char"/>
    <w:basedOn w:val="1"/>
    <w:autoRedefine/>
    <w:qFormat/>
    <w:uiPriority w:val="0"/>
    <w:pPr>
      <w:spacing w:line="440" w:lineRule="exact"/>
      <w:ind w:firstLine="480" w:firstLineChars="200"/>
    </w:pPr>
    <w:rPr>
      <w:sz w:val="24"/>
    </w:rPr>
  </w:style>
  <w:style w:type="paragraph" w:customStyle="1" w:styleId="1874">
    <w:name w:val="热电厂正文 Char"/>
    <w:basedOn w:val="1"/>
    <w:autoRedefine/>
    <w:qFormat/>
    <w:uiPriority w:val="0"/>
    <w:pPr>
      <w:spacing w:line="440" w:lineRule="exact"/>
      <w:ind w:firstLine="480" w:firstLineChars="200"/>
    </w:pPr>
    <w:rPr>
      <w:sz w:val="24"/>
    </w:rPr>
  </w:style>
  <w:style w:type="paragraph" w:customStyle="1" w:styleId="1875">
    <w:name w:val="节标"/>
    <w:basedOn w:val="1"/>
    <w:autoRedefine/>
    <w:qFormat/>
    <w:uiPriority w:val="0"/>
    <w:pPr>
      <w:widowControl/>
      <w:autoSpaceDE w:val="0"/>
      <w:autoSpaceDN w:val="0"/>
      <w:adjustRightInd w:val="0"/>
      <w:spacing w:line="480" w:lineRule="exact"/>
      <w:ind w:firstLine="567"/>
      <w:jc w:val="center"/>
      <w:textAlignment w:val="bottom"/>
    </w:pPr>
    <w:rPr>
      <w:b/>
      <w:kern w:val="0"/>
      <w:sz w:val="30"/>
      <w:szCs w:val="20"/>
    </w:rPr>
  </w:style>
  <w:style w:type="paragraph" w:customStyle="1" w:styleId="1876">
    <w:name w:val="段标"/>
    <w:basedOn w:val="1"/>
    <w:autoRedefine/>
    <w:qFormat/>
    <w:uiPriority w:val="0"/>
    <w:pPr>
      <w:adjustRightInd w:val="0"/>
      <w:spacing w:line="360" w:lineRule="auto"/>
      <w:ind w:firstLine="567"/>
      <w:jc w:val="left"/>
      <w:textAlignment w:val="baseline"/>
    </w:pPr>
    <w:rPr>
      <w:kern w:val="0"/>
      <w:sz w:val="28"/>
      <w:szCs w:val="20"/>
    </w:rPr>
  </w:style>
  <w:style w:type="paragraph" w:customStyle="1" w:styleId="1877">
    <w:name w:val="In Table"/>
    <w:basedOn w:val="1"/>
    <w:autoRedefine/>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878">
    <w:name w:val="首页脚注"/>
    <w:basedOn w:val="55"/>
    <w:autoRedefine/>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sz w:val="28"/>
    </w:rPr>
  </w:style>
  <w:style w:type="paragraph" w:customStyle="1" w:styleId="1879">
    <w:name w:val="gb1"/>
    <w:basedOn w:val="1"/>
    <w:autoRedefine/>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1880">
    <w:name w:val="Achievement"/>
    <w:basedOn w:val="2"/>
    <w:autoRedefine/>
    <w:qFormat/>
    <w:uiPriority w:val="0"/>
    <w:pPr>
      <w:tabs>
        <w:tab w:val="left" w:pos="960"/>
      </w:tabs>
      <w:snapToGrid/>
      <w:spacing w:before="0" w:after="60" w:line="220" w:lineRule="atLeast"/>
      <w:ind w:left="960" w:right="-360" w:hanging="960"/>
      <w:jc w:val="left"/>
    </w:pPr>
    <w:rPr>
      <w:sz w:val="20"/>
      <w:szCs w:val="24"/>
    </w:rPr>
  </w:style>
  <w:style w:type="paragraph" w:customStyle="1" w:styleId="1881">
    <w:name w:val="In Table (II)"/>
    <w:basedOn w:val="1877"/>
    <w:autoRedefine/>
    <w:qFormat/>
    <w:uiPriority w:val="0"/>
  </w:style>
  <w:style w:type="paragraph" w:customStyle="1" w:styleId="1882">
    <w:name w:val="Items"/>
    <w:basedOn w:val="1"/>
    <w:autoRedefine/>
    <w:qFormat/>
    <w:uiPriority w:val="0"/>
    <w:pPr>
      <w:tabs>
        <w:tab w:val="left" w:pos="720"/>
        <w:tab w:val="left" w:pos="992"/>
      </w:tabs>
      <w:spacing w:before="10" w:after="20" w:line="460" w:lineRule="atLeast"/>
      <w:ind w:left="992" w:hanging="425"/>
    </w:pPr>
    <w:rPr>
      <w:rFonts w:ascii="Tahoma" w:hAnsi="Tahoma" w:eastAsia="华文中宋"/>
      <w:sz w:val="28"/>
      <w:szCs w:val="20"/>
    </w:rPr>
  </w:style>
  <w:style w:type="paragraph" w:customStyle="1" w:styleId="1883">
    <w:name w:val="农业部一"/>
    <w:next w:val="2"/>
    <w:autoRedefine/>
    <w:qFormat/>
    <w:uiPriority w:val="0"/>
    <w:pPr>
      <w:widowControl w:val="0"/>
      <w:topLinePunct/>
      <w:spacing w:line="480" w:lineRule="atLeast"/>
      <w:jc w:val="center"/>
    </w:pPr>
    <w:rPr>
      <w:rFonts w:ascii="Times New Roman" w:hAnsi="Times New Roman" w:eastAsia="宋体" w:cs="Times New Roman"/>
      <w:kern w:val="2"/>
      <w:sz w:val="21"/>
      <w:szCs w:val="24"/>
      <w:lang w:val="en-US" w:eastAsia="zh-CN" w:bidi="ar-SA"/>
    </w:rPr>
  </w:style>
  <w:style w:type="paragraph" w:customStyle="1" w:styleId="1884">
    <w:name w:val="Address 2"/>
    <w:basedOn w:val="1"/>
    <w:autoRedefine/>
    <w:qFormat/>
    <w:uiPriority w:val="0"/>
    <w:pPr>
      <w:framePr w:w="2405" w:wrap="notBeside" w:vAnchor="page" w:hAnchor="page" w:x="5761" w:y="1009" w:anchorLock="1"/>
      <w:widowControl/>
      <w:spacing w:line="200" w:lineRule="atLeast"/>
      <w:jc w:val="left"/>
    </w:pPr>
    <w:rPr>
      <w:kern w:val="0"/>
      <w:sz w:val="16"/>
      <w:szCs w:val="20"/>
    </w:rPr>
  </w:style>
  <w:style w:type="paragraph" w:customStyle="1" w:styleId="1885">
    <w:name w:val="ljw表格"/>
    <w:basedOn w:val="1"/>
    <w:next w:val="1"/>
    <w:autoRedefine/>
    <w:qFormat/>
    <w:uiPriority w:val="0"/>
    <w:pPr>
      <w:adjustRightInd w:val="0"/>
      <w:snapToGrid w:val="0"/>
      <w:spacing w:beforeLines="25" w:afterLines="25"/>
      <w:jc w:val="center"/>
    </w:pPr>
    <w:rPr>
      <w:rFonts w:ascii="宋体" w:hAnsi="宋体"/>
      <w:bCs/>
      <w:sz w:val="22"/>
      <w:szCs w:val="28"/>
    </w:rPr>
  </w:style>
  <w:style w:type="paragraph" w:customStyle="1" w:styleId="1886">
    <w:name w:val="ljw正文"/>
    <w:basedOn w:val="1"/>
    <w:autoRedefine/>
    <w:qFormat/>
    <w:uiPriority w:val="0"/>
    <w:pPr>
      <w:adjustRightInd w:val="0"/>
      <w:snapToGrid w:val="0"/>
      <w:spacing w:afterLines="50" w:line="300" w:lineRule="auto"/>
      <w:ind w:firstLine="480" w:firstLineChars="200"/>
    </w:pPr>
    <w:rPr>
      <w:rFonts w:ascii="宋体" w:hAnsi="宋体"/>
      <w:bCs/>
      <w:sz w:val="24"/>
      <w:szCs w:val="28"/>
    </w:rPr>
  </w:style>
  <w:style w:type="paragraph" w:customStyle="1" w:styleId="1887">
    <w:name w:val="列表项目符号1.缩2"/>
    <w:basedOn w:val="1888"/>
    <w:autoRedefine/>
    <w:qFormat/>
    <w:uiPriority w:val="0"/>
    <w:pPr>
      <w:tabs>
        <w:tab w:val="left" w:pos="945"/>
        <w:tab w:val="left" w:pos="1992"/>
      </w:tabs>
      <w:spacing w:line="360" w:lineRule="auto"/>
      <w:ind w:left="0" w:firstLine="425"/>
    </w:pPr>
    <w:rPr>
      <w:sz w:val="24"/>
      <w:szCs w:val="24"/>
    </w:rPr>
  </w:style>
  <w:style w:type="paragraph" w:customStyle="1" w:styleId="1888">
    <w:name w:val="列表项目符号1."/>
    <w:basedOn w:val="1"/>
    <w:autoRedefine/>
    <w:qFormat/>
    <w:uiPriority w:val="0"/>
    <w:pPr>
      <w:keepNext/>
      <w:adjustRightInd w:val="0"/>
      <w:spacing w:line="312" w:lineRule="atLeast"/>
      <w:ind w:left="425" w:hanging="425"/>
      <w:textAlignment w:val="baseline"/>
    </w:pPr>
    <w:rPr>
      <w:kern w:val="0"/>
      <w:szCs w:val="21"/>
    </w:rPr>
  </w:style>
  <w:style w:type="paragraph" w:customStyle="1" w:styleId="1889">
    <w:name w:val="自定义缩进"/>
    <w:basedOn w:val="1"/>
    <w:autoRedefine/>
    <w:qFormat/>
    <w:uiPriority w:val="0"/>
    <w:pPr>
      <w:keepNext/>
      <w:spacing w:line="336" w:lineRule="auto"/>
      <w:ind w:firstLine="480" w:firstLineChars="200"/>
      <w:jc w:val="left"/>
    </w:pPr>
    <w:rPr>
      <w:rFonts w:ascii="宋体" w:hAnsi="宋体"/>
      <w:kern w:val="0"/>
      <w:sz w:val="24"/>
    </w:rPr>
  </w:style>
  <w:style w:type="paragraph" w:customStyle="1" w:styleId="1890">
    <w:name w:val="表格内"/>
    <w:basedOn w:val="1"/>
    <w:autoRedefine/>
    <w:qFormat/>
    <w:uiPriority w:val="0"/>
    <w:pPr>
      <w:adjustRightInd w:val="0"/>
      <w:spacing w:line="240" w:lineRule="atLeast"/>
      <w:jc w:val="center"/>
      <w:textAlignment w:val="baseline"/>
    </w:pPr>
    <w:rPr>
      <w:rFonts w:ascii="宋体"/>
      <w:kern w:val="0"/>
      <w:sz w:val="28"/>
      <w:szCs w:val="20"/>
    </w:rPr>
  </w:style>
  <w:style w:type="paragraph" w:customStyle="1" w:styleId="1891">
    <w:name w:val="Sun"/>
    <w:basedOn w:val="1"/>
    <w:autoRedefine/>
    <w:qFormat/>
    <w:uiPriority w:val="0"/>
    <w:pPr>
      <w:adjustRightInd w:val="0"/>
      <w:spacing w:line="360" w:lineRule="auto"/>
      <w:ind w:firstLine="567"/>
      <w:textAlignment w:val="baseline"/>
    </w:pPr>
    <w:rPr>
      <w:kern w:val="28"/>
      <w:sz w:val="28"/>
      <w:szCs w:val="20"/>
    </w:rPr>
  </w:style>
  <w:style w:type="paragraph" w:customStyle="1" w:styleId="1892">
    <w:name w:val="sms"/>
    <w:basedOn w:val="1"/>
    <w:autoRedefine/>
    <w:qFormat/>
    <w:uiPriority w:val="0"/>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szCs w:val="20"/>
    </w:rPr>
  </w:style>
  <w:style w:type="paragraph" w:customStyle="1" w:styleId="1893">
    <w:name w:val="zxl正文首行缩进  2 字符 行距: Char"/>
    <w:basedOn w:val="1"/>
    <w:autoRedefine/>
    <w:qFormat/>
    <w:uiPriority w:val="0"/>
    <w:pPr>
      <w:widowControl/>
      <w:tabs>
        <w:tab w:val="left" w:pos="-1843"/>
        <w:tab w:val="left" w:pos="1727"/>
        <w:tab w:val="left" w:pos="1884"/>
      </w:tabs>
      <w:ind w:firstLine="527"/>
      <w:textAlignment w:val="bottom"/>
      <w:outlineLvl w:val="0"/>
    </w:pPr>
    <w:rPr>
      <w:rFonts w:ascii="宋体" w:hAnsi="宋体"/>
      <w:sz w:val="24"/>
    </w:rPr>
  </w:style>
  <w:style w:type="paragraph" w:customStyle="1" w:styleId="1894">
    <w:name w:val="ljw子标题"/>
    <w:basedOn w:val="1"/>
    <w:next w:val="2"/>
    <w:autoRedefine/>
    <w:qFormat/>
    <w:uiPriority w:val="0"/>
    <w:pPr>
      <w:adjustRightInd w:val="0"/>
      <w:snapToGrid w:val="0"/>
      <w:spacing w:beforeLines="50" w:afterLines="50"/>
      <w:jc w:val="left"/>
    </w:pPr>
    <w:rPr>
      <w:rFonts w:ascii="宋体" w:hAnsi="宋体"/>
      <w:b/>
      <w:sz w:val="24"/>
      <w:szCs w:val="28"/>
    </w:rPr>
  </w:style>
  <w:style w:type="character" w:customStyle="1" w:styleId="1895">
    <w:name w:val="正文不缩进 Char Char Char Char Char Char"/>
    <w:autoRedefine/>
    <w:qFormat/>
    <w:uiPriority w:val="0"/>
    <w:rPr>
      <w:rFonts w:eastAsia="宋体"/>
      <w:kern w:val="2"/>
      <w:sz w:val="21"/>
      <w:szCs w:val="24"/>
      <w:lang w:val="en-US" w:eastAsia="zh-CN" w:bidi="ar-SA"/>
    </w:rPr>
  </w:style>
  <w:style w:type="paragraph" w:customStyle="1" w:styleId="1896">
    <w:name w:val="热电厂正文"/>
    <w:basedOn w:val="1"/>
    <w:autoRedefine/>
    <w:qFormat/>
    <w:uiPriority w:val="0"/>
    <w:pPr>
      <w:spacing w:line="440" w:lineRule="exact"/>
      <w:ind w:firstLine="480" w:firstLineChars="200"/>
    </w:pPr>
    <w:rPr>
      <w:sz w:val="24"/>
    </w:rPr>
  </w:style>
  <w:style w:type="paragraph" w:customStyle="1" w:styleId="1897">
    <w:name w:val="图片"/>
    <w:basedOn w:val="1"/>
    <w:autoRedefine/>
    <w:qFormat/>
    <w:uiPriority w:val="0"/>
    <w:pPr>
      <w:adjustRightInd w:val="0"/>
      <w:snapToGrid w:val="0"/>
      <w:spacing w:line="400" w:lineRule="atLeast"/>
      <w:jc w:val="center"/>
      <w:textAlignment w:val="baseline"/>
    </w:pPr>
    <w:rPr>
      <w:kern w:val="0"/>
      <w:sz w:val="28"/>
      <w:szCs w:val="20"/>
    </w:rPr>
  </w:style>
  <w:style w:type="paragraph" w:customStyle="1" w:styleId="1898">
    <w:name w:val="表格内正文"/>
    <w:autoRedefine/>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1899">
    <w:name w:val="样式 小四 行距: 固定值 24 磅 首行缩进:  2 字符"/>
    <w:basedOn w:val="1"/>
    <w:autoRedefine/>
    <w:qFormat/>
    <w:uiPriority w:val="0"/>
    <w:pPr>
      <w:spacing w:line="440" w:lineRule="exact"/>
      <w:ind w:firstLine="200" w:firstLineChars="200"/>
    </w:pPr>
    <w:rPr>
      <w:sz w:val="24"/>
    </w:rPr>
  </w:style>
  <w:style w:type="paragraph" w:customStyle="1" w:styleId="1900">
    <w:name w:val="样式 (西文) 宋体 首行缩进:  0.85 厘米 行距: 1.5 倍行距"/>
    <w:basedOn w:val="1"/>
    <w:autoRedefine/>
    <w:qFormat/>
    <w:uiPriority w:val="0"/>
    <w:pPr>
      <w:adjustRightInd w:val="0"/>
      <w:snapToGrid w:val="0"/>
      <w:spacing w:line="360" w:lineRule="auto"/>
      <w:ind w:firstLine="480" w:firstLineChars="200"/>
      <w:jc w:val="left"/>
    </w:pPr>
    <w:rPr>
      <w:rFonts w:ascii="宋体" w:hAnsi="宋体"/>
      <w:color w:val="000000"/>
      <w:sz w:val="24"/>
    </w:rPr>
  </w:style>
  <w:style w:type="paragraph" w:customStyle="1" w:styleId="1901">
    <w:name w:val="样式 首行缩进:  2 字符 行距: 1.5 倍行距"/>
    <w:basedOn w:val="1"/>
    <w:autoRedefine/>
    <w:qFormat/>
    <w:uiPriority w:val="0"/>
    <w:pPr>
      <w:spacing w:line="440" w:lineRule="exact"/>
      <w:ind w:firstLine="200" w:firstLineChars="200"/>
    </w:pPr>
    <w:rPr>
      <w:rFonts w:cs="宋体"/>
      <w:sz w:val="24"/>
      <w:szCs w:val="20"/>
    </w:rPr>
  </w:style>
  <w:style w:type="paragraph" w:customStyle="1" w:styleId="1902">
    <w:name w:val="样式 样式2 + (符号) 宋体 Char"/>
    <w:basedOn w:val="1"/>
    <w:autoRedefine/>
    <w:qFormat/>
    <w:uiPriority w:val="0"/>
    <w:pPr>
      <w:adjustRightInd w:val="0"/>
      <w:snapToGrid w:val="0"/>
      <w:spacing w:line="480" w:lineRule="exact"/>
      <w:ind w:firstLine="480" w:firstLineChars="200"/>
    </w:pPr>
    <w:rPr>
      <w:sz w:val="24"/>
      <w:szCs w:val="28"/>
    </w:rPr>
  </w:style>
  <w:style w:type="character" w:customStyle="1" w:styleId="1903">
    <w:name w:val="样式 样式2 + (符号) 宋体1 Char"/>
    <w:autoRedefine/>
    <w:qFormat/>
    <w:uiPriority w:val="0"/>
    <w:rPr>
      <w:rFonts w:ascii="宋体" w:eastAsia="宋体"/>
      <w:kern w:val="2"/>
      <w:sz w:val="28"/>
      <w:szCs w:val="28"/>
      <w:lang w:val="en-US" w:eastAsia="zh-CN" w:bidi="ar-SA"/>
    </w:rPr>
  </w:style>
  <w:style w:type="paragraph" w:customStyle="1" w:styleId="1904">
    <w:name w:val="F正文"/>
    <w:autoRedefine/>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1905">
    <w:name w:val="中文表标题"/>
    <w:basedOn w:val="1"/>
    <w:next w:val="1"/>
    <w:autoRedefine/>
    <w:qFormat/>
    <w:uiPriority w:val="0"/>
    <w:pPr>
      <w:keepNext/>
      <w:widowControl/>
      <w:overflowPunct w:val="0"/>
      <w:adjustRightInd w:val="0"/>
      <w:snapToGrid w:val="0"/>
      <w:spacing w:before="480" w:after="360" w:line="500" w:lineRule="exact"/>
      <w:ind w:firstLine="200" w:firstLineChars="200"/>
      <w:jc w:val="center"/>
      <w:textAlignment w:val="baseline"/>
    </w:pPr>
    <w:rPr>
      <w:rFonts w:eastAsia="仿宋_GB2312"/>
      <w:kern w:val="0"/>
      <w:sz w:val="28"/>
      <w:szCs w:val="20"/>
    </w:rPr>
  </w:style>
  <w:style w:type="paragraph" w:customStyle="1" w:styleId="1906">
    <w:name w:val="表内"/>
    <w:basedOn w:val="1"/>
    <w:autoRedefine/>
    <w:qFormat/>
    <w:uiPriority w:val="0"/>
    <w:pPr>
      <w:jc w:val="center"/>
      <w:textAlignment w:val="center"/>
    </w:pPr>
    <w:rPr>
      <w:rFonts w:ascii="仿宋_GB2312" w:eastAsia="仿宋_GB2312"/>
      <w:sz w:val="24"/>
      <w:szCs w:val="20"/>
    </w:rPr>
  </w:style>
  <w:style w:type="paragraph" w:customStyle="1" w:styleId="1907">
    <w:name w:val="样式 表格标题 + 首行缩进:  2 字符"/>
    <w:basedOn w:val="1"/>
    <w:autoRedefine/>
    <w:qFormat/>
    <w:uiPriority w:val="0"/>
    <w:pPr>
      <w:adjustRightInd w:val="0"/>
      <w:spacing w:before="120" w:line="360" w:lineRule="auto"/>
      <w:ind w:firstLine="480" w:firstLineChars="200"/>
      <w:jc w:val="center"/>
      <w:textAlignment w:val="baseline"/>
    </w:pPr>
    <w:rPr>
      <w:rFonts w:eastAsia="汉鼎简特宋"/>
      <w:kern w:val="0"/>
      <w:sz w:val="24"/>
      <w:szCs w:val="20"/>
    </w:rPr>
  </w:style>
  <w:style w:type="paragraph" w:customStyle="1" w:styleId="1908">
    <w:name w:val="样式 (中文) 楷体_GB2312 居中 行距: 固定值 12 磅"/>
    <w:basedOn w:val="1"/>
    <w:autoRedefine/>
    <w:qFormat/>
    <w:uiPriority w:val="0"/>
    <w:pPr>
      <w:spacing w:line="240" w:lineRule="exact"/>
      <w:jc w:val="center"/>
    </w:pPr>
    <w:rPr>
      <w:rFonts w:eastAsia="楷体_GB2312" w:cs="宋体"/>
      <w:szCs w:val="20"/>
    </w:rPr>
  </w:style>
  <w:style w:type="paragraph" w:customStyle="1" w:styleId="1909">
    <w:name w:val="样式 样式 样式 样式 样式 样式 首行缩进:  2 字符 + 首行缩进:  2 字符2 + 仿宋_GB2312 + 首行缩进:..."/>
    <w:basedOn w:val="1"/>
    <w:link w:val="1910"/>
    <w:autoRedefine/>
    <w:qFormat/>
    <w:uiPriority w:val="0"/>
    <w:pPr>
      <w:spacing w:line="560" w:lineRule="exact"/>
      <w:ind w:firstLine="624" w:firstLineChars="200"/>
    </w:pPr>
    <w:rPr>
      <w:rFonts w:eastAsia="楷体_GB2312"/>
      <w:spacing w:val="12"/>
      <w:kern w:val="0"/>
      <w:sz w:val="28"/>
      <w:szCs w:val="28"/>
      <w:lang w:val="zh-CN"/>
    </w:rPr>
  </w:style>
  <w:style w:type="character" w:customStyle="1" w:styleId="1910">
    <w:name w:val="样式 样式 样式 样式 样式 样式 首行缩进:  2 字符 + 首行缩进:  2 字符2 + 仿宋_GB2312 + 首行缩进:... Char"/>
    <w:link w:val="1909"/>
    <w:autoRedefine/>
    <w:qFormat/>
    <w:uiPriority w:val="0"/>
    <w:rPr>
      <w:rFonts w:eastAsia="楷体_GB2312"/>
      <w:spacing w:val="12"/>
      <w:sz w:val="28"/>
      <w:szCs w:val="28"/>
      <w:lang w:val="zh-CN" w:eastAsia="zh-CN"/>
    </w:rPr>
  </w:style>
  <w:style w:type="character" w:customStyle="1" w:styleId="1911">
    <w:name w:val="hg1"/>
    <w:autoRedefine/>
    <w:qFormat/>
    <w:uiPriority w:val="0"/>
    <w:rPr>
      <w:spacing w:val="432"/>
    </w:rPr>
  </w:style>
  <w:style w:type="character" w:customStyle="1" w:styleId="1912">
    <w:name w:val="style211"/>
    <w:autoRedefine/>
    <w:qFormat/>
    <w:uiPriority w:val="0"/>
    <w:rPr>
      <w:color w:val="000000"/>
    </w:rPr>
  </w:style>
  <w:style w:type="character" w:customStyle="1" w:styleId="1913">
    <w:name w:val="z_gray1"/>
    <w:autoRedefine/>
    <w:qFormat/>
    <w:uiPriority w:val="0"/>
    <w:rPr>
      <w:color w:val="666666"/>
    </w:rPr>
  </w:style>
  <w:style w:type="paragraph" w:customStyle="1" w:styleId="1914">
    <w:name w:val="Char Char Char1 Char Char Char Char Char Char Char Char Char Char Char Char Char Char Char Char Char Char Char"/>
    <w:basedOn w:val="1"/>
    <w:autoRedefine/>
    <w:qFormat/>
    <w:uiPriority w:val="0"/>
    <w:rPr>
      <w:sz w:val="24"/>
    </w:rPr>
  </w:style>
  <w:style w:type="character" w:customStyle="1" w:styleId="1915">
    <w:name w:val="style3"/>
    <w:autoRedefine/>
    <w:qFormat/>
    <w:uiPriority w:val="0"/>
  </w:style>
  <w:style w:type="character" w:customStyle="1" w:styleId="1916">
    <w:name w:val="news_body"/>
    <w:autoRedefine/>
    <w:qFormat/>
    <w:uiPriority w:val="0"/>
  </w:style>
  <w:style w:type="paragraph" w:customStyle="1" w:styleId="1917">
    <w:name w:val="样式 标题 4 + 黑色 左侧:  -0.01 厘米 首行缩进:  0.01 厘米"/>
    <w:basedOn w:val="9"/>
    <w:autoRedefine/>
    <w:qFormat/>
    <w:uiPriority w:val="0"/>
    <w:rPr>
      <w:rFonts w:ascii="等线 Light" w:hAnsi="等线 Light" w:eastAsia="等线 Light"/>
      <w:kern w:val="0"/>
      <w:lang w:val="zh-CN"/>
    </w:rPr>
  </w:style>
  <w:style w:type="character" w:customStyle="1" w:styleId="1918">
    <w:name w:val="样式 标题 2 + 四号 Char"/>
    <w:link w:val="1919"/>
    <w:autoRedefine/>
    <w:qFormat/>
    <w:uiPriority w:val="0"/>
    <w:rPr>
      <w:rFonts w:ascii="宋体" w:hAnsi="宋体"/>
      <w:b/>
      <w:spacing w:val="20"/>
      <w:sz w:val="24"/>
    </w:rPr>
  </w:style>
  <w:style w:type="paragraph" w:customStyle="1" w:styleId="1919">
    <w:name w:val="样式 标题 2 + 四号"/>
    <w:basedOn w:val="6"/>
    <w:link w:val="1918"/>
    <w:autoRedefine/>
    <w:qFormat/>
    <w:uiPriority w:val="0"/>
    <w:pPr>
      <w:tabs>
        <w:tab w:val="left" w:pos="720"/>
      </w:tabs>
      <w:ind w:left="720" w:hanging="363"/>
    </w:pPr>
    <w:rPr>
      <w:rFonts w:hAnsi="宋体"/>
      <w:b/>
      <w:spacing w:val="20"/>
      <w:kern w:val="0"/>
      <w:sz w:val="24"/>
    </w:rPr>
  </w:style>
  <w:style w:type="character" w:customStyle="1" w:styleId="1920">
    <w:name w:val="样式13 Char"/>
    <w:link w:val="982"/>
    <w:autoRedefine/>
    <w:qFormat/>
    <w:uiPriority w:val="0"/>
    <w:rPr>
      <w:rFonts w:ascii="仿宋_GB2312" w:hAnsi="宋体" w:eastAsia="仿宋_GB2312"/>
      <w:color w:val="FF0000"/>
      <w:kern w:val="2"/>
      <w:sz w:val="28"/>
      <w:szCs w:val="28"/>
    </w:rPr>
  </w:style>
  <w:style w:type="paragraph" w:customStyle="1" w:styleId="1921">
    <w:name w:val="陈正文"/>
    <w:basedOn w:val="1"/>
    <w:next w:val="1"/>
    <w:link w:val="1922"/>
    <w:autoRedefine/>
    <w:qFormat/>
    <w:uiPriority w:val="0"/>
    <w:pPr>
      <w:snapToGrid w:val="0"/>
      <w:spacing w:before="60" w:after="60" w:line="360" w:lineRule="auto"/>
      <w:ind w:firstLine="480" w:firstLineChars="200"/>
    </w:pPr>
    <w:rPr>
      <w:color w:val="000000"/>
      <w:sz w:val="24"/>
      <w:lang w:val="zh-CN"/>
    </w:rPr>
  </w:style>
  <w:style w:type="character" w:customStyle="1" w:styleId="1922">
    <w:name w:val="陈正文 Char Char"/>
    <w:link w:val="1921"/>
    <w:autoRedefine/>
    <w:qFormat/>
    <w:uiPriority w:val="0"/>
    <w:rPr>
      <w:color w:val="000000"/>
      <w:kern w:val="2"/>
      <w:sz w:val="24"/>
      <w:szCs w:val="24"/>
      <w:lang w:val="zh-CN" w:eastAsia="zh-CN"/>
    </w:rPr>
  </w:style>
  <w:style w:type="character" w:customStyle="1" w:styleId="1923">
    <w:name w:val="pt9"/>
    <w:autoRedefine/>
    <w:qFormat/>
    <w:uiPriority w:val="0"/>
  </w:style>
  <w:style w:type="character" w:customStyle="1" w:styleId="1924">
    <w:name w:val="标题4 Char Char Char Char"/>
    <w:autoRedefine/>
    <w:qFormat/>
    <w:uiPriority w:val="0"/>
    <w:rPr>
      <w:rFonts w:eastAsia="宋体"/>
      <w:kern w:val="2"/>
      <w:sz w:val="21"/>
      <w:szCs w:val="24"/>
      <w:lang w:val="en-US" w:eastAsia="zh-CN" w:bidi="ar-SA"/>
    </w:rPr>
  </w:style>
  <w:style w:type="paragraph" w:customStyle="1" w:styleId="1925">
    <w:name w:val="表文"/>
    <w:basedOn w:val="1"/>
    <w:autoRedefine/>
    <w:qFormat/>
    <w:uiPriority w:val="0"/>
    <w:pPr>
      <w:overflowPunct w:val="0"/>
      <w:jc w:val="center"/>
      <w:textAlignment w:val="baseline"/>
    </w:pPr>
    <w:rPr>
      <w:szCs w:val="21"/>
    </w:rPr>
  </w:style>
  <w:style w:type="paragraph" w:customStyle="1" w:styleId="1926">
    <w:name w:val="表名"/>
    <w:basedOn w:val="1"/>
    <w:autoRedefine/>
    <w:qFormat/>
    <w:uiPriority w:val="0"/>
    <w:pPr>
      <w:overflowPunct w:val="0"/>
      <w:spacing w:before="120"/>
      <w:textAlignment w:val="baseline"/>
    </w:pPr>
    <w:rPr>
      <w:rFonts w:ascii="Arial" w:hAnsi="Arial" w:eastAsia="黑体"/>
      <w:sz w:val="24"/>
      <w:szCs w:val="20"/>
    </w:rPr>
  </w:style>
  <w:style w:type="paragraph" w:customStyle="1" w:styleId="1927">
    <w:name w:val="表5号字"/>
    <w:autoRedefine/>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1928">
    <w:name w:val="正文 居中"/>
    <w:basedOn w:val="1"/>
    <w:autoRedefine/>
    <w:qFormat/>
    <w:uiPriority w:val="0"/>
    <w:pPr>
      <w:spacing w:beforeLines="50" w:line="360" w:lineRule="auto"/>
      <w:ind w:firstLine="480" w:firstLineChars="200"/>
      <w:jc w:val="center"/>
    </w:pPr>
    <w:rPr>
      <w:bCs/>
      <w:sz w:val="24"/>
      <w:szCs w:val="20"/>
    </w:rPr>
  </w:style>
  <w:style w:type="paragraph" w:customStyle="1" w:styleId="1929">
    <w:name w:val="表格两端对齐"/>
    <w:basedOn w:val="335"/>
    <w:autoRedefine/>
    <w:qFormat/>
    <w:uiPriority w:val="0"/>
    <w:pPr>
      <w:spacing w:beforeLines="50" w:line="360" w:lineRule="auto"/>
      <w:jc w:val="both"/>
    </w:pPr>
    <w:rPr>
      <w:rFonts w:hAnsi="宋体"/>
      <w:bCs/>
      <w:snapToGrid w:val="0"/>
      <w:kern w:val="0"/>
      <w:szCs w:val="21"/>
      <w:u w:color="FF0000"/>
    </w:rPr>
  </w:style>
  <w:style w:type="paragraph" w:customStyle="1" w:styleId="1930">
    <w:name w:val="陈表头文字"/>
    <w:basedOn w:val="1"/>
    <w:next w:val="1"/>
    <w:autoRedefine/>
    <w:qFormat/>
    <w:uiPriority w:val="0"/>
    <w:pPr>
      <w:keepNext/>
      <w:spacing w:line="288" w:lineRule="auto"/>
      <w:jc w:val="center"/>
    </w:pPr>
    <w:rPr>
      <w:b/>
      <w:sz w:val="24"/>
    </w:rPr>
  </w:style>
  <w:style w:type="paragraph" w:customStyle="1" w:styleId="1931">
    <w:name w:val="陈表格中内容"/>
    <w:basedOn w:val="1"/>
    <w:next w:val="1"/>
    <w:link w:val="1932"/>
    <w:autoRedefine/>
    <w:qFormat/>
    <w:uiPriority w:val="0"/>
    <w:pPr>
      <w:spacing w:line="0" w:lineRule="atLeast"/>
      <w:jc w:val="center"/>
    </w:pPr>
    <w:rPr>
      <w:color w:val="000000"/>
      <w:szCs w:val="21"/>
      <w:lang w:val="zh-CN"/>
    </w:rPr>
  </w:style>
  <w:style w:type="character" w:customStyle="1" w:styleId="1932">
    <w:name w:val="陈表格中内容 Char Char"/>
    <w:link w:val="1931"/>
    <w:autoRedefine/>
    <w:qFormat/>
    <w:uiPriority w:val="0"/>
    <w:rPr>
      <w:color w:val="000000"/>
      <w:kern w:val="2"/>
      <w:sz w:val="21"/>
      <w:szCs w:val="21"/>
      <w:lang w:val="zh-CN" w:eastAsia="zh-CN"/>
    </w:rPr>
  </w:style>
  <w:style w:type="paragraph" w:customStyle="1" w:styleId="1933">
    <w:name w:val="陈表格中内容，两端对齐"/>
    <w:basedOn w:val="1931"/>
    <w:next w:val="1931"/>
    <w:autoRedefine/>
    <w:qFormat/>
    <w:uiPriority w:val="0"/>
  </w:style>
  <w:style w:type="paragraph" w:customStyle="1" w:styleId="1934">
    <w:name w:val="正文（永和）"/>
    <w:autoRedefine/>
    <w:qFormat/>
    <w:uiPriority w:val="0"/>
    <w:pPr>
      <w:spacing w:line="360" w:lineRule="auto"/>
      <w:ind w:firstLine="200" w:firstLineChars="200"/>
      <w:jc w:val="both"/>
    </w:pPr>
    <w:rPr>
      <w:rFonts w:ascii="Times New Roman" w:hAnsi="Times New Roman" w:eastAsia="宋体" w:cs="Times New Roman"/>
      <w:bCs/>
      <w:sz w:val="28"/>
      <w:szCs w:val="28"/>
      <w:lang w:val="en-US" w:eastAsia="zh-CN" w:bidi="ar-SA"/>
    </w:rPr>
  </w:style>
  <w:style w:type="paragraph" w:customStyle="1" w:styleId="1935">
    <w:name w:val="一级（永和）"/>
    <w:basedOn w:val="1"/>
    <w:next w:val="1934"/>
    <w:autoRedefine/>
    <w:qFormat/>
    <w:uiPriority w:val="0"/>
    <w:pPr>
      <w:spacing w:beforeLines="100" w:afterLines="100" w:line="360" w:lineRule="auto"/>
      <w:jc w:val="center"/>
      <w:outlineLvl w:val="0"/>
    </w:pPr>
    <w:rPr>
      <w:rFonts w:cs="宋体"/>
      <w:b/>
      <w:bCs/>
      <w:sz w:val="32"/>
      <w:szCs w:val="32"/>
    </w:rPr>
  </w:style>
  <w:style w:type="paragraph" w:customStyle="1" w:styleId="1936">
    <w:name w:val="陈标题3"/>
    <w:basedOn w:val="1"/>
    <w:next w:val="1"/>
    <w:autoRedefine/>
    <w:qFormat/>
    <w:uiPriority w:val="0"/>
    <w:pPr>
      <w:keepNext/>
      <w:keepLines/>
      <w:spacing w:line="288" w:lineRule="auto"/>
      <w:outlineLvl w:val="2"/>
    </w:pPr>
    <w:rPr>
      <w:rFonts w:eastAsia="楷体_GB2312"/>
      <w:b/>
      <w:sz w:val="30"/>
      <w:szCs w:val="30"/>
    </w:rPr>
  </w:style>
  <w:style w:type="paragraph" w:customStyle="1" w:styleId="1937">
    <w:name w:val="陈标题4"/>
    <w:basedOn w:val="1"/>
    <w:next w:val="1"/>
    <w:autoRedefine/>
    <w:qFormat/>
    <w:uiPriority w:val="0"/>
    <w:pPr>
      <w:keepNext/>
      <w:keepLines/>
      <w:spacing w:line="288" w:lineRule="auto"/>
      <w:outlineLvl w:val="3"/>
    </w:pPr>
    <w:rPr>
      <w:rFonts w:eastAsia="仿宋_GB2312"/>
      <w:b/>
      <w:sz w:val="28"/>
      <w:szCs w:val="28"/>
    </w:rPr>
  </w:style>
  <w:style w:type="paragraph" w:customStyle="1" w:styleId="1938">
    <w:name w:val="二级（永和）"/>
    <w:basedOn w:val="1935"/>
    <w:next w:val="1934"/>
    <w:autoRedefine/>
    <w:qFormat/>
    <w:uiPriority w:val="0"/>
  </w:style>
  <w:style w:type="paragraph" w:customStyle="1" w:styleId="1939">
    <w:name w:val="正文无缩进（永和）"/>
    <w:basedOn w:val="1934"/>
    <w:next w:val="1934"/>
    <w:autoRedefine/>
    <w:qFormat/>
    <w:uiPriority w:val="0"/>
    <w:pPr>
      <w:ind w:firstLine="0" w:firstLineChars="0"/>
    </w:pPr>
  </w:style>
  <w:style w:type="paragraph" w:customStyle="1" w:styleId="1940">
    <w:name w:val="表格小四"/>
    <w:basedOn w:val="1"/>
    <w:autoRedefine/>
    <w:qFormat/>
    <w:uiPriority w:val="0"/>
    <w:pPr>
      <w:snapToGrid w:val="0"/>
      <w:jc w:val="center"/>
    </w:pPr>
    <w:rPr>
      <w:rFonts w:eastAsia="仿宋_GB2312"/>
      <w:spacing w:val="-10"/>
    </w:rPr>
  </w:style>
  <w:style w:type="paragraph" w:customStyle="1" w:styleId="1941">
    <w:name w:val="表内式样"/>
    <w:autoRedefine/>
    <w:qFormat/>
    <w:uiPriority w:val="0"/>
    <w:pPr>
      <w:widowControl w:val="0"/>
      <w:adjustRightInd w:val="0"/>
      <w:jc w:val="center"/>
      <w:textAlignment w:val="baseline"/>
    </w:pPr>
    <w:rPr>
      <w:rFonts w:ascii="宋体" w:hAnsi="宋体" w:eastAsia="宋体" w:cs="Times New Roman"/>
      <w:kern w:val="2"/>
      <w:sz w:val="21"/>
      <w:lang w:val="en-US" w:eastAsia="zh-CN" w:bidi="ar-SA"/>
    </w:rPr>
  </w:style>
  <w:style w:type="paragraph" w:customStyle="1" w:styleId="1942">
    <w:name w:val="B"/>
    <w:basedOn w:val="6"/>
    <w:next w:val="1855"/>
    <w:autoRedefine/>
    <w:qFormat/>
    <w:uiPriority w:val="0"/>
    <w:pPr>
      <w:tabs>
        <w:tab w:val="left" w:pos="720"/>
      </w:tabs>
      <w:ind w:left="720" w:hanging="363"/>
    </w:pPr>
    <w:rPr>
      <w:kern w:val="0"/>
      <w:lang w:val="zh-CN"/>
    </w:rPr>
  </w:style>
  <w:style w:type="paragraph" w:customStyle="1" w:styleId="1943">
    <w:name w:val="C"/>
    <w:basedOn w:val="1942"/>
    <w:next w:val="1855"/>
    <w:autoRedefine/>
    <w:qFormat/>
    <w:uiPriority w:val="0"/>
    <w:pPr>
      <w:keepLines/>
      <w:tabs>
        <w:tab w:val="left" w:pos="805"/>
      </w:tabs>
      <w:spacing w:line="360" w:lineRule="auto"/>
      <w:ind w:left="805" w:hanging="805"/>
      <w:jc w:val="left"/>
      <w:outlineLvl w:val="2"/>
    </w:pPr>
    <w:rPr>
      <w:rFonts w:ascii="Times New Roman"/>
      <w:bCs/>
      <w:kern w:val="44"/>
      <w:sz w:val="30"/>
      <w:szCs w:val="24"/>
      <w:lang w:val="en-US"/>
    </w:rPr>
  </w:style>
  <w:style w:type="paragraph" w:customStyle="1" w:styleId="1944">
    <w:name w:val="D"/>
    <w:basedOn w:val="1943"/>
    <w:next w:val="1"/>
    <w:autoRedefine/>
    <w:qFormat/>
    <w:uiPriority w:val="0"/>
    <w:pPr>
      <w:tabs>
        <w:tab w:val="left" w:pos="1049"/>
        <w:tab w:val="clear" w:pos="805"/>
      </w:tabs>
      <w:ind w:left="1049" w:hanging="1049"/>
      <w:outlineLvl w:val="3"/>
    </w:pPr>
  </w:style>
  <w:style w:type="paragraph" w:customStyle="1" w:styleId="1945">
    <w:name w:val="E"/>
    <w:basedOn w:val="1944"/>
    <w:next w:val="1855"/>
    <w:autoRedefine/>
    <w:qFormat/>
    <w:uiPriority w:val="0"/>
    <w:pPr>
      <w:outlineLvl w:val="4"/>
    </w:pPr>
  </w:style>
  <w:style w:type="paragraph" w:customStyle="1" w:styleId="1946">
    <w:name w:val="Char Char2 Char Char Char Char Char Char Char"/>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1947">
    <w:name w:val="正文格式42"/>
    <w:basedOn w:val="1"/>
    <w:autoRedefine/>
    <w:qFormat/>
    <w:uiPriority w:val="0"/>
    <w:pPr>
      <w:spacing w:line="360" w:lineRule="auto"/>
      <w:ind w:firstLine="482"/>
    </w:pPr>
    <w:rPr>
      <w:rFonts w:ascii="宋体" w:hAnsi="宋体"/>
      <w:sz w:val="24"/>
    </w:rPr>
  </w:style>
  <w:style w:type="character" w:customStyle="1" w:styleId="1948">
    <w:name w:val="a51"/>
    <w:autoRedefine/>
    <w:qFormat/>
    <w:uiPriority w:val="0"/>
    <w:rPr>
      <w:rFonts w:ascii="宋体" w:hAnsi="宋体" w:eastAsia="宋体"/>
      <w:color w:val="000000"/>
      <w:spacing w:val="312"/>
      <w:kern w:val="2"/>
      <w:sz w:val="21"/>
      <w:szCs w:val="21"/>
      <w:u w:val="none"/>
      <w:lang w:val="en-US" w:eastAsia="zh-CN" w:bidi="ar-SA"/>
    </w:rPr>
  </w:style>
  <w:style w:type="paragraph" w:customStyle="1" w:styleId="1949">
    <w:name w:val="2级标题"/>
    <w:basedOn w:val="6"/>
    <w:autoRedefine/>
    <w:qFormat/>
    <w:uiPriority w:val="0"/>
    <w:pPr>
      <w:tabs>
        <w:tab w:val="left" w:pos="720"/>
      </w:tabs>
      <w:ind w:left="720" w:hanging="363"/>
    </w:pPr>
    <w:rPr>
      <w:kern w:val="0"/>
      <w:lang w:val="zh-CN"/>
    </w:rPr>
  </w:style>
  <w:style w:type="paragraph" w:customStyle="1" w:styleId="1950">
    <w:name w:val="Char Char Char1 Char Char Char Char Char Char"/>
    <w:basedOn w:val="1"/>
    <w:autoRedefine/>
    <w:qFormat/>
    <w:uiPriority w:val="0"/>
    <w:rPr>
      <w:rFonts w:ascii="黑体" w:hAnsi="黑体" w:eastAsia="黑体"/>
      <w:b/>
      <w:spacing w:val="10"/>
      <w:sz w:val="28"/>
      <w:szCs w:val="20"/>
    </w:rPr>
  </w:style>
  <w:style w:type="paragraph" w:customStyle="1" w:styleId="1951">
    <w:name w:val="样式 表格文字 + (西文) 宋体 (中文) 华文仿宋 小四 黑色"/>
    <w:basedOn w:val="183"/>
    <w:autoRedefine/>
    <w:qFormat/>
    <w:uiPriority w:val="0"/>
    <w:pPr>
      <w:tabs>
        <w:tab w:val="left" w:pos="560"/>
      </w:tabs>
      <w:overflowPunct w:val="0"/>
      <w:adjustRightInd w:val="0"/>
      <w:snapToGrid w:val="0"/>
      <w:spacing w:line="400" w:lineRule="exact"/>
      <w:ind w:firstLine="560" w:firstLineChars="200"/>
      <w:jc w:val="both"/>
    </w:pPr>
    <w:rPr>
      <w:rFonts w:ascii="宋体" w:hAnsi="宋体" w:cs="宋体"/>
      <w:b/>
      <w:snapToGrid w:val="0"/>
      <w:color w:val="000000"/>
      <w:spacing w:val="-6"/>
      <w:kern w:val="0"/>
      <w:sz w:val="20"/>
      <w:szCs w:val="20"/>
    </w:rPr>
  </w:style>
  <w:style w:type="paragraph" w:customStyle="1" w:styleId="1952">
    <w:name w:val="样式 表格文字 + (西文) 宋体 (中文) 华文仿宋 小四 黑色1"/>
    <w:basedOn w:val="183"/>
    <w:autoRedefine/>
    <w:qFormat/>
    <w:uiPriority w:val="0"/>
    <w:pPr>
      <w:tabs>
        <w:tab w:val="left" w:pos="560"/>
      </w:tabs>
      <w:overflowPunct w:val="0"/>
      <w:adjustRightInd w:val="0"/>
      <w:snapToGrid w:val="0"/>
      <w:spacing w:line="400" w:lineRule="exact"/>
      <w:ind w:firstLine="560" w:firstLineChars="200"/>
      <w:jc w:val="both"/>
    </w:pPr>
    <w:rPr>
      <w:rFonts w:ascii="宋体" w:hAnsi="宋体" w:cs="宋体"/>
      <w:b/>
      <w:snapToGrid w:val="0"/>
      <w:color w:val="000000"/>
      <w:spacing w:val="-6"/>
      <w:kern w:val="0"/>
      <w:sz w:val="20"/>
      <w:szCs w:val="28"/>
    </w:rPr>
  </w:style>
  <w:style w:type="paragraph" w:customStyle="1" w:styleId="1953">
    <w:name w:val="样式 报告书表格 + 小五 底端: (单实线 自动设置  0.75 磅 行宽)"/>
    <w:basedOn w:val="1"/>
    <w:autoRedefine/>
    <w:qFormat/>
    <w:uiPriority w:val="0"/>
    <w:pPr>
      <w:adjustRightInd w:val="0"/>
      <w:spacing w:line="400" w:lineRule="exact"/>
      <w:jc w:val="center"/>
      <w:textAlignment w:val="baseline"/>
    </w:pPr>
    <w:rPr>
      <w:rFonts w:eastAsia="仿宋_GB2312" w:cs="宋体"/>
      <w:kern w:val="0"/>
      <w:sz w:val="18"/>
      <w:szCs w:val="18"/>
    </w:rPr>
  </w:style>
  <w:style w:type="paragraph" w:customStyle="1" w:styleId="1954">
    <w:name w:val="正文-标准"/>
    <w:basedOn w:val="1"/>
    <w:autoRedefine/>
    <w:qFormat/>
    <w:uiPriority w:val="0"/>
    <w:pPr>
      <w:spacing w:line="500" w:lineRule="exact"/>
      <w:ind w:firstLine="200" w:firstLineChars="200"/>
    </w:pPr>
    <w:rPr>
      <w:sz w:val="24"/>
    </w:rPr>
  </w:style>
  <w:style w:type="paragraph" w:customStyle="1" w:styleId="1955">
    <w:name w:val="样式 标题 4 + 黑体 小四 非加粗"/>
    <w:basedOn w:val="9"/>
    <w:autoRedefine/>
    <w:qFormat/>
    <w:uiPriority w:val="0"/>
    <w:rPr>
      <w:rFonts w:ascii="等线 Light" w:hAnsi="等线 Light" w:eastAsia="等线 Light"/>
      <w:kern w:val="0"/>
      <w:lang w:val="zh-CN"/>
    </w:rPr>
  </w:style>
  <w:style w:type="paragraph" w:customStyle="1" w:styleId="1956">
    <w:name w:val="样式 表头样式1 + 首行缩进:  2 字符 段前: 0.5 行"/>
    <w:basedOn w:val="424"/>
    <w:autoRedefine/>
    <w:qFormat/>
    <w:uiPriority w:val="0"/>
    <w:pPr>
      <w:snapToGrid/>
      <w:spacing w:afterLines="0" w:afterAutospacing="1"/>
    </w:pPr>
    <w:rPr>
      <w:rFonts w:ascii="Times New Roman" w:hAnsi="Times New Roman" w:cs="宋体"/>
      <w:bCs/>
      <w:color w:val="000000"/>
      <w:szCs w:val="20"/>
      <w:lang w:eastAsia="zh-TW"/>
    </w:rPr>
  </w:style>
  <w:style w:type="paragraph" w:customStyle="1" w:styleId="1957">
    <w:name w:val="样式 标题 4 + 段前: 7.8 磅"/>
    <w:basedOn w:val="9"/>
    <w:autoRedefine/>
    <w:qFormat/>
    <w:uiPriority w:val="0"/>
    <w:rPr>
      <w:rFonts w:ascii="等线 Light" w:hAnsi="等线 Light" w:eastAsia="等线 Light"/>
      <w:kern w:val="0"/>
      <w:lang w:val="zh-CN"/>
    </w:rPr>
  </w:style>
  <w:style w:type="paragraph" w:customStyle="1" w:styleId="1958">
    <w:name w:val="样式 正文文本 + 首行缩进:  2 字符4"/>
    <w:basedOn w:val="2"/>
    <w:autoRedefine/>
    <w:qFormat/>
    <w:uiPriority w:val="0"/>
    <w:pPr>
      <w:widowControl w:val="0"/>
      <w:adjustRightInd w:val="0"/>
      <w:snapToGrid/>
      <w:spacing w:before="0" w:after="0" w:line="240" w:lineRule="auto"/>
      <w:ind w:right="0"/>
      <w:textAlignment w:val="baseline"/>
    </w:pPr>
    <w:rPr>
      <w:rFonts w:eastAsia="仿宋_GB2312" w:cs="宋体"/>
      <w:color w:val="000000"/>
      <w:kern w:val="2"/>
      <w:sz w:val="21"/>
      <w:szCs w:val="21"/>
    </w:rPr>
  </w:style>
  <w:style w:type="paragraph" w:customStyle="1" w:styleId="1959">
    <w:name w:val="样式 标题 3 + (西文)粗体"/>
    <w:basedOn w:val="7"/>
    <w:autoRedefine/>
    <w:qFormat/>
    <w:uiPriority w:val="0"/>
    <w:pPr>
      <w:tabs>
        <w:tab w:val="left" w:pos="1077"/>
      </w:tabs>
      <w:ind w:left="1077" w:hanging="357"/>
    </w:pPr>
    <w:rPr>
      <w:lang w:val="zh-CN"/>
    </w:rPr>
  </w:style>
  <w:style w:type="paragraph" w:customStyle="1" w:styleId="1960">
    <w:name w:val="正文(1)"/>
    <w:basedOn w:val="1"/>
    <w:autoRedefine/>
    <w:qFormat/>
    <w:uiPriority w:val="0"/>
    <w:pPr>
      <w:adjustRightInd w:val="0"/>
      <w:snapToGrid w:val="0"/>
      <w:spacing w:before="120" w:line="300" w:lineRule="auto"/>
      <w:ind w:firstLine="480" w:firstLineChars="200"/>
    </w:pPr>
    <w:rPr>
      <w:rFonts w:ascii="黑体" w:hAnsi="宋体" w:eastAsia="黑体"/>
      <w:b/>
      <w:snapToGrid w:val="0"/>
      <w:color w:val="339966"/>
      <w:kern w:val="0"/>
      <w:sz w:val="24"/>
    </w:rPr>
  </w:style>
  <w:style w:type="character" w:customStyle="1" w:styleId="1961">
    <w:name w:val="批注引用 Char"/>
    <w:autoRedefine/>
    <w:qFormat/>
    <w:uiPriority w:val="0"/>
  </w:style>
  <w:style w:type="character" w:customStyle="1" w:styleId="1962">
    <w:name w:val="链接"/>
    <w:autoRedefine/>
    <w:qFormat/>
    <w:uiPriority w:val="0"/>
    <w:rPr>
      <w:rFonts w:hint="eastAsia" w:ascii="宋体" w:hAnsi="宋体" w:eastAsia="宋体"/>
      <w:color w:val="0000FF"/>
      <w:kern w:val="2"/>
      <w:sz w:val="21"/>
      <w:szCs w:val="28"/>
      <w:u w:val="single" w:color="0000FF"/>
      <w:lang w:val="en-US" w:eastAsia="zh-CN" w:bidi="ar-SA"/>
    </w:rPr>
  </w:style>
  <w:style w:type="character" w:customStyle="1" w:styleId="1963">
    <w:name w:val="页码 Char"/>
    <w:autoRedefine/>
    <w:qFormat/>
    <w:uiPriority w:val="0"/>
  </w:style>
  <w:style w:type="paragraph" w:customStyle="1" w:styleId="1964">
    <w:name w:val="目录 9 Char Char"/>
    <w:basedOn w:val="1"/>
    <w:next w:val="1"/>
    <w:autoRedefine/>
    <w:qFormat/>
    <w:uiPriority w:val="0"/>
    <w:pPr>
      <w:spacing w:line="351" w:lineRule="atLeast"/>
      <w:ind w:left="1678" w:firstLine="419"/>
      <w:jc w:val="left"/>
    </w:pPr>
    <w:rPr>
      <w:rFonts w:hint="eastAsia"/>
      <w:szCs w:val="20"/>
    </w:rPr>
  </w:style>
  <w:style w:type="paragraph" w:customStyle="1" w:styleId="1965">
    <w:name w:val="页脚 Char Char"/>
    <w:basedOn w:val="1"/>
    <w:autoRedefine/>
    <w:qFormat/>
    <w:uiPriority w:val="0"/>
    <w:pPr>
      <w:tabs>
        <w:tab w:val="left" w:pos="4149"/>
        <w:tab w:val="left" w:pos="8016"/>
      </w:tabs>
      <w:spacing w:line="351" w:lineRule="atLeast"/>
      <w:ind w:firstLine="419"/>
      <w:jc w:val="left"/>
    </w:pPr>
    <w:rPr>
      <w:rFonts w:hint="eastAsia"/>
      <w:sz w:val="18"/>
      <w:szCs w:val="20"/>
    </w:rPr>
  </w:style>
  <w:style w:type="paragraph" w:customStyle="1" w:styleId="1966">
    <w:name w:val="目录 4 Char Char"/>
    <w:basedOn w:val="1"/>
    <w:next w:val="1"/>
    <w:autoRedefine/>
    <w:qFormat/>
    <w:uiPriority w:val="0"/>
    <w:pPr>
      <w:spacing w:line="351" w:lineRule="atLeast"/>
      <w:ind w:left="629" w:firstLine="419"/>
      <w:jc w:val="left"/>
    </w:pPr>
    <w:rPr>
      <w:rFonts w:hint="eastAsia"/>
      <w:szCs w:val="20"/>
    </w:rPr>
  </w:style>
  <w:style w:type="paragraph" w:customStyle="1" w:styleId="1967">
    <w:name w:val="目录 3 Char Char"/>
    <w:basedOn w:val="1"/>
    <w:next w:val="1"/>
    <w:autoRedefine/>
    <w:qFormat/>
    <w:uiPriority w:val="0"/>
    <w:pPr>
      <w:spacing w:line="351" w:lineRule="atLeast"/>
      <w:ind w:left="419" w:firstLine="419"/>
      <w:jc w:val="left"/>
    </w:pPr>
    <w:rPr>
      <w:rFonts w:hint="eastAsia"/>
      <w:i/>
      <w:szCs w:val="20"/>
    </w:rPr>
  </w:style>
  <w:style w:type="paragraph" w:customStyle="1" w:styleId="1968">
    <w:name w:val="目录 8 Char Char"/>
    <w:basedOn w:val="1"/>
    <w:next w:val="1"/>
    <w:autoRedefine/>
    <w:qFormat/>
    <w:uiPriority w:val="0"/>
    <w:pPr>
      <w:spacing w:line="351" w:lineRule="atLeast"/>
      <w:ind w:left="1468" w:firstLine="419"/>
      <w:jc w:val="left"/>
    </w:pPr>
    <w:rPr>
      <w:rFonts w:hint="eastAsia"/>
      <w:szCs w:val="20"/>
    </w:rPr>
  </w:style>
  <w:style w:type="paragraph" w:customStyle="1" w:styleId="1969">
    <w:name w:val="日期 Char Char"/>
    <w:basedOn w:val="1"/>
    <w:next w:val="1"/>
    <w:autoRedefine/>
    <w:qFormat/>
    <w:uiPriority w:val="0"/>
    <w:pPr>
      <w:spacing w:line="351" w:lineRule="atLeast"/>
      <w:ind w:firstLine="419"/>
    </w:pPr>
    <w:rPr>
      <w:rFonts w:hint="eastAsia" w:eastAsia="仿宋_GB2312"/>
      <w:sz w:val="31"/>
      <w:szCs w:val="20"/>
    </w:rPr>
  </w:style>
  <w:style w:type="paragraph" w:customStyle="1" w:styleId="1970">
    <w:name w:val="批注文字 Char Char"/>
    <w:basedOn w:val="1"/>
    <w:autoRedefine/>
    <w:qFormat/>
    <w:uiPriority w:val="0"/>
    <w:pPr>
      <w:spacing w:line="351" w:lineRule="atLeast"/>
      <w:ind w:firstLine="419"/>
      <w:jc w:val="left"/>
    </w:pPr>
    <w:rPr>
      <w:rFonts w:hint="eastAsia"/>
      <w:szCs w:val="20"/>
    </w:rPr>
  </w:style>
  <w:style w:type="paragraph" w:customStyle="1" w:styleId="1971">
    <w:name w:val="目录3"/>
    <w:basedOn w:val="1"/>
    <w:next w:val="1"/>
    <w:autoRedefine/>
    <w:qFormat/>
    <w:uiPriority w:val="0"/>
    <w:pPr>
      <w:tabs>
        <w:tab w:val="left" w:leader="dot" w:pos="8503"/>
      </w:tabs>
      <w:spacing w:line="317" w:lineRule="atLeast"/>
      <w:ind w:left="419" w:firstLine="419"/>
    </w:pPr>
    <w:rPr>
      <w:rFonts w:hint="eastAsia"/>
      <w:szCs w:val="20"/>
    </w:rPr>
  </w:style>
  <w:style w:type="paragraph" w:customStyle="1" w:styleId="1972">
    <w:name w:val="目录 2 Char Char"/>
    <w:basedOn w:val="1"/>
    <w:next w:val="1"/>
    <w:autoRedefine/>
    <w:qFormat/>
    <w:uiPriority w:val="0"/>
    <w:pPr>
      <w:spacing w:line="351" w:lineRule="atLeast"/>
      <w:ind w:left="209" w:firstLine="419"/>
      <w:jc w:val="left"/>
    </w:pPr>
    <w:rPr>
      <w:rFonts w:hint="eastAsia"/>
      <w:szCs w:val="20"/>
    </w:rPr>
  </w:style>
  <w:style w:type="paragraph" w:customStyle="1" w:styleId="1973">
    <w:name w:val="目录 6 Char Char"/>
    <w:basedOn w:val="1"/>
    <w:next w:val="1"/>
    <w:autoRedefine/>
    <w:qFormat/>
    <w:uiPriority w:val="0"/>
    <w:pPr>
      <w:spacing w:line="351" w:lineRule="atLeast"/>
      <w:ind w:left="1048" w:firstLine="419"/>
      <w:jc w:val="left"/>
    </w:pPr>
    <w:rPr>
      <w:rFonts w:hint="eastAsia"/>
      <w:szCs w:val="20"/>
    </w:rPr>
  </w:style>
  <w:style w:type="paragraph" w:customStyle="1" w:styleId="1974">
    <w:name w:val="目录 1 Char Char"/>
    <w:basedOn w:val="1"/>
    <w:next w:val="1"/>
    <w:autoRedefine/>
    <w:qFormat/>
    <w:uiPriority w:val="0"/>
    <w:pPr>
      <w:tabs>
        <w:tab w:val="left" w:leader="dot" w:pos="8010"/>
      </w:tabs>
      <w:snapToGrid w:val="0"/>
      <w:spacing w:line="300" w:lineRule="auto"/>
      <w:jc w:val="left"/>
    </w:pPr>
    <w:rPr>
      <w:rFonts w:hint="eastAsia" w:eastAsia="黑体"/>
      <w:sz w:val="28"/>
      <w:szCs w:val="20"/>
    </w:rPr>
  </w:style>
  <w:style w:type="paragraph" w:customStyle="1" w:styleId="1975">
    <w:name w:val="目录 5 Char Char"/>
    <w:basedOn w:val="1"/>
    <w:next w:val="1"/>
    <w:autoRedefine/>
    <w:qFormat/>
    <w:uiPriority w:val="0"/>
    <w:pPr>
      <w:spacing w:line="351" w:lineRule="atLeast"/>
      <w:ind w:left="839" w:firstLine="419"/>
      <w:jc w:val="left"/>
    </w:pPr>
    <w:rPr>
      <w:rFonts w:hint="eastAsia"/>
      <w:szCs w:val="20"/>
    </w:rPr>
  </w:style>
  <w:style w:type="paragraph" w:customStyle="1" w:styleId="1976">
    <w:name w:val="目录fuxi"/>
    <w:basedOn w:val="1"/>
    <w:autoRedefine/>
    <w:qFormat/>
    <w:uiPriority w:val="0"/>
    <w:pPr>
      <w:snapToGrid w:val="0"/>
      <w:spacing w:before="60" w:after="60"/>
      <w:jc w:val="center"/>
    </w:pPr>
    <w:rPr>
      <w:rFonts w:hint="eastAsia" w:ascii="宋体"/>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1977">
    <w:name w:val="正文新"/>
    <w:basedOn w:val="1"/>
    <w:autoRedefine/>
    <w:qFormat/>
    <w:uiPriority w:val="0"/>
    <w:pPr>
      <w:spacing w:before="80" w:after="60" w:line="300" w:lineRule="auto"/>
      <w:ind w:firstLine="510"/>
    </w:pPr>
    <w:rPr>
      <w:snapToGrid w:val="0"/>
      <w:kern w:val="0"/>
      <w:sz w:val="24"/>
    </w:rPr>
  </w:style>
  <w:style w:type="paragraph" w:customStyle="1" w:styleId="1978">
    <w:name w:val="Style1"/>
    <w:basedOn w:val="1"/>
    <w:autoRedefine/>
    <w:qFormat/>
    <w:uiPriority w:val="0"/>
    <w:pPr>
      <w:spacing w:after="120"/>
      <w:ind w:left="851"/>
    </w:pPr>
    <w:rPr>
      <w:szCs w:val="20"/>
    </w:rPr>
  </w:style>
  <w:style w:type="paragraph" w:customStyle="1" w:styleId="1979">
    <w:name w:val="样式 标题 3 + 首行缩进:  2 字符1"/>
    <w:basedOn w:val="7"/>
    <w:autoRedefine/>
    <w:qFormat/>
    <w:uiPriority w:val="0"/>
    <w:pPr>
      <w:tabs>
        <w:tab w:val="left" w:pos="1077"/>
      </w:tabs>
      <w:ind w:left="1077" w:hanging="357"/>
    </w:pPr>
    <w:rPr>
      <w:lang w:val="zh-CN"/>
    </w:rPr>
  </w:style>
  <w:style w:type="character" w:customStyle="1" w:styleId="1980">
    <w:name w:val="infodetail1"/>
    <w:autoRedefine/>
    <w:qFormat/>
    <w:uiPriority w:val="0"/>
    <w:rPr>
      <w:rFonts w:hint="default" w:ascii="ˎ̥" w:hAnsi="ˎ̥" w:eastAsia="黑体"/>
      <w:b/>
      <w:color w:val="000000"/>
      <w:spacing w:val="10"/>
      <w:kern w:val="44"/>
      <w:sz w:val="24"/>
      <w:szCs w:val="24"/>
      <w:u w:val="none"/>
      <w:lang w:val="en-US" w:eastAsia="zh-CN" w:bidi="ar-SA"/>
    </w:rPr>
  </w:style>
  <w:style w:type="paragraph" w:customStyle="1" w:styleId="1981">
    <w:name w:val="Char Char Char1 Char Char Char Char Char Char Char Char Char Char Char Char Char Char Char Char Char Char Char Char Char Char"/>
    <w:basedOn w:val="1"/>
    <w:autoRedefine/>
    <w:qFormat/>
    <w:uiPriority w:val="0"/>
    <w:rPr>
      <w:rFonts w:ascii="黑体" w:hAnsi="黑体" w:eastAsia="黑体"/>
      <w:b/>
      <w:spacing w:val="10"/>
      <w:kern w:val="44"/>
      <w:sz w:val="28"/>
      <w:szCs w:val="20"/>
    </w:rPr>
  </w:style>
  <w:style w:type="paragraph" w:customStyle="1" w:styleId="1982">
    <w:name w:val="样式 报告书表格 + 字距调整二号"/>
    <w:basedOn w:val="236"/>
    <w:link w:val="1983"/>
    <w:autoRedefine/>
    <w:qFormat/>
    <w:uiPriority w:val="0"/>
    <w:pPr>
      <w:spacing w:line="400" w:lineRule="exact"/>
    </w:pPr>
    <w:rPr>
      <w:rFonts w:ascii="Times New Roman" w:hAnsi="Times New Roman" w:eastAsia="仿宋_GB2312"/>
      <w:color w:val="auto"/>
      <w:kern w:val="44"/>
      <w:sz w:val="24"/>
    </w:rPr>
  </w:style>
  <w:style w:type="character" w:customStyle="1" w:styleId="1983">
    <w:name w:val="样式 报告书表格 + 字距调整二号 Char"/>
    <w:link w:val="1982"/>
    <w:autoRedefine/>
    <w:qFormat/>
    <w:uiPriority w:val="0"/>
    <w:rPr>
      <w:rFonts w:eastAsia="仿宋_GB2312"/>
      <w:kern w:val="44"/>
      <w:sz w:val="24"/>
      <w:szCs w:val="21"/>
      <w:lang w:val="zh-CN" w:eastAsia="zh-CN"/>
    </w:rPr>
  </w:style>
  <w:style w:type="paragraph" w:customStyle="1" w:styleId="1984">
    <w:name w:val="样式 样式 报告书表格 + 字距调整二号 +"/>
    <w:basedOn w:val="1982"/>
    <w:autoRedefine/>
    <w:qFormat/>
    <w:uiPriority w:val="0"/>
  </w:style>
  <w:style w:type="paragraph" w:customStyle="1" w:styleId="1985">
    <w:name w:val="谏壁正文chen"/>
    <w:basedOn w:val="1"/>
    <w:link w:val="1986"/>
    <w:autoRedefine/>
    <w:qFormat/>
    <w:uiPriority w:val="0"/>
    <w:pPr>
      <w:spacing w:line="360" w:lineRule="auto"/>
      <w:ind w:firstLine="200" w:firstLineChars="200"/>
    </w:pPr>
    <w:rPr>
      <w:sz w:val="24"/>
      <w:lang w:val="zh-CN"/>
    </w:rPr>
  </w:style>
  <w:style w:type="character" w:customStyle="1" w:styleId="1986">
    <w:name w:val="谏壁正文chen Char"/>
    <w:link w:val="1985"/>
    <w:autoRedefine/>
    <w:qFormat/>
    <w:uiPriority w:val="0"/>
    <w:rPr>
      <w:kern w:val="2"/>
      <w:sz w:val="24"/>
      <w:szCs w:val="24"/>
      <w:lang w:val="zh-CN" w:eastAsia="zh-CN"/>
    </w:rPr>
  </w:style>
  <w:style w:type="paragraph" w:customStyle="1" w:styleId="1987">
    <w:name w:val="hhcwt正文"/>
    <w:basedOn w:val="1"/>
    <w:link w:val="1988"/>
    <w:autoRedefine/>
    <w:qFormat/>
    <w:uiPriority w:val="0"/>
    <w:pPr>
      <w:spacing w:line="360" w:lineRule="auto"/>
      <w:ind w:firstLine="480" w:firstLineChars="200"/>
    </w:pPr>
    <w:rPr>
      <w:sz w:val="24"/>
      <w:lang w:val="zh-CN"/>
    </w:rPr>
  </w:style>
  <w:style w:type="character" w:customStyle="1" w:styleId="1988">
    <w:name w:val="hhcwt正文 Char"/>
    <w:link w:val="1987"/>
    <w:autoRedefine/>
    <w:qFormat/>
    <w:uiPriority w:val="0"/>
    <w:rPr>
      <w:kern w:val="2"/>
      <w:sz w:val="24"/>
      <w:szCs w:val="24"/>
      <w:lang w:val="zh-CN" w:eastAsia="zh-CN"/>
    </w:rPr>
  </w:style>
  <w:style w:type="paragraph" w:customStyle="1" w:styleId="1989">
    <w:name w:val="chen 正文字体"/>
    <w:basedOn w:val="1"/>
    <w:link w:val="1990"/>
    <w:autoRedefine/>
    <w:qFormat/>
    <w:uiPriority w:val="0"/>
    <w:pPr>
      <w:spacing w:line="360" w:lineRule="auto"/>
      <w:ind w:firstLine="200" w:firstLineChars="200"/>
    </w:pPr>
    <w:rPr>
      <w:rFonts w:ascii="宋体" w:hAnsi="宋体"/>
      <w:color w:val="000000"/>
      <w:sz w:val="24"/>
      <w:lang w:val="zh-CN"/>
    </w:rPr>
  </w:style>
  <w:style w:type="character" w:customStyle="1" w:styleId="1990">
    <w:name w:val="chen 正文字体 Char"/>
    <w:link w:val="1989"/>
    <w:autoRedefine/>
    <w:qFormat/>
    <w:uiPriority w:val="0"/>
    <w:rPr>
      <w:rFonts w:ascii="宋体" w:hAnsi="宋体"/>
      <w:color w:val="000000"/>
      <w:kern w:val="2"/>
      <w:sz w:val="24"/>
      <w:szCs w:val="24"/>
      <w:lang w:val="zh-CN" w:eastAsia="zh-CN"/>
    </w:rPr>
  </w:style>
  <w:style w:type="character" w:customStyle="1" w:styleId="1991">
    <w:name w:val="样式 样式 宋体 小四 行距: 多倍行距 1.4 字行2 + 黑色 Char"/>
    <w:link w:val="1992"/>
    <w:autoRedefine/>
    <w:qFormat/>
    <w:uiPriority w:val="0"/>
    <w:rPr>
      <w:rFonts w:ascii="宋体" w:hAnsi="宋体"/>
      <w:color w:val="000000"/>
      <w:sz w:val="24"/>
      <w:szCs w:val="24"/>
    </w:rPr>
  </w:style>
  <w:style w:type="paragraph" w:customStyle="1" w:styleId="1992">
    <w:name w:val="样式 样式 宋体 小四 行距: 多倍行距 1.4 字行2 + 黑色"/>
    <w:basedOn w:val="1"/>
    <w:link w:val="1991"/>
    <w:autoRedefine/>
    <w:qFormat/>
    <w:uiPriority w:val="0"/>
    <w:pPr>
      <w:spacing w:line="336" w:lineRule="auto"/>
      <w:ind w:firstLine="480" w:firstLineChars="200"/>
    </w:pPr>
    <w:rPr>
      <w:rFonts w:ascii="宋体" w:hAnsi="宋体"/>
      <w:color w:val="000000"/>
      <w:kern w:val="0"/>
      <w:sz w:val="24"/>
    </w:rPr>
  </w:style>
  <w:style w:type="paragraph" w:customStyle="1" w:styleId="1993">
    <w:name w:val="样式 样式 样式 宋体 小四 行距: 多倍行距 1.4 字行2 + 黑色 + Times New Roman1"/>
    <w:basedOn w:val="1"/>
    <w:link w:val="1994"/>
    <w:autoRedefine/>
    <w:qFormat/>
    <w:uiPriority w:val="0"/>
    <w:pPr>
      <w:spacing w:line="360" w:lineRule="auto"/>
      <w:ind w:firstLine="200" w:firstLineChars="200"/>
    </w:pPr>
    <w:rPr>
      <w:color w:val="000000"/>
      <w:sz w:val="24"/>
      <w:lang w:val="zh-CN"/>
    </w:rPr>
  </w:style>
  <w:style w:type="character" w:customStyle="1" w:styleId="1994">
    <w:name w:val="样式 样式 样式 宋体 小四 行距: 多倍行距 1.4 字行2 + 黑色 + Times New Roman1 Char"/>
    <w:link w:val="1993"/>
    <w:autoRedefine/>
    <w:qFormat/>
    <w:uiPriority w:val="0"/>
    <w:rPr>
      <w:color w:val="000000"/>
      <w:kern w:val="2"/>
      <w:sz w:val="24"/>
      <w:szCs w:val="24"/>
      <w:lang w:val="zh-CN" w:eastAsia="zh-CN"/>
    </w:rPr>
  </w:style>
  <w:style w:type="paragraph" w:customStyle="1" w:styleId="1995">
    <w:name w:val="chen正文字体11"/>
    <w:basedOn w:val="1"/>
    <w:link w:val="1996"/>
    <w:autoRedefine/>
    <w:qFormat/>
    <w:uiPriority w:val="0"/>
    <w:pPr>
      <w:spacing w:line="360" w:lineRule="auto"/>
      <w:ind w:firstLine="480" w:firstLineChars="200"/>
    </w:pPr>
    <w:rPr>
      <w:color w:val="000000"/>
      <w:sz w:val="24"/>
      <w:lang w:val="zh-CN"/>
    </w:rPr>
  </w:style>
  <w:style w:type="character" w:customStyle="1" w:styleId="1996">
    <w:name w:val="chen正文字体11 Char"/>
    <w:link w:val="1995"/>
    <w:autoRedefine/>
    <w:qFormat/>
    <w:uiPriority w:val="0"/>
    <w:rPr>
      <w:color w:val="000000"/>
      <w:kern w:val="2"/>
      <w:sz w:val="24"/>
      <w:szCs w:val="24"/>
      <w:lang w:val="zh-CN" w:eastAsia="zh-CN"/>
    </w:rPr>
  </w:style>
  <w:style w:type="paragraph" w:customStyle="1" w:styleId="1997">
    <w:name w:val="chen表头1"/>
    <w:basedOn w:val="1"/>
    <w:link w:val="1998"/>
    <w:autoRedefine/>
    <w:qFormat/>
    <w:uiPriority w:val="0"/>
    <w:pPr>
      <w:spacing w:after="120" w:line="500" w:lineRule="exact"/>
      <w:jc w:val="center"/>
    </w:pPr>
    <w:rPr>
      <w:rFonts w:eastAsia="楷体_GB2312"/>
      <w:b/>
      <w:sz w:val="24"/>
      <w:lang w:val="zh-CN"/>
    </w:rPr>
  </w:style>
  <w:style w:type="character" w:customStyle="1" w:styleId="1998">
    <w:name w:val="chen表头1 Char"/>
    <w:link w:val="1997"/>
    <w:autoRedefine/>
    <w:qFormat/>
    <w:uiPriority w:val="0"/>
    <w:rPr>
      <w:rFonts w:eastAsia="楷体_GB2312"/>
      <w:b/>
      <w:kern w:val="2"/>
      <w:sz w:val="24"/>
      <w:szCs w:val="24"/>
      <w:lang w:val="zh-CN" w:eastAsia="zh-CN"/>
    </w:rPr>
  </w:style>
  <w:style w:type="paragraph" w:customStyle="1" w:styleId="1999">
    <w:name w:val="样式 样式 样式 宋体 小四 行距: 多倍行距 1.4 字行2 + 黑色 + Times New Roman2"/>
    <w:basedOn w:val="1992"/>
    <w:link w:val="2000"/>
    <w:autoRedefine/>
    <w:qFormat/>
    <w:uiPriority w:val="0"/>
    <w:pPr>
      <w:spacing w:line="360" w:lineRule="auto"/>
      <w:ind w:firstLine="200"/>
    </w:pPr>
  </w:style>
  <w:style w:type="character" w:customStyle="1" w:styleId="2000">
    <w:name w:val="样式 样式 样式 宋体 小四 行距: 多倍行距 1.4 字行2 + 黑色 + Times New Roman2 Char"/>
    <w:link w:val="1999"/>
    <w:autoRedefine/>
    <w:qFormat/>
    <w:uiPriority w:val="0"/>
    <w:rPr>
      <w:rFonts w:ascii="宋体" w:hAnsi="宋体"/>
      <w:color w:val="000000"/>
      <w:sz w:val="24"/>
      <w:szCs w:val="24"/>
    </w:rPr>
  </w:style>
  <w:style w:type="paragraph" w:customStyle="1" w:styleId="2001">
    <w:name w:val="样式正文"/>
    <w:basedOn w:val="1"/>
    <w:link w:val="2002"/>
    <w:autoRedefine/>
    <w:qFormat/>
    <w:uiPriority w:val="0"/>
    <w:pPr>
      <w:spacing w:line="400" w:lineRule="exact"/>
      <w:ind w:firstLine="200" w:firstLineChars="200"/>
    </w:pPr>
    <w:rPr>
      <w:sz w:val="24"/>
      <w:lang w:val="zh-CN"/>
    </w:rPr>
  </w:style>
  <w:style w:type="character" w:customStyle="1" w:styleId="2002">
    <w:name w:val="样式正文 Char"/>
    <w:link w:val="2001"/>
    <w:autoRedefine/>
    <w:qFormat/>
    <w:uiPriority w:val="0"/>
    <w:rPr>
      <w:kern w:val="2"/>
      <w:sz w:val="24"/>
      <w:szCs w:val="24"/>
      <w:lang w:val="zh-CN" w:eastAsia="zh-CN"/>
    </w:rPr>
  </w:style>
  <w:style w:type="paragraph" w:customStyle="1" w:styleId="2003">
    <w:name w:val="hhcwt标题3"/>
    <w:basedOn w:val="1"/>
    <w:link w:val="2004"/>
    <w:autoRedefine/>
    <w:qFormat/>
    <w:uiPriority w:val="0"/>
    <w:pPr>
      <w:keepNext/>
      <w:keepLines/>
      <w:spacing w:line="336" w:lineRule="auto"/>
      <w:outlineLvl w:val="2"/>
    </w:pPr>
    <w:rPr>
      <w:rFonts w:eastAsia="楷体_GB2312"/>
      <w:bCs/>
      <w:sz w:val="28"/>
      <w:lang w:val="zh-CN"/>
    </w:rPr>
  </w:style>
  <w:style w:type="character" w:customStyle="1" w:styleId="2004">
    <w:name w:val="hhcwt标题3 Char Char"/>
    <w:link w:val="2003"/>
    <w:autoRedefine/>
    <w:qFormat/>
    <w:uiPriority w:val="0"/>
    <w:rPr>
      <w:rFonts w:eastAsia="楷体_GB2312"/>
      <w:bCs/>
      <w:kern w:val="2"/>
      <w:sz w:val="28"/>
      <w:szCs w:val="24"/>
      <w:lang w:val="zh-CN" w:eastAsia="zh-CN"/>
    </w:rPr>
  </w:style>
  <w:style w:type="paragraph" w:customStyle="1" w:styleId="2005">
    <w:name w:val="hhcwt标题4"/>
    <w:basedOn w:val="9"/>
    <w:link w:val="2006"/>
    <w:autoRedefine/>
    <w:qFormat/>
    <w:uiPriority w:val="0"/>
    <w:rPr>
      <w:rFonts w:ascii="等线 Light" w:hAnsi="等线 Light" w:eastAsia="等线 Light"/>
      <w:kern w:val="0"/>
      <w:lang w:val="zh-CN"/>
    </w:rPr>
  </w:style>
  <w:style w:type="character" w:customStyle="1" w:styleId="2006">
    <w:name w:val="hhcwt标题4 Char Char"/>
    <w:link w:val="2005"/>
    <w:autoRedefine/>
    <w:qFormat/>
    <w:uiPriority w:val="0"/>
    <w:rPr>
      <w:rFonts w:ascii="等线 Light" w:hAnsi="等线 Light" w:eastAsia="等线 Light"/>
      <w:b/>
      <w:bCs/>
      <w:sz w:val="28"/>
      <w:szCs w:val="28"/>
      <w:lang w:val="zh-CN" w:eastAsia="zh-CN"/>
    </w:rPr>
  </w:style>
  <w:style w:type="paragraph" w:customStyle="1" w:styleId="2007">
    <w:name w:val="hhcwt表头"/>
    <w:basedOn w:val="1"/>
    <w:link w:val="2008"/>
    <w:autoRedefine/>
    <w:qFormat/>
    <w:uiPriority w:val="0"/>
    <w:pPr>
      <w:spacing w:after="120" w:line="500" w:lineRule="exact"/>
      <w:jc w:val="center"/>
    </w:pPr>
    <w:rPr>
      <w:rFonts w:ascii="楷体_GB2312" w:eastAsia="楷体_GB2312"/>
      <w:b/>
      <w:bCs/>
      <w:sz w:val="24"/>
      <w:lang w:val="zh-CN"/>
    </w:rPr>
  </w:style>
  <w:style w:type="character" w:customStyle="1" w:styleId="2008">
    <w:name w:val="hhcwt表头 Char Char"/>
    <w:link w:val="2007"/>
    <w:autoRedefine/>
    <w:qFormat/>
    <w:uiPriority w:val="0"/>
    <w:rPr>
      <w:rFonts w:ascii="楷体_GB2312" w:eastAsia="楷体_GB2312"/>
      <w:b/>
      <w:bCs/>
      <w:kern w:val="2"/>
      <w:sz w:val="24"/>
      <w:szCs w:val="24"/>
      <w:lang w:val="zh-CN" w:eastAsia="zh-CN"/>
    </w:rPr>
  </w:style>
  <w:style w:type="paragraph" w:customStyle="1" w:styleId="2009">
    <w:name w:val="hhcwt标题1"/>
    <w:basedOn w:val="1"/>
    <w:link w:val="2010"/>
    <w:autoRedefine/>
    <w:qFormat/>
    <w:uiPriority w:val="0"/>
    <w:pPr>
      <w:keepNext/>
      <w:keepLines/>
      <w:autoSpaceDE w:val="0"/>
      <w:autoSpaceDN w:val="0"/>
      <w:adjustRightInd w:val="0"/>
      <w:spacing w:before="120" w:after="120" w:line="336" w:lineRule="auto"/>
      <w:outlineLvl w:val="0"/>
    </w:pPr>
    <w:rPr>
      <w:rFonts w:eastAsia="黑体"/>
      <w:kern w:val="44"/>
      <w:sz w:val="36"/>
      <w:lang w:val="zh-CN"/>
    </w:rPr>
  </w:style>
  <w:style w:type="character" w:customStyle="1" w:styleId="2010">
    <w:name w:val="hhcwt标题1 Char Char"/>
    <w:link w:val="2009"/>
    <w:autoRedefine/>
    <w:qFormat/>
    <w:uiPriority w:val="0"/>
    <w:rPr>
      <w:rFonts w:eastAsia="黑体"/>
      <w:kern w:val="44"/>
      <w:sz w:val="36"/>
      <w:szCs w:val="24"/>
      <w:lang w:val="zh-CN" w:eastAsia="zh-CN"/>
    </w:rPr>
  </w:style>
  <w:style w:type="character" w:customStyle="1" w:styleId="2011">
    <w:name w:val="p9l1"/>
    <w:autoRedefine/>
    <w:qFormat/>
    <w:uiPriority w:val="0"/>
    <w:rPr>
      <w:rFonts w:ascii="宋体" w:hAnsi="宋体" w:eastAsia="宋体"/>
      <w:kern w:val="2"/>
      <w:sz w:val="18"/>
      <w:szCs w:val="18"/>
      <w:u w:val="none"/>
      <w:lang w:val="en-US" w:eastAsia="zh-CN" w:bidi="ar-SA"/>
    </w:rPr>
  </w:style>
  <w:style w:type="paragraph" w:customStyle="1" w:styleId="2012">
    <w:name w:val="Char Char Char1 Char Char Char Char Char Char Char Char Char Char Char Char Char Char Char1 Char Char Char Char Char Char Char Char Char Char Char Char"/>
    <w:basedOn w:val="1"/>
    <w:autoRedefine/>
    <w:qFormat/>
    <w:uiPriority w:val="0"/>
    <w:rPr>
      <w:szCs w:val="21"/>
    </w:rPr>
  </w:style>
  <w:style w:type="character" w:customStyle="1" w:styleId="2013">
    <w:name w:val="ourfont31"/>
    <w:autoRedefine/>
    <w:qFormat/>
    <w:uiPriority w:val="0"/>
    <w:rPr>
      <w:rFonts w:ascii="宋体" w:hAnsi="宋体" w:eastAsia="宋体"/>
      <w:spacing w:val="20"/>
      <w:kern w:val="2"/>
      <w:sz w:val="21"/>
      <w:szCs w:val="21"/>
      <w:lang w:val="en-US" w:eastAsia="zh-CN" w:bidi="ar-SA"/>
    </w:rPr>
  </w:style>
  <w:style w:type="paragraph" w:customStyle="1" w:styleId="2014">
    <w:name w:val="小4黑居中行1"/>
    <w:autoRedefine/>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2015">
    <w:name w:val="大纲封面"/>
    <w:basedOn w:val="1"/>
    <w:autoRedefine/>
    <w:qFormat/>
    <w:uiPriority w:val="0"/>
    <w:pPr>
      <w:spacing w:line="360" w:lineRule="auto"/>
      <w:jc w:val="center"/>
    </w:pPr>
    <w:rPr>
      <w:rFonts w:ascii="宋体" w:eastAsia="楷体_GB2312"/>
      <w:b/>
      <w:spacing w:val="100"/>
      <w:sz w:val="72"/>
    </w:rPr>
  </w:style>
  <w:style w:type="paragraph" w:customStyle="1" w:styleId="2016">
    <w:name w:val="封面单位"/>
    <w:basedOn w:val="1"/>
    <w:autoRedefine/>
    <w:qFormat/>
    <w:uiPriority w:val="0"/>
    <w:pPr>
      <w:tabs>
        <w:tab w:val="right" w:leader="middleDot" w:pos="8222"/>
      </w:tabs>
      <w:spacing w:line="360" w:lineRule="auto"/>
      <w:jc w:val="center"/>
    </w:pPr>
    <w:rPr>
      <w:rFonts w:ascii="楷体_GB2312" w:eastAsia="楷体_GB2312"/>
      <w:b/>
      <w:sz w:val="36"/>
    </w:rPr>
  </w:style>
  <w:style w:type="paragraph" w:customStyle="1" w:styleId="2017">
    <w:name w:val="我的样式（正文） Char"/>
    <w:basedOn w:val="1"/>
    <w:autoRedefine/>
    <w:qFormat/>
    <w:uiPriority w:val="0"/>
    <w:pPr>
      <w:spacing w:line="440" w:lineRule="exact"/>
    </w:pPr>
    <w:rPr>
      <w:rFonts w:ascii="宋体" w:hAnsi="华文楷体"/>
      <w:sz w:val="28"/>
    </w:rPr>
  </w:style>
  <w:style w:type="paragraph" w:customStyle="1" w:styleId="2018">
    <w:name w:val="HTML 预先格式化"/>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customStyle="1" w:styleId="2019">
    <w:name w:val="文档正文"/>
    <w:basedOn w:val="1"/>
    <w:autoRedefine/>
    <w:qFormat/>
    <w:uiPriority w:val="0"/>
    <w:pPr>
      <w:adjustRightInd w:val="0"/>
      <w:spacing w:line="480" w:lineRule="atLeast"/>
      <w:ind w:firstLine="567"/>
      <w:textAlignment w:val="baseline"/>
    </w:pPr>
    <w:rPr>
      <w:rFonts w:ascii="宋体"/>
      <w:kern w:val="0"/>
      <w:sz w:val="24"/>
      <w:szCs w:val="20"/>
    </w:rPr>
  </w:style>
  <w:style w:type="paragraph" w:customStyle="1" w:styleId="2020">
    <w:name w:val="框图-1"/>
    <w:basedOn w:val="1"/>
    <w:autoRedefine/>
    <w:qFormat/>
    <w:uiPriority w:val="0"/>
    <w:pPr>
      <w:jc w:val="center"/>
    </w:pPr>
    <w:rPr>
      <w:rFonts w:eastAsia="仿宋_GB2312" w:cs="宋体"/>
      <w:snapToGrid w:val="0"/>
      <w:kern w:val="0"/>
      <w:szCs w:val="20"/>
    </w:rPr>
  </w:style>
  <w:style w:type="paragraph" w:customStyle="1" w:styleId="2021">
    <w:name w:val="表 头"/>
    <w:basedOn w:val="1"/>
    <w:autoRedefine/>
    <w:qFormat/>
    <w:uiPriority w:val="0"/>
    <w:pPr>
      <w:adjustRightInd w:val="0"/>
      <w:spacing w:before="120" w:after="120" w:line="360" w:lineRule="atLeast"/>
      <w:jc w:val="center"/>
    </w:pPr>
    <w:rPr>
      <w:rFonts w:eastAsia="黑体"/>
      <w:spacing w:val="10"/>
      <w:kern w:val="0"/>
      <w:sz w:val="24"/>
      <w:szCs w:val="20"/>
    </w:rPr>
  </w:style>
  <w:style w:type="character" w:customStyle="1" w:styleId="2022">
    <w:name w:val="正文首行缩进 2 + Times New Roman Char"/>
    <w:autoRedefine/>
    <w:qFormat/>
    <w:locked/>
    <w:uiPriority w:val="0"/>
    <w:rPr>
      <w:rFonts w:ascii="宋体" w:hAnsi="宋体" w:eastAsia="宋体"/>
      <w:kern w:val="2"/>
      <w:sz w:val="24"/>
      <w:szCs w:val="24"/>
      <w:lang w:val="en-US" w:eastAsia="zh-CN" w:bidi="ar-SA"/>
    </w:rPr>
  </w:style>
  <w:style w:type="paragraph" w:customStyle="1" w:styleId="2023">
    <w:name w:val="条目"/>
    <w:basedOn w:val="46"/>
    <w:next w:val="2"/>
    <w:autoRedefine/>
    <w:qFormat/>
    <w:uiPriority w:val="0"/>
    <w:rPr>
      <w:rFonts w:cs="Times New Roman"/>
      <w:kern w:val="0"/>
      <w:sz w:val="20"/>
      <w:lang w:val="zh-CN"/>
    </w:rPr>
  </w:style>
  <w:style w:type="paragraph" w:customStyle="1" w:styleId="2024">
    <w:name w:val="样式（大表格）"/>
    <w:basedOn w:val="155"/>
    <w:autoRedefine/>
    <w:qFormat/>
    <w:uiPriority w:val="0"/>
    <w:pPr>
      <w:spacing w:beforeLines="0" w:afterLines="0" w:line="400" w:lineRule="exact"/>
      <w:jc w:val="both"/>
    </w:pPr>
    <w:rPr>
      <w:rFonts w:ascii="Times New Roman"/>
      <w:color w:val="FF0000"/>
      <w:kern w:val="2"/>
      <w:sz w:val="24"/>
      <w:szCs w:val="24"/>
    </w:rPr>
  </w:style>
  <w:style w:type="paragraph" w:customStyle="1" w:styleId="2025">
    <w:name w:val="Char Char Char Char Char Char Char Char Char1 Char Char Char Char Char Char Char"/>
    <w:basedOn w:val="1"/>
    <w:autoRedefine/>
    <w:qFormat/>
    <w:uiPriority w:val="0"/>
    <w:rPr>
      <w:szCs w:val="21"/>
    </w:rPr>
  </w:style>
  <w:style w:type="character" w:customStyle="1" w:styleId="2026">
    <w:name w:val="black1"/>
    <w:autoRedefine/>
    <w:qFormat/>
    <w:uiPriority w:val="0"/>
    <w:rPr>
      <w:rFonts w:ascii="宋体" w:hAnsi="宋体" w:eastAsia="宋体"/>
      <w:color w:val="000000"/>
      <w:kern w:val="2"/>
      <w:sz w:val="18"/>
      <w:szCs w:val="18"/>
      <w:u w:val="none"/>
      <w:lang w:val="en-US" w:eastAsia="zh-CN" w:bidi="ar-SA"/>
    </w:rPr>
  </w:style>
  <w:style w:type="paragraph" w:customStyle="1" w:styleId="2027">
    <w:name w:val="样式 标题 2 + 段前: 0.5 行 段后: 0.5 行"/>
    <w:basedOn w:val="6"/>
    <w:autoRedefine/>
    <w:qFormat/>
    <w:uiPriority w:val="0"/>
    <w:pPr>
      <w:tabs>
        <w:tab w:val="left" w:pos="720"/>
      </w:tabs>
      <w:ind w:left="720" w:hanging="363"/>
    </w:pPr>
    <w:rPr>
      <w:kern w:val="0"/>
      <w:lang w:val="zh-CN"/>
    </w:rPr>
  </w:style>
  <w:style w:type="paragraph" w:customStyle="1" w:styleId="2028">
    <w:name w:val="Char Char Char Char Char"/>
    <w:basedOn w:val="1"/>
    <w:autoRedefine/>
    <w:qFormat/>
    <w:uiPriority w:val="0"/>
    <w:rPr>
      <w:szCs w:val="21"/>
    </w:rPr>
  </w:style>
  <w:style w:type="paragraph" w:customStyle="1" w:styleId="2029">
    <w:name w:val="Char4 Char Char Char Char Char Char Char Char Char Char Char Char Char Char Char Char Char1 Char Char Char Char"/>
    <w:basedOn w:val="1"/>
    <w:autoRedefine/>
    <w:qFormat/>
    <w:uiPriority w:val="0"/>
    <w:pPr>
      <w:spacing w:line="240" w:lineRule="exact"/>
      <w:ind w:firstLine="200" w:firstLineChars="200"/>
    </w:pPr>
    <w:rPr>
      <w:sz w:val="28"/>
      <w:szCs w:val="28"/>
    </w:rPr>
  </w:style>
  <w:style w:type="character" w:customStyle="1" w:styleId="2030">
    <w:name w:val="未命名11"/>
    <w:autoRedefine/>
    <w:qFormat/>
    <w:uiPriority w:val="0"/>
    <w:rPr>
      <w:rFonts w:hint="eastAsia" w:ascii="宋体" w:hAnsi="宋体" w:eastAsia="宋体"/>
      <w:kern w:val="2"/>
      <w:sz w:val="18"/>
      <w:szCs w:val="18"/>
      <w:lang w:val="en-US" w:eastAsia="zh-CN" w:bidi="ar-SA"/>
    </w:rPr>
  </w:style>
  <w:style w:type="paragraph" w:customStyle="1" w:styleId="2031">
    <w:name w:val="Char Char Char1 Char Char Char Char Char Char Char Char Char Char Char Char Char Char Char1 Char Char Char Char Char Char Char Char Char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2032">
    <w:name w:val="Char Char Char12"/>
    <w:basedOn w:val="1"/>
    <w:autoRedefine/>
    <w:qFormat/>
    <w:uiPriority w:val="0"/>
    <w:rPr>
      <w:szCs w:val="21"/>
    </w:rPr>
  </w:style>
  <w:style w:type="paragraph" w:customStyle="1" w:styleId="2033">
    <w:name w:val="Char Char Char1 Char Char Char Char Char Char Char Char Char Char Char Char Char Char Char1 Char Char Char Char Char Char Char Char Char Char Char Char Char Char Char Char Char Char Char Char Char Char Char Char Char Char Char Char Char Char"/>
    <w:basedOn w:val="1"/>
    <w:autoRedefine/>
    <w:qFormat/>
    <w:uiPriority w:val="0"/>
    <w:pPr>
      <w:spacing w:line="240" w:lineRule="exact"/>
      <w:ind w:firstLine="200" w:firstLineChars="200"/>
    </w:pPr>
    <w:rPr>
      <w:sz w:val="28"/>
      <w:szCs w:val="28"/>
    </w:rPr>
  </w:style>
  <w:style w:type="paragraph" w:customStyle="1" w:styleId="2034">
    <w:name w:val="Char Char Char1 Char Char Char Char Char Char Char Char Char"/>
    <w:basedOn w:val="1"/>
    <w:autoRedefine/>
    <w:qFormat/>
    <w:uiPriority w:val="0"/>
    <w:rPr>
      <w:szCs w:val="21"/>
    </w:rPr>
  </w:style>
  <w:style w:type="paragraph" w:customStyle="1" w:styleId="2035">
    <w:name w:val="黑体标题"/>
    <w:basedOn w:val="1"/>
    <w:link w:val="2036"/>
    <w:autoRedefine/>
    <w:qFormat/>
    <w:uiPriority w:val="0"/>
    <w:pPr>
      <w:spacing w:line="500" w:lineRule="exact"/>
      <w:ind w:firstLine="560" w:firstLineChars="200"/>
    </w:pPr>
    <w:rPr>
      <w:rFonts w:ascii="宋体" w:hAnsi="宋体"/>
      <w:sz w:val="28"/>
      <w:szCs w:val="20"/>
      <w:lang w:val="zh-CN"/>
    </w:rPr>
  </w:style>
  <w:style w:type="character" w:customStyle="1" w:styleId="2036">
    <w:name w:val="黑体标题 Char"/>
    <w:link w:val="2035"/>
    <w:autoRedefine/>
    <w:qFormat/>
    <w:uiPriority w:val="0"/>
    <w:rPr>
      <w:rFonts w:ascii="宋体" w:hAnsi="宋体"/>
      <w:kern w:val="2"/>
      <w:sz w:val="28"/>
      <w:lang w:val="zh-CN" w:eastAsia="zh-CN"/>
    </w:rPr>
  </w:style>
  <w:style w:type="paragraph" w:customStyle="1" w:styleId="2037">
    <w:name w:val="默认段落字体 Para Char Char Char Char Char Char Char Char Char Char Char Char Char Char Char"/>
    <w:basedOn w:val="28"/>
    <w:autoRedefine/>
    <w:qFormat/>
    <w:uiPriority w:val="0"/>
    <w:rPr>
      <w:rFonts w:ascii="Tahoma" w:hAnsi="Tahoma"/>
      <w:sz w:val="24"/>
      <w:szCs w:val="24"/>
      <w:lang w:val="zh-CN"/>
    </w:rPr>
  </w:style>
  <w:style w:type="paragraph" w:customStyle="1" w:styleId="2038">
    <w:name w:val="mp"/>
    <w:basedOn w:val="1"/>
    <w:autoRedefine/>
    <w:qFormat/>
    <w:uiPriority w:val="0"/>
    <w:pPr>
      <w:widowControl/>
      <w:spacing w:before="100" w:beforeAutospacing="1" w:after="100" w:afterAutospacing="1" w:line="400" w:lineRule="atLeast"/>
      <w:ind w:firstLine="360"/>
    </w:pPr>
    <w:rPr>
      <w:rFonts w:ascii="ˎ̥" w:hAnsi="ˎ̥" w:cs="宋体"/>
      <w:color w:val="454D63"/>
      <w:kern w:val="0"/>
      <w:sz w:val="24"/>
    </w:rPr>
  </w:style>
  <w:style w:type="table" w:customStyle="1" w:styleId="2039">
    <w:name w:val="毛的表格"/>
    <w:basedOn w:val="87"/>
    <w:autoRedefine/>
    <w:semiHidden/>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040">
    <w:name w:val="表三维效果 11"/>
    <w:basedOn w:val="87"/>
    <w:autoRedefine/>
    <w:qFormat/>
    <w:locked/>
    <w:uiPriority w:val="0"/>
    <w:pPr>
      <w:widowControl w:val="0"/>
      <w:spacing w:line="500" w:lineRule="exact"/>
      <w:jc w:val="both"/>
    </w:pPr>
    <w:tblPr>
      <w:tblCellMar>
        <w:top w:w="0" w:type="dxa"/>
        <w:left w:w="108" w:type="dxa"/>
        <w:bottom w:w="0" w:type="dxa"/>
        <w:right w:w="108" w:type="dxa"/>
      </w:tblCellMar>
    </w:tbl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2041">
    <w:name w:val="表三维效果 21"/>
    <w:basedOn w:val="87"/>
    <w:autoRedefine/>
    <w:qFormat/>
    <w:locked/>
    <w:uiPriority w:val="0"/>
    <w:pPr>
      <w:widowControl w:val="0"/>
      <w:spacing w:line="500" w:lineRule="exact"/>
      <w:jc w:val="both"/>
    </w:pPr>
    <w:tblPr>
      <w:tblCellMar>
        <w:top w:w="0" w:type="dxa"/>
        <w:left w:w="108" w:type="dxa"/>
        <w:bottom w:w="0" w:type="dxa"/>
        <w:right w:w="108" w:type="dxa"/>
      </w:tblCellMar>
    </w:tbl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042">
    <w:name w:val="表三维效果 31"/>
    <w:basedOn w:val="87"/>
    <w:autoRedefine/>
    <w:qFormat/>
    <w:locked/>
    <w:uiPriority w:val="0"/>
    <w:pPr>
      <w:widowControl w:val="0"/>
      <w:spacing w:line="500" w:lineRule="exact"/>
      <w:jc w:val="both"/>
    </w:p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paragraph" w:customStyle="1" w:styleId="2043">
    <w:name w:val="标题正1"/>
    <w:basedOn w:val="1"/>
    <w:autoRedefine/>
    <w:qFormat/>
    <w:uiPriority w:val="0"/>
    <w:pPr>
      <w:spacing w:before="60" w:after="60" w:line="500" w:lineRule="exact"/>
    </w:pPr>
    <w:rPr>
      <w:rFonts w:ascii="黑体" w:eastAsia="黑体"/>
      <w:sz w:val="32"/>
      <w:szCs w:val="28"/>
    </w:rPr>
  </w:style>
  <w:style w:type="paragraph" w:customStyle="1" w:styleId="2044">
    <w:name w:val="Char2 Char Char Char Char Char"/>
    <w:basedOn w:val="1"/>
    <w:autoRedefine/>
    <w:qFormat/>
    <w:uiPriority w:val="0"/>
    <w:rPr>
      <w:sz w:val="24"/>
    </w:rPr>
  </w:style>
  <w:style w:type="character" w:customStyle="1" w:styleId="2045">
    <w:name w:val="黑体标题 Char Char"/>
    <w:autoRedefine/>
    <w:qFormat/>
    <w:uiPriority w:val="0"/>
    <w:rPr>
      <w:rFonts w:ascii="宋体" w:hAnsi="宋体" w:eastAsia="宋体"/>
      <w:kern w:val="2"/>
      <w:sz w:val="28"/>
      <w:szCs w:val="18"/>
      <w:lang w:val="en-US" w:eastAsia="zh-CN" w:bidi="ar-SA"/>
    </w:rPr>
  </w:style>
  <w:style w:type="paragraph" w:customStyle="1" w:styleId="2046">
    <w:name w:val="Char Char Char Char1 Char Char Char Char Char Char Char"/>
    <w:basedOn w:val="1"/>
    <w:autoRedefine/>
    <w:qFormat/>
    <w:uiPriority w:val="0"/>
    <w:pPr>
      <w:tabs>
        <w:tab w:val="left" w:pos="360"/>
      </w:tabs>
      <w:snapToGrid w:val="0"/>
      <w:spacing w:line="360" w:lineRule="auto"/>
    </w:pPr>
    <w:rPr>
      <w:rFonts w:eastAsia="仿宋_GB2312" w:cs="宋体"/>
      <w:sz w:val="24"/>
    </w:rPr>
  </w:style>
  <w:style w:type="paragraph" w:customStyle="1" w:styleId="2047">
    <w:name w:val="litt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48">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cs="宋体"/>
      <w:szCs w:val="21"/>
    </w:rPr>
  </w:style>
  <w:style w:type="character" w:customStyle="1" w:styleId="2049">
    <w:name w:val="我的样式（正文） Char Char"/>
    <w:autoRedefine/>
    <w:qFormat/>
    <w:uiPriority w:val="0"/>
    <w:rPr>
      <w:rFonts w:ascii="宋体" w:hAnsi="华文楷体" w:eastAsia="宋体" w:cs="宋体"/>
      <w:kern w:val="2"/>
      <w:sz w:val="24"/>
      <w:szCs w:val="24"/>
      <w:lang w:val="en-US" w:eastAsia="zh-CN" w:bidi="ar-SA"/>
    </w:rPr>
  </w:style>
  <w:style w:type="paragraph" w:customStyle="1" w:styleId="2050">
    <w:name w:val="Char Char Char Char Char Char Char Char Char Char Char Char Char Char Char Char Char Char Char Char Char Char Char Char Char Char Char Char Char Char Char Char Char Char Char Char Char Char Char Char1"/>
    <w:basedOn w:val="1"/>
    <w:autoRedefine/>
    <w:qFormat/>
    <w:uiPriority w:val="0"/>
    <w:rPr>
      <w:sz w:val="24"/>
    </w:rPr>
  </w:style>
  <w:style w:type="paragraph" w:customStyle="1" w:styleId="2051">
    <w:name w:val="样式 左侧:  -0.16 厘米"/>
    <w:basedOn w:val="1"/>
    <w:autoRedefine/>
    <w:qFormat/>
    <w:uiPriority w:val="0"/>
    <w:pPr>
      <w:ind w:left="-90"/>
    </w:pPr>
    <w:rPr>
      <w:rFonts w:ascii="宋体" w:hAnsi="宋体" w:cs="宋体"/>
      <w:snapToGrid w:val="0"/>
      <w:kern w:val="0"/>
      <w:sz w:val="24"/>
    </w:rPr>
  </w:style>
  <w:style w:type="paragraph" w:customStyle="1" w:styleId="2052">
    <w:name w:val="样式 五号 居中"/>
    <w:basedOn w:val="1"/>
    <w:autoRedefine/>
    <w:qFormat/>
    <w:uiPriority w:val="0"/>
    <w:pPr>
      <w:jc w:val="center"/>
    </w:pPr>
    <w:rPr>
      <w:rFonts w:ascii="宋体" w:hAnsi="宋体" w:cs="宋体"/>
      <w:snapToGrid w:val="0"/>
      <w:kern w:val="0"/>
      <w:szCs w:val="21"/>
    </w:rPr>
  </w:style>
  <w:style w:type="paragraph" w:customStyle="1" w:styleId="2053">
    <w:name w:val="样式 左侧:  -0.16 厘米1"/>
    <w:basedOn w:val="1"/>
    <w:autoRedefine/>
    <w:qFormat/>
    <w:uiPriority w:val="0"/>
    <w:pPr>
      <w:ind w:left="-90"/>
    </w:pPr>
    <w:rPr>
      <w:rFonts w:ascii="宋体" w:hAnsi="宋体" w:cs="宋体"/>
      <w:snapToGrid w:val="0"/>
      <w:kern w:val="0"/>
      <w:sz w:val="24"/>
    </w:rPr>
  </w:style>
  <w:style w:type="paragraph" w:customStyle="1" w:styleId="2054">
    <w:name w:val="样式 首行缩进:  0.77 厘米 行距: 1.5 倍行距"/>
    <w:basedOn w:val="1"/>
    <w:autoRedefine/>
    <w:qFormat/>
    <w:uiPriority w:val="0"/>
    <w:pPr>
      <w:spacing w:line="360" w:lineRule="auto"/>
      <w:ind w:firstLine="435"/>
    </w:pPr>
    <w:rPr>
      <w:rFonts w:ascii="宋体" w:hAnsi="宋体" w:cs="宋体"/>
      <w:snapToGrid w:val="0"/>
      <w:kern w:val="0"/>
      <w:sz w:val="24"/>
    </w:rPr>
  </w:style>
  <w:style w:type="paragraph" w:customStyle="1" w:styleId="2055">
    <w:name w:val="样式 标题 3标题 3 Char CharH3h33rd level标题3 + 段前: 0.5 行"/>
    <w:basedOn w:val="7"/>
    <w:autoRedefine/>
    <w:qFormat/>
    <w:uiPriority w:val="0"/>
    <w:pPr>
      <w:keepNext w:val="0"/>
      <w:keepLines w:val="0"/>
      <w:widowControl/>
      <w:adjustRightInd/>
      <w:spacing w:before="0" w:line="480" w:lineRule="exact"/>
      <w:ind w:firstLine="560" w:firstLineChars="200"/>
      <w:jc w:val="both"/>
      <w:textAlignment w:val="auto"/>
      <w:outlineLvl w:val="9"/>
    </w:pPr>
    <w:rPr>
      <w:rFonts w:ascii="楷体_GB2312" w:hAnsi="宋体" w:eastAsia="楷体_GB2312"/>
      <w:bCs/>
      <w:color w:val="FF0000"/>
      <w:kern w:val="2"/>
    </w:rPr>
  </w:style>
  <w:style w:type="paragraph" w:customStyle="1" w:styleId="2056">
    <w:name w:val="初设正文"/>
    <w:basedOn w:val="1"/>
    <w:autoRedefine/>
    <w:qFormat/>
    <w:uiPriority w:val="0"/>
    <w:pPr>
      <w:spacing w:after="120" w:line="440" w:lineRule="exact"/>
      <w:ind w:left="425" w:firstLine="425"/>
    </w:pPr>
    <w:rPr>
      <w:rFonts w:ascii="Arial" w:hAnsi="Arial" w:cs="宋体"/>
      <w:kern w:val="0"/>
      <w:sz w:val="24"/>
      <w:szCs w:val="20"/>
    </w:rPr>
  </w:style>
  <w:style w:type="paragraph" w:customStyle="1" w:styleId="2057">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2058">
    <w:name w:val="引言"/>
    <w:basedOn w:val="1"/>
    <w:next w:val="1"/>
    <w:autoRedefine/>
    <w:qFormat/>
    <w:uiPriority w:val="0"/>
    <w:pPr>
      <w:snapToGrid w:val="0"/>
      <w:jc w:val="center"/>
    </w:pPr>
    <w:rPr>
      <w:rFonts w:ascii="仿宋_GB2312" w:eastAsia="仿宋_GB2312"/>
      <w:color w:val="000000"/>
      <w:sz w:val="24"/>
    </w:rPr>
  </w:style>
  <w:style w:type="paragraph" w:customStyle="1" w:styleId="2059">
    <w:name w:val="正文(首行缩进)宋旭峰"/>
    <w:basedOn w:val="8"/>
    <w:link w:val="2060"/>
    <w:autoRedefine/>
    <w:qFormat/>
    <w:uiPriority w:val="0"/>
    <w:pPr>
      <w:spacing w:line="500" w:lineRule="exact"/>
      <w:ind w:firstLine="560"/>
      <w:contextualSpacing/>
    </w:pPr>
    <w:rPr>
      <w:rFonts w:ascii="楷体_GB2312" w:hAnsi="宋体" w:eastAsia="楷体_GB2312"/>
      <w:snapToGrid w:val="0"/>
      <w:kern w:val="0"/>
      <w:sz w:val="28"/>
      <w:szCs w:val="28"/>
      <w:lang w:val="zh-CN"/>
    </w:rPr>
  </w:style>
  <w:style w:type="character" w:customStyle="1" w:styleId="2060">
    <w:name w:val="正文(首行缩进)宋旭峰 Char Char"/>
    <w:link w:val="2059"/>
    <w:autoRedefine/>
    <w:qFormat/>
    <w:uiPriority w:val="0"/>
    <w:rPr>
      <w:rFonts w:ascii="楷体_GB2312" w:hAnsi="宋体" w:eastAsia="楷体_GB2312"/>
      <w:snapToGrid w:val="0"/>
      <w:sz w:val="28"/>
      <w:szCs w:val="28"/>
      <w:lang w:val="zh-CN" w:eastAsia="zh-CN"/>
    </w:rPr>
  </w:style>
  <w:style w:type="paragraph" w:customStyle="1" w:styleId="2061">
    <w:name w:val="表、图名宋旭峰"/>
    <w:basedOn w:val="1"/>
    <w:autoRedefine/>
    <w:qFormat/>
    <w:uiPriority w:val="0"/>
    <w:pPr>
      <w:spacing w:beforeLines="50" w:line="360" w:lineRule="auto"/>
      <w:jc w:val="center"/>
    </w:pPr>
    <w:rPr>
      <w:rFonts w:ascii="黑体" w:hAnsi="宋体" w:eastAsia="黑体"/>
      <w:snapToGrid w:val="0"/>
      <w:kern w:val="0"/>
      <w:szCs w:val="21"/>
    </w:rPr>
  </w:style>
  <w:style w:type="paragraph" w:customStyle="1" w:styleId="2062">
    <w:name w:val="表体宋旭峰"/>
    <w:basedOn w:val="1"/>
    <w:autoRedefine/>
    <w:qFormat/>
    <w:uiPriority w:val="0"/>
    <w:pPr>
      <w:overflowPunct w:val="0"/>
      <w:spacing w:line="320" w:lineRule="exact"/>
      <w:jc w:val="center"/>
      <w:textAlignment w:val="baseline"/>
    </w:pPr>
    <w:rPr>
      <w:rFonts w:ascii="楷体_GB2312" w:eastAsia="楷体_GB2312" w:cs="Courier New"/>
      <w:snapToGrid w:val="0"/>
      <w:spacing w:val="-20"/>
      <w:kern w:val="0"/>
      <w:szCs w:val="21"/>
    </w:rPr>
  </w:style>
  <w:style w:type="character" w:customStyle="1" w:styleId="2063">
    <w:name w:val="表注 Char"/>
    <w:link w:val="213"/>
    <w:autoRedefine/>
    <w:qFormat/>
    <w:uiPriority w:val="0"/>
    <w:rPr>
      <w:rFonts w:ascii="仿宋_GB2312" w:eastAsia="仿宋_GB2312"/>
      <w:kern w:val="2"/>
      <w:sz w:val="18"/>
      <w:szCs w:val="18"/>
      <w:lang w:val="en-GB"/>
    </w:rPr>
  </w:style>
  <w:style w:type="paragraph" w:customStyle="1" w:styleId="2064">
    <w:name w:val="Char Char Char Char Char Char Char Char Char Char Char Char Char Char Char Char Char Char Char Char Char Char Char Char Char Char Char Char"/>
    <w:basedOn w:val="1"/>
    <w:autoRedefine/>
    <w:qFormat/>
    <w:uiPriority w:val="0"/>
    <w:rPr>
      <w:sz w:val="24"/>
    </w:rPr>
  </w:style>
  <w:style w:type="paragraph" w:customStyle="1" w:styleId="2065">
    <w:name w:val="Char Char Char Char Char Char Char Char Char Char Char Char Char Char Char Char Char Char Char Char Char Char Char Char Char Char Char Char Char Char Char Char Char Char"/>
    <w:basedOn w:val="1"/>
    <w:autoRedefine/>
    <w:qFormat/>
    <w:uiPriority w:val="0"/>
    <w:rPr>
      <w:sz w:val="24"/>
    </w:rPr>
  </w:style>
  <w:style w:type="paragraph" w:customStyle="1" w:styleId="2066">
    <w:name w:val="样式 首行缩进:  1.71 字符"/>
    <w:basedOn w:val="1"/>
    <w:autoRedefine/>
    <w:qFormat/>
    <w:uiPriority w:val="0"/>
    <w:pPr>
      <w:spacing w:line="360" w:lineRule="auto"/>
      <w:jc w:val="center"/>
    </w:pPr>
    <w:rPr>
      <w:rFonts w:ascii="宋体" w:hAnsi="宋体"/>
      <w:color w:val="000000"/>
      <w:kern w:val="0"/>
      <w:szCs w:val="21"/>
    </w:rPr>
  </w:style>
  <w:style w:type="character" w:customStyle="1" w:styleId="2067">
    <w:name w:val="attach-title1"/>
    <w:autoRedefine/>
    <w:qFormat/>
    <w:uiPriority w:val="0"/>
    <w:rPr>
      <w:b/>
      <w:bCs/>
      <w:color w:val="008080"/>
      <w:spacing w:val="360"/>
      <w:w w:val="75"/>
      <w:sz w:val="27"/>
      <w:szCs w:val="27"/>
    </w:rPr>
  </w:style>
  <w:style w:type="paragraph" w:customStyle="1" w:styleId="2068">
    <w:name w:val="条款"/>
    <w:basedOn w:val="1"/>
    <w:autoRedefine/>
    <w:qFormat/>
    <w:uiPriority w:val="0"/>
    <w:rPr>
      <w:szCs w:val="20"/>
    </w:rPr>
  </w:style>
  <w:style w:type="paragraph" w:customStyle="1" w:styleId="2069">
    <w:name w:val="Char1 Char Char Char Char Char"/>
    <w:basedOn w:val="1"/>
    <w:autoRedefine/>
    <w:qFormat/>
    <w:uiPriority w:val="0"/>
    <w:rPr>
      <w:szCs w:val="21"/>
    </w:rPr>
  </w:style>
  <w:style w:type="character" w:customStyle="1" w:styleId="2070">
    <w:name w:val="环正文 Char4"/>
    <w:link w:val="1813"/>
    <w:autoRedefine/>
    <w:qFormat/>
    <w:uiPriority w:val="0"/>
    <w:rPr>
      <w:rFonts w:hAnsi="宋体"/>
      <w:color w:val="FF0000"/>
      <w:sz w:val="21"/>
      <w:lang w:val="zh-CN" w:eastAsia="zh-CN"/>
    </w:rPr>
  </w:style>
  <w:style w:type="character" w:customStyle="1" w:styleId="2071">
    <w:name w:val="环表头 Char2"/>
    <w:link w:val="1126"/>
    <w:autoRedefine/>
    <w:qFormat/>
    <w:uiPriority w:val="0"/>
    <w:rPr>
      <w:rFonts w:ascii="仿宋_GB2312" w:hAnsi="宋体" w:eastAsia="仿宋_GB2312"/>
      <w:b/>
      <w:sz w:val="21"/>
      <w:szCs w:val="21"/>
    </w:rPr>
  </w:style>
  <w:style w:type="paragraph" w:customStyle="1" w:styleId="2072">
    <w:name w:val="环标3"/>
    <w:basedOn w:val="7"/>
    <w:autoRedefine/>
    <w:qFormat/>
    <w:uiPriority w:val="0"/>
    <w:pPr>
      <w:keepNext w:val="0"/>
      <w:keepLines w:val="0"/>
      <w:tabs>
        <w:tab w:val="left" w:pos="976"/>
      </w:tabs>
      <w:spacing w:before="0" w:line="312" w:lineRule="atLeast"/>
    </w:pPr>
    <w:rPr>
      <w:rFonts w:ascii="宋体" w:hAnsi="宋体" w:eastAsia="宋体"/>
      <w:color w:val="000000"/>
      <w:kern w:val="2"/>
      <w:sz w:val="24"/>
      <w:szCs w:val="24"/>
    </w:rPr>
  </w:style>
  <w:style w:type="paragraph" w:customStyle="1" w:styleId="2073">
    <w:name w:val="正文格式1"/>
    <w:basedOn w:val="1"/>
    <w:autoRedefine/>
    <w:qFormat/>
    <w:uiPriority w:val="0"/>
    <w:pPr>
      <w:spacing w:line="360" w:lineRule="auto"/>
      <w:ind w:firstLine="482"/>
    </w:pPr>
    <w:rPr>
      <w:rFonts w:ascii="宋体" w:hAnsi="宋体"/>
      <w:sz w:val="24"/>
    </w:rPr>
  </w:style>
  <w:style w:type="paragraph" w:customStyle="1" w:styleId="2074">
    <w:name w:val="表题123"/>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2075">
    <w:name w:val="正文格式53"/>
    <w:basedOn w:val="1"/>
    <w:autoRedefine/>
    <w:qFormat/>
    <w:uiPriority w:val="0"/>
    <w:pPr>
      <w:spacing w:line="360" w:lineRule="auto"/>
      <w:ind w:firstLine="482"/>
    </w:pPr>
    <w:rPr>
      <w:rFonts w:ascii="宋体" w:hAnsi="宋体"/>
      <w:sz w:val="24"/>
    </w:rPr>
  </w:style>
  <w:style w:type="paragraph" w:customStyle="1" w:styleId="2076">
    <w:name w:val="表题21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077">
    <w:name w:val="表内宋5中14"/>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078">
    <w:name w:val="表内文字小113"/>
    <w:basedOn w:val="1"/>
    <w:autoRedefine/>
    <w:qFormat/>
    <w:uiPriority w:val="0"/>
    <w:pPr>
      <w:adjustRightInd w:val="0"/>
      <w:snapToGrid w:val="0"/>
    </w:pPr>
    <w:rPr>
      <w:rFonts w:ascii="宋体" w:hAnsi="Times" w:cs="宋体"/>
      <w:szCs w:val="20"/>
    </w:rPr>
  </w:style>
  <w:style w:type="paragraph" w:customStyle="1" w:styleId="2079">
    <w:name w:val="表题14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080">
    <w:name w:val="表内文字小83"/>
    <w:basedOn w:val="1"/>
    <w:autoRedefine/>
    <w:qFormat/>
    <w:uiPriority w:val="0"/>
    <w:pPr>
      <w:adjustRightInd w:val="0"/>
      <w:snapToGrid w:val="0"/>
      <w:jc w:val="center"/>
    </w:pPr>
    <w:rPr>
      <w:rFonts w:ascii="宋体" w:hAnsi="Times" w:cs="宋体"/>
      <w:szCs w:val="20"/>
    </w:rPr>
  </w:style>
  <w:style w:type="paragraph" w:customStyle="1" w:styleId="2081">
    <w:name w:val="Default3"/>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082">
    <w:name w:val="正文格式73"/>
    <w:basedOn w:val="1"/>
    <w:autoRedefine/>
    <w:qFormat/>
    <w:uiPriority w:val="0"/>
    <w:pPr>
      <w:spacing w:line="360" w:lineRule="auto"/>
      <w:ind w:firstLine="482"/>
    </w:pPr>
    <w:rPr>
      <w:rFonts w:ascii="宋体" w:hAnsi="宋体"/>
      <w:sz w:val="24"/>
    </w:rPr>
  </w:style>
  <w:style w:type="paragraph" w:customStyle="1" w:styleId="2083">
    <w:name w:val="表题144"/>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2084">
    <w:name w:val="表中文字3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085">
    <w:name w:val="表格内字体"/>
    <w:basedOn w:val="403"/>
    <w:next w:val="403"/>
    <w:link w:val="2086"/>
    <w:autoRedefine/>
    <w:qFormat/>
    <w:uiPriority w:val="0"/>
    <w:pPr>
      <w:spacing w:line="240" w:lineRule="auto"/>
      <w:ind w:firstLine="0"/>
      <w:jc w:val="center"/>
    </w:pPr>
    <w:rPr>
      <w:rFonts w:hAnsi="宋体" w:cs="Times New Roman"/>
      <w:sz w:val="21"/>
      <w:lang w:val="zh-CN"/>
    </w:rPr>
  </w:style>
  <w:style w:type="character" w:customStyle="1" w:styleId="2086">
    <w:name w:val="表格内字体 Char"/>
    <w:link w:val="2085"/>
    <w:autoRedefine/>
    <w:qFormat/>
    <w:uiPriority w:val="0"/>
    <w:rPr>
      <w:rFonts w:ascii="宋体" w:hAnsi="宋体"/>
      <w:kern w:val="2"/>
      <w:sz w:val="21"/>
      <w:szCs w:val="24"/>
      <w:lang w:val="zh-CN" w:eastAsia="zh-CN"/>
    </w:rPr>
  </w:style>
  <w:style w:type="character" w:customStyle="1" w:styleId="2087">
    <w:name w:val="表题1 Char"/>
    <w:link w:val="467"/>
    <w:autoRedefine/>
    <w:qFormat/>
    <w:uiPriority w:val="0"/>
    <w:rPr>
      <w:snapToGrid w:val="0"/>
      <w:sz w:val="24"/>
    </w:rPr>
  </w:style>
  <w:style w:type="paragraph" w:customStyle="1" w:styleId="2088">
    <w:name w:val="燕山正文"/>
    <w:basedOn w:val="1"/>
    <w:link w:val="2089"/>
    <w:autoRedefine/>
    <w:qFormat/>
    <w:uiPriority w:val="0"/>
    <w:pPr>
      <w:tabs>
        <w:tab w:val="left" w:pos="4680"/>
      </w:tabs>
      <w:adjustRightInd w:val="0"/>
      <w:snapToGrid w:val="0"/>
      <w:spacing w:line="480" w:lineRule="exact"/>
    </w:pPr>
    <w:rPr>
      <w:rFonts w:ascii="宋体"/>
      <w:sz w:val="24"/>
      <w:lang w:val="zh-CN"/>
    </w:rPr>
  </w:style>
  <w:style w:type="character" w:customStyle="1" w:styleId="2089">
    <w:name w:val="燕山正文 Char1"/>
    <w:link w:val="2088"/>
    <w:autoRedefine/>
    <w:qFormat/>
    <w:uiPriority w:val="0"/>
    <w:rPr>
      <w:rFonts w:ascii="宋体"/>
      <w:kern w:val="2"/>
      <w:sz w:val="24"/>
      <w:szCs w:val="24"/>
      <w:lang w:val="zh-CN" w:eastAsia="zh-CN"/>
    </w:rPr>
  </w:style>
  <w:style w:type="paragraph" w:customStyle="1" w:styleId="2090">
    <w:name w:val="正文修改"/>
    <w:basedOn w:val="2088"/>
    <w:link w:val="2091"/>
    <w:autoRedefine/>
    <w:qFormat/>
    <w:uiPriority w:val="0"/>
    <w:rPr>
      <w:rFonts w:hAnsi="宋体"/>
      <w:color w:val="000000"/>
    </w:rPr>
  </w:style>
  <w:style w:type="character" w:customStyle="1" w:styleId="2091">
    <w:name w:val="正文修改 Char1"/>
    <w:link w:val="2090"/>
    <w:autoRedefine/>
    <w:qFormat/>
    <w:uiPriority w:val="0"/>
    <w:rPr>
      <w:rFonts w:ascii="宋体" w:hAnsi="宋体"/>
      <w:color w:val="000000"/>
      <w:kern w:val="2"/>
      <w:sz w:val="24"/>
      <w:szCs w:val="24"/>
      <w:lang w:val="zh-CN" w:eastAsia="zh-CN"/>
    </w:rPr>
  </w:style>
  <w:style w:type="character" w:customStyle="1" w:styleId="2092">
    <w:name w:val="表中文字 Char2"/>
    <w:link w:val="990"/>
    <w:autoRedefine/>
    <w:qFormat/>
    <w:uiPriority w:val="0"/>
    <w:rPr>
      <w:kern w:val="2"/>
      <w:sz w:val="21"/>
    </w:rPr>
  </w:style>
  <w:style w:type="paragraph" w:customStyle="1" w:styleId="2093">
    <w:name w:val="图题6"/>
    <w:basedOn w:val="403"/>
    <w:next w:val="403"/>
    <w:link w:val="2094"/>
    <w:autoRedefine/>
    <w:qFormat/>
    <w:uiPriority w:val="0"/>
    <w:pPr>
      <w:ind w:firstLine="0"/>
      <w:jc w:val="center"/>
    </w:pPr>
    <w:rPr>
      <w:rFonts w:ascii="黑体" w:hAnsi="宋体" w:eastAsia="黑体" w:cs="Times New Roman"/>
      <w:b/>
      <w:bCs/>
      <w:kern w:val="0"/>
      <w:lang w:val="zh-CN"/>
    </w:rPr>
  </w:style>
  <w:style w:type="character" w:customStyle="1" w:styleId="2094">
    <w:name w:val="图题 Char"/>
    <w:link w:val="2093"/>
    <w:autoRedefine/>
    <w:qFormat/>
    <w:uiPriority w:val="0"/>
    <w:rPr>
      <w:rFonts w:ascii="黑体" w:hAnsi="宋体" w:eastAsia="黑体"/>
      <w:b/>
      <w:bCs/>
      <w:sz w:val="24"/>
      <w:szCs w:val="24"/>
      <w:lang w:val="zh-CN" w:eastAsia="zh-CN"/>
    </w:rPr>
  </w:style>
  <w:style w:type="paragraph" w:customStyle="1" w:styleId="2095">
    <w:name w:val="图表题"/>
    <w:basedOn w:val="403"/>
    <w:next w:val="403"/>
    <w:link w:val="2096"/>
    <w:autoRedefine/>
    <w:qFormat/>
    <w:uiPriority w:val="0"/>
    <w:pPr>
      <w:ind w:firstLine="0"/>
      <w:jc w:val="center"/>
    </w:pPr>
    <w:rPr>
      <w:rFonts w:ascii="黑体" w:hAnsi="宋体" w:eastAsia="黑体" w:cs="Times New Roman"/>
      <w:b/>
      <w:bCs/>
      <w:lang w:val="zh-CN"/>
    </w:rPr>
  </w:style>
  <w:style w:type="character" w:customStyle="1" w:styleId="2096">
    <w:name w:val="图表题 Char"/>
    <w:link w:val="2095"/>
    <w:autoRedefine/>
    <w:qFormat/>
    <w:uiPriority w:val="0"/>
    <w:rPr>
      <w:rFonts w:ascii="黑体" w:hAnsi="宋体" w:eastAsia="黑体"/>
      <w:b/>
      <w:bCs/>
      <w:kern w:val="2"/>
      <w:sz w:val="24"/>
      <w:szCs w:val="24"/>
      <w:lang w:val="zh-CN" w:eastAsia="zh-CN"/>
    </w:rPr>
  </w:style>
  <w:style w:type="paragraph" w:customStyle="1" w:styleId="2097">
    <w:name w:val="样式 表格内字体 +"/>
    <w:basedOn w:val="2085"/>
    <w:link w:val="2098"/>
    <w:autoRedefine/>
    <w:qFormat/>
    <w:uiPriority w:val="0"/>
    <w:pPr>
      <w:spacing w:line="280" w:lineRule="exact"/>
      <w:ind w:firstLine="36"/>
      <w:jc w:val="both"/>
    </w:pPr>
    <w:rPr>
      <w:kern w:val="0"/>
    </w:rPr>
  </w:style>
  <w:style w:type="character" w:customStyle="1" w:styleId="2098">
    <w:name w:val="样式 表格内字体 + Char"/>
    <w:link w:val="2097"/>
    <w:autoRedefine/>
    <w:qFormat/>
    <w:uiPriority w:val="0"/>
    <w:rPr>
      <w:rFonts w:ascii="宋体" w:hAnsi="宋体"/>
      <w:sz w:val="21"/>
      <w:szCs w:val="24"/>
      <w:lang w:val="zh-CN" w:eastAsia="zh-CN"/>
    </w:rPr>
  </w:style>
  <w:style w:type="paragraph" w:customStyle="1" w:styleId="2099">
    <w:name w:val="A正文"/>
    <w:basedOn w:val="1"/>
    <w:link w:val="2100"/>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lang w:val="zh-CN"/>
    </w:rPr>
  </w:style>
  <w:style w:type="character" w:customStyle="1" w:styleId="2100">
    <w:name w:val="A正文 Char"/>
    <w:link w:val="2099"/>
    <w:autoRedefine/>
    <w:qFormat/>
    <w:uiPriority w:val="0"/>
    <w:rPr>
      <w:rFonts w:eastAsia="仿宋_GB2312"/>
      <w:sz w:val="24"/>
      <w:szCs w:val="24"/>
      <w:lang w:val="zh-CN" w:eastAsia="zh-CN"/>
    </w:rPr>
  </w:style>
  <w:style w:type="paragraph" w:customStyle="1" w:styleId="2101">
    <w:name w:val="图题注"/>
    <w:basedOn w:val="24"/>
    <w:link w:val="2102"/>
    <w:autoRedefine/>
    <w:qFormat/>
    <w:uiPriority w:val="0"/>
    <w:pPr>
      <w:keepNext w:val="0"/>
      <w:widowControl w:val="0"/>
      <w:adjustRightInd/>
      <w:snapToGrid/>
      <w:spacing w:line="240" w:lineRule="auto"/>
    </w:pPr>
    <w:rPr>
      <w:rFonts w:ascii="黑体" w:hAnsi="Arial" w:eastAsia="黑体"/>
      <w:bCs/>
      <w:kern w:val="2"/>
      <w:sz w:val="24"/>
      <w:szCs w:val="24"/>
    </w:rPr>
  </w:style>
  <w:style w:type="character" w:customStyle="1" w:styleId="2102">
    <w:name w:val="图题注 Char"/>
    <w:link w:val="2101"/>
    <w:autoRedefine/>
    <w:qFormat/>
    <w:uiPriority w:val="0"/>
    <w:rPr>
      <w:rFonts w:ascii="黑体" w:hAnsi="Arial" w:eastAsia="黑体"/>
      <w:b/>
      <w:bCs/>
      <w:kern w:val="2"/>
      <w:sz w:val="24"/>
      <w:szCs w:val="24"/>
      <w:lang w:val="zh-CN" w:eastAsia="zh-CN"/>
    </w:rPr>
  </w:style>
  <w:style w:type="paragraph" w:customStyle="1" w:styleId="2103">
    <w:name w:val="标题41"/>
    <w:basedOn w:val="9"/>
    <w:next w:val="1"/>
    <w:autoRedefine/>
    <w:qFormat/>
    <w:uiPriority w:val="0"/>
    <w:pPr>
      <w:spacing w:before="160" w:after="170" w:line="360" w:lineRule="auto"/>
    </w:pPr>
    <w:rPr>
      <w:rFonts w:ascii="黑体"/>
      <w:kern w:val="0"/>
      <w:sz w:val="24"/>
      <w:lang w:val="zh-CN"/>
    </w:rPr>
  </w:style>
  <w:style w:type="paragraph" w:customStyle="1" w:styleId="2104">
    <w:name w:val="表中文字4"/>
    <w:basedOn w:val="1"/>
    <w:link w:val="2105"/>
    <w:autoRedefine/>
    <w:qFormat/>
    <w:uiPriority w:val="0"/>
    <w:pPr>
      <w:snapToGrid w:val="0"/>
      <w:spacing w:line="340" w:lineRule="exact"/>
      <w:ind w:firstLine="480" w:firstLineChars="200"/>
      <w:jc w:val="center"/>
    </w:pPr>
    <w:rPr>
      <w:rFonts w:ascii="Arial" w:hAnsi="Arial"/>
      <w:kern w:val="0"/>
      <w:sz w:val="20"/>
      <w:lang w:val="zh-CN" w:eastAsia="zh-TW"/>
    </w:rPr>
  </w:style>
  <w:style w:type="character" w:customStyle="1" w:styleId="2105">
    <w:name w:val="表中文字 Char"/>
    <w:link w:val="2104"/>
    <w:autoRedefine/>
    <w:qFormat/>
    <w:uiPriority w:val="0"/>
    <w:rPr>
      <w:rFonts w:ascii="Arial" w:hAnsi="Arial"/>
      <w:szCs w:val="24"/>
      <w:lang w:val="zh-CN" w:eastAsia="zh-TW"/>
    </w:rPr>
  </w:style>
  <w:style w:type="paragraph" w:customStyle="1" w:styleId="2106">
    <w:name w:val="样式 正文缩进 + 宋体 黑色"/>
    <w:basedOn w:val="8"/>
    <w:link w:val="2107"/>
    <w:autoRedefine/>
    <w:qFormat/>
    <w:uiPriority w:val="0"/>
    <w:pPr>
      <w:spacing w:line="360" w:lineRule="auto"/>
      <w:ind w:firstLine="200"/>
      <w:jc w:val="left"/>
    </w:pPr>
    <w:rPr>
      <w:rFonts w:ascii="宋体" w:hAnsi="宋体"/>
      <w:color w:val="000000"/>
      <w:sz w:val="24"/>
      <w:szCs w:val="24"/>
      <w:lang w:val="zh-CN"/>
    </w:rPr>
  </w:style>
  <w:style w:type="character" w:customStyle="1" w:styleId="2107">
    <w:name w:val="样式 正文缩进 + 宋体 黑色 Char"/>
    <w:link w:val="2106"/>
    <w:autoRedefine/>
    <w:qFormat/>
    <w:uiPriority w:val="0"/>
    <w:rPr>
      <w:rFonts w:ascii="宋体" w:hAnsi="宋体"/>
      <w:color w:val="000000"/>
      <w:kern w:val="2"/>
      <w:sz w:val="24"/>
      <w:szCs w:val="24"/>
      <w:lang w:val="zh-CN" w:eastAsia="zh-CN"/>
    </w:rPr>
  </w:style>
  <w:style w:type="paragraph" w:customStyle="1" w:styleId="2108">
    <w:name w:val="表内51"/>
    <w:basedOn w:val="1"/>
    <w:link w:val="2109"/>
    <w:autoRedefine/>
    <w:qFormat/>
    <w:uiPriority w:val="0"/>
    <w:pPr>
      <w:adjustRightInd w:val="0"/>
      <w:snapToGrid w:val="0"/>
      <w:jc w:val="center"/>
    </w:pPr>
    <w:rPr>
      <w:rFonts w:ascii="宋体" w:hAnsi="宋体"/>
      <w:kern w:val="0"/>
      <w:sz w:val="20"/>
      <w:szCs w:val="20"/>
      <w:lang w:val="zh-CN"/>
    </w:rPr>
  </w:style>
  <w:style w:type="character" w:customStyle="1" w:styleId="2109">
    <w:name w:val="表内5 Char"/>
    <w:link w:val="2108"/>
    <w:autoRedefine/>
    <w:qFormat/>
    <w:uiPriority w:val="0"/>
    <w:rPr>
      <w:rFonts w:ascii="宋体" w:hAnsi="宋体"/>
      <w:lang w:val="zh-CN" w:eastAsia="zh-CN"/>
    </w:rPr>
  </w:style>
  <w:style w:type="paragraph" w:customStyle="1" w:styleId="2110">
    <w:name w:val="正文斜体"/>
    <w:basedOn w:val="403"/>
    <w:next w:val="403"/>
    <w:link w:val="2111"/>
    <w:autoRedefine/>
    <w:qFormat/>
    <w:uiPriority w:val="0"/>
    <w:rPr>
      <w:rFonts w:hAnsi="宋体" w:cs="Times New Roman"/>
      <w:i/>
      <w:iCs/>
      <w:lang w:val="zh-CN"/>
    </w:rPr>
  </w:style>
  <w:style w:type="character" w:customStyle="1" w:styleId="2111">
    <w:name w:val="正文斜体 Char"/>
    <w:link w:val="2110"/>
    <w:autoRedefine/>
    <w:qFormat/>
    <w:uiPriority w:val="0"/>
    <w:rPr>
      <w:rFonts w:ascii="宋体" w:hAnsi="宋体"/>
      <w:i/>
      <w:iCs/>
      <w:kern w:val="2"/>
      <w:sz w:val="24"/>
      <w:szCs w:val="24"/>
      <w:lang w:val="zh-CN" w:eastAsia="zh-CN"/>
    </w:rPr>
  </w:style>
  <w:style w:type="paragraph" w:customStyle="1" w:styleId="2112">
    <w:name w:val="样式 表内小5 + 黑体 加粗 倾斜 下划线"/>
    <w:basedOn w:val="1"/>
    <w:link w:val="2113"/>
    <w:autoRedefine/>
    <w:qFormat/>
    <w:uiPriority w:val="0"/>
    <w:pPr>
      <w:adjustRightInd w:val="0"/>
      <w:snapToGrid w:val="0"/>
      <w:spacing w:line="300" w:lineRule="auto"/>
      <w:jc w:val="left"/>
    </w:pPr>
    <w:rPr>
      <w:rFonts w:ascii="黑体" w:hAnsi="黑体" w:eastAsia="黑体"/>
      <w:b/>
      <w:bCs/>
      <w:i/>
      <w:iCs/>
      <w:sz w:val="18"/>
      <w:u w:val="single"/>
      <w:lang w:val="zh-CN"/>
    </w:rPr>
  </w:style>
  <w:style w:type="character" w:customStyle="1" w:styleId="2113">
    <w:name w:val="样式 表内小5 + 黑体 加粗 倾斜 下划线 Char"/>
    <w:link w:val="2112"/>
    <w:autoRedefine/>
    <w:qFormat/>
    <w:uiPriority w:val="0"/>
    <w:rPr>
      <w:rFonts w:ascii="黑体" w:hAnsi="黑体" w:eastAsia="黑体"/>
      <w:b/>
      <w:bCs/>
      <w:i/>
      <w:iCs/>
      <w:kern w:val="2"/>
      <w:sz w:val="18"/>
      <w:szCs w:val="24"/>
      <w:u w:val="single"/>
      <w:lang w:val="zh-CN" w:eastAsia="zh-CN"/>
    </w:rPr>
  </w:style>
  <w:style w:type="paragraph" w:customStyle="1" w:styleId="2114">
    <w:name w:val="福建正文缩进"/>
    <w:basedOn w:val="8"/>
    <w:link w:val="2115"/>
    <w:autoRedefine/>
    <w:qFormat/>
    <w:uiPriority w:val="0"/>
    <w:pPr>
      <w:widowControl/>
      <w:tabs>
        <w:tab w:val="left" w:pos="5837"/>
      </w:tabs>
      <w:adjustRightInd w:val="0"/>
      <w:snapToGrid w:val="0"/>
      <w:spacing w:line="480" w:lineRule="exact"/>
      <w:ind w:firstLine="0" w:firstLineChars="0"/>
    </w:pPr>
    <w:rPr>
      <w:rFonts w:ascii="宋体" w:hAnsi="宋体"/>
      <w:color w:val="000000"/>
      <w:kern w:val="0"/>
      <w:sz w:val="24"/>
      <w:szCs w:val="24"/>
      <w:lang w:val="zh-CN"/>
    </w:rPr>
  </w:style>
  <w:style w:type="character" w:customStyle="1" w:styleId="2115">
    <w:name w:val="福建正文缩进 Char"/>
    <w:link w:val="2114"/>
    <w:autoRedefine/>
    <w:qFormat/>
    <w:uiPriority w:val="0"/>
    <w:rPr>
      <w:rFonts w:ascii="宋体" w:hAnsi="宋体"/>
      <w:color w:val="000000"/>
      <w:sz w:val="24"/>
      <w:szCs w:val="24"/>
      <w:lang w:val="zh-CN" w:eastAsia="zh-CN"/>
    </w:rPr>
  </w:style>
  <w:style w:type="character" w:customStyle="1" w:styleId="2116">
    <w:name w:val="无间隔 Char"/>
    <w:link w:val="358"/>
    <w:autoRedefine/>
    <w:qFormat/>
    <w:uiPriority w:val="0"/>
    <w:rPr>
      <w:kern w:val="2"/>
      <w:sz w:val="21"/>
      <w:szCs w:val="24"/>
    </w:rPr>
  </w:style>
  <w:style w:type="paragraph" w:customStyle="1" w:styleId="2117">
    <w:name w:val="正文.1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18">
    <w:name w:val="表题15"/>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2119">
    <w:name w:val="Char Char Char Char Char Char Char151"/>
    <w:basedOn w:val="1"/>
    <w:autoRedefine/>
    <w:qFormat/>
    <w:uiPriority w:val="0"/>
    <w:rPr>
      <w:szCs w:val="20"/>
    </w:rPr>
  </w:style>
  <w:style w:type="paragraph" w:customStyle="1" w:styleId="2120">
    <w:name w:val="燕山正文114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character" w:customStyle="1" w:styleId="2121">
    <w:name w:val="三级标题 Char2"/>
    <w:autoRedefine/>
    <w:qFormat/>
    <w:uiPriority w:val="0"/>
    <w:rPr>
      <w:rFonts w:ascii="黑体" w:hAnsi="宋体" w:eastAsia="黑体"/>
      <w:b/>
      <w:bCs/>
      <w:kern w:val="2"/>
      <w:sz w:val="28"/>
      <w:szCs w:val="28"/>
      <w:lang w:val="en-US" w:eastAsia="zh-CN" w:bidi="ar-SA"/>
    </w:rPr>
  </w:style>
  <w:style w:type="paragraph" w:customStyle="1" w:styleId="2122">
    <w:name w:val="表题151"/>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123">
    <w:name w:val="正文修改 Char132"/>
    <w:autoRedefine/>
    <w:qFormat/>
    <w:uiPriority w:val="0"/>
    <w:rPr>
      <w:rFonts w:ascii="宋体" w:hAnsi="宋体" w:eastAsia="宋体" w:cs="宋体"/>
      <w:color w:val="000000"/>
      <w:sz w:val="24"/>
      <w:szCs w:val="24"/>
    </w:rPr>
  </w:style>
  <w:style w:type="paragraph" w:customStyle="1" w:styleId="2124">
    <w:name w:val="正文格式＝"/>
    <w:basedOn w:val="403"/>
    <w:next w:val="403"/>
    <w:autoRedefine/>
    <w:semiHidden/>
    <w:qFormat/>
    <w:uiPriority w:val="0"/>
    <w:rPr>
      <w:rFonts w:hAnsi="宋体" w:cs="Times New Roman"/>
    </w:rPr>
  </w:style>
  <w:style w:type="paragraph" w:customStyle="1" w:styleId="2125">
    <w:name w:val="默认段落字体 Para Char3"/>
    <w:basedOn w:val="1"/>
    <w:autoRedefine/>
    <w:qFormat/>
    <w:uiPriority w:val="0"/>
    <w:pPr>
      <w:spacing w:line="360" w:lineRule="auto"/>
      <w:ind w:firstLine="200" w:firstLineChars="200"/>
    </w:pPr>
    <w:rPr>
      <w:rFonts w:ascii="宋体" w:hAnsi="宋体" w:cs="宋体"/>
      <w:sz w:val="24"/>
    </w:rPr>
  </w:style>
  <w:style w:type="paragraph" w:customStyle="1" w:styleId="2126">
    <w:name w:val="23-47表名"/>
    <w:basedOn w:val="1"/>
    <w:autoRedefine/>
    <w:qFormat/>
    <w:uiPriority w:val="0"/>
    <w:pPr>
      <w:spacing w:afterLines="50" w:line="440" w:lineRule="exact"/>
      <w:jc w:val="center"/>
    </w:pPr>
    <w:rPr>
      <w:rFonts w:ascii="宋体" w:hAnsi="宋体"/>
      <w:b/>
      <w:sz w:val="24"/>
    </w:rPr>
  </w:style>
  <w:style w:type="paragraph" w:customStyle="1" w:styleId="2127">
    <w:name w:val="表题1113"/>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2128">
    <w:name w:val="标题43132"/>
    <w:basedOn w:val="1"/>
    <w:autoRedefine/>
    <w:qFormat/>
    <w:uiPriority w:val="0"/>
    <w:pPr>
      <w:adjustRightInd w:val="0"/>
      <w:snapToGrid w:val="0"/>
      <w:spacing w:line="480" w:lineRule="exact"/>
      <w:jc w:val="center"/>
    </w:pPr>
    <w:rPr>
      <w:rFonts w:ascii="宋体" w:hAnsi="宋体" w:cs="宋体"/>
      <w:sz w:val="24"/>
    </w:rPr>
  </w:style>
  <w:style w:type="paragraph" w:customStyle="1" w:styleId="2129">
    <w:name w:val="图题213"/>
    <w:basedOn w:val="403"/>
    <w:next w:val="403"/>
    <w:autoRedefine/>
    <w:qFormat/>
    <w:uiPriority w:val="0"/>
    <w:pPr>
      <w:ind w:firstLine="0"/>
      <w:jc w:val="center"/>
    </w:pPr>
    <w:rPr>
      <w:rFonts w:ascii="黑体" w:hAnsi="宋体" w:eastAsia="黑体"/>
      <w:b/>
      <w:bCs/>
    </w:rPr>
  </w:style>
  <w:style w:type="paragraph" w:customStyle="1" w:styleId="2130">
    <w:name w:val="附件42"/>
    <w:basedOn w:val="5"/>
    <w:next w:val="403"/>
    <w:autoRedefine/>
    <w:qFormat/>
    <w:uiPriority w:val="0"/>
    <w:pPr>
      <w:keepLines/>
      <w:overflowPunct/>
      <w:snapToGrid/>
      <w:spacing w:before="0" w:after="0" w:line="360" w:lineRule="auto"/>
      <w:ind w:left="0" w:firstLine="0"/>
      <w:jc w:val="left"/>
    </w:pPr>
    <w:rPr>
      <w:rFonts w:ascii="黑体" w:hAnsi="宋体"/>
      <w:color w:val="auto"/>
      <w:sz w:val="32"/>
      <w:szCs w:val="32"/>
    </w:rPr>
  </w:style>
  <w:style w:type="paragraph" w:customStyle="1" w:styleId="2131">
    <w:name w:val="Char Char Char Char Char Char Char49"/>
    <w:basedOn w:val="1"/>
    <w:autoRedefine/>
    <w:qFormat/>
    <w:uiPriority w:val="0"/>
    <w:rPr>
      <w:szCs w:val="20"/>
    </w:rPr>
  </w:style>
  <w:style w:type="paragraph" w:customStyle="1" w:styleId="2132">
    <w:name w:val="燕山正文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133">
    <w:name w:val="表内5313"/>
    <w:basedOn w:val="1"/>
    <w:autoRedefine/>
    <w:qFormat/>
    <w:uiPriority w:val="0"/>
    <w:pPr>
      <w:adjustRightInd w:val="0"/>
      <w:snapToGrid w:val="0"/>
      <w:spacing w:line="300" w:lineRule="auto"/>
      <w:jc w:val="left"/>
    </w:pPr>
    <w:rPr>
      <w:rFonts w:ascii="宋体"/>
      <w:szCs w:val="20"/>
    </w:rPr>
  </w:style>
  <w:style w:type="paragraph" w:customStyle="1" w:styleId="2134">
    <w:name w:val="样式 标题 4无效格式无效格式1河石管道4H4H41小小节河石管道41H42H411小小节1河石管道42...112"/>
    <w:basedOn w:val="9"/>
    <w:autoRedefine/>
    <w:qFormat/>
    <w:uiPriority w:val="0"/>
    <w:pPr>
      <w:adjustRightInd w:val="0"/>
      <w:snapToGrid w:val="0"/>
      <w:spacing w:before="0" w:after="0" w:line="360" w:lineRule="auto"/>
      <w:ind w:left="664" w:hanging="864"/>
      <w:jc w:val="left"/>
    </w:pPr>
    <w:rPr>
      <w:rFonts w:ascii="黑体" w:cs="宋体"/>
      <w:b w:val="0"/>
      <w:bCs w:val="0"/>
      <w:sz w:val="24"/>
      <w:szCs w:val="20"/>
      <w:lang w:val="zh-CN"/>
    </w:rPr>
  </w:style>
  <w:style w:type="paragraph" w:customStyle="1" w:styleId="2135">
    <w:name w:val="Char38"/>
    <w:basedOn w:val="1"/>
    <w:autoRedefine/>
    <w:qFormat/>
    <w:uiPriority w:val="0"/>
    <w:pPr>
      <w:ind w:left="-48"/>
    </w:pPr>
  </w:style>
  <w:style w:type="paragraph" w:customStyle="1" w:styleId="2136">
    <w:name w:val="样式 标题 4无效格式无效格式1河石管道4H4H41小小节河石管道41H42H411小小节1河石管道42...22"/>
    <w:basedOn w:val="9"/>
    <w:autoRedefine/>
    <w:qFormat/>
    <w:uiPriority w:val="0"/>
    <w:pPr>
      <w:adjustRightInd w:val="0"/>
      <w:snapToGrid w:val="0"/>
      <w:spacing w:before="0" w:after="0" w:line="360" w:lineRule="auto"/>
      <w:ind w:left="664" w:hanging="864"/>
    </w:pPr>
    <w:rPr>
      <w:rFonts w:ascii="黑体"/>
      <w:b w:val="0"/>
      <w:bCs w:val="0"/>
      <w:sz w:val="24"/>
      <w:szCs w:val="24"/>
      <w:lang w:val="zh-CN"/>
    </w:rPr>
  </w:style>
  <w:style w:type="paragraph" w:customStyle="1" w:styleId="2137">
    <w:name w:val="表题31"/>
    <w:basedOn w:val="36"/>
    <w:autoRedefine/>
    <w:qFormat/>
    <w:uiPriority w:val="0"/>
    <w:pPr>
      <w:tabs>
        <w:tab w:val="left" w:pos="4305"/>
      </w:tabs>
      <w:adjustRightInd w:val="0"/>
      <w:snapToGrid w:val="0"/>
      <w:spacing w:after="0" w:line="360" w:lineRule="auto"/>
      <w:ind w:left="0" w:leftChars="0" w:firstLine="561"/>
    </w:pPr>
    <w:rPr>
      <w:rFonts w:ascii="宋体" w:hAnsi="宋体" w:cs="宋体"/>
      <w:color w:val="000000"/>
      <w:kern w:val="2"/>
      <w:szCs w:val="24"/>
    </w:rPr>
  </w:style>
  <w:style w:type="paragraph" w:customStyle="1" w:styleId="2138">
    <w:name w:val="样式123"/>
    <w:basedOn w:val="2137"/>
    <w:autoRedefine/>
    <w:qFormat/>
    <w:uiPriority w:val="0"/>
    <w:pPr>
      <w:spacing w:line="240" w:lineRule="auto"/>
      <w:ind w:firstLine="0"/>
      <w:jc w:val="center"/>
    </w:pPr>
    <w:rPr>
      <w:rFonts w:cs="Times New Roman"/>
      <w:b/>
      <w:color w:val="auto"/>
      <w:szCs w:val="20"/>
    </w:rPr>
  </w:style>
  <w:style w:type="paragraph" w:customStyle="1" w:styleId="2139">
    <w:name w:val="燕山正文131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140">
    <w:name w:val="标题431"/>
    <w:basedOn w:val="1"/>
    <w:autoRedefine/>
    <w:qFormat/>
    <w:uiPriority w:val="0"/>
    <w:pPr>
      <w:adjustRightInd w:val="0"/>
      <w:snapToGrid w:val="0"/>
      <w:spacing w:line="480" w:lineRule="exact"/>
      <w:jc w:val="center"/>
    </w:pPr>
    <w:rPr>
      <w:rFonts w:ascii="宋体" w:hAnsi="宋体" w:cs="宋体"/>
      <w:sz w:val="24"/>
    </w:rPr>
  </w:style>
  <w:style w:type="paragraph" w:customStyle="1" w:styleId="2141">
    <w:name w:val="表文字523"/>
    <w:basedOn w:val="1"/>
    <w:autoRedefine/>
    <w:qFormat/>
    <w:uiPriority w:val="0"/>
    <w:pPr>
      <w:adjustRightInd w:val="0"/>
      <w:jc w:val="left"/>
      <w:textAlignment w:val="baseline"/>
    </w:pPr>
    <w:rPr>
      <w:rFonts w:ascii="宋体"/>
      <w:kern w:val="0"/>
      <w:szCs w:val="20"/>
    </w:rPr>
  </w:style>
  <w:style w:type="paragraph" w:customStyle="1" w:styleId="2142">
    <w:name w:val="样式 正文缩进 + 宋体 黑色 首行缩进:  2 字符"/>
    <w:basedOn w:val="8"/>
    <w:autoRedefine/>
    <w:qFormat/>
    <w:uiPriority w:val="0"/>
    <w:pPr>
      <w:spacing w:line="360" w:lineRule="auto"/>
      <w:ind w:firstLine="480"/>
      <w:jc w:val="left"/>
    </w:pPr>
    <w:rPr>
      <w:rFonts w:ascii="宋体" w:hAnsi="宋体" w:cs="宋体"/>
      <w:color w:val="FF00FF"/>
      <w:sz w:val="24"/>
    </w:rPr>
  </w:style>
  <w:style w:type="paragraph" w:customStyle="1" w:styleId="2143">
    <w:name w:val="表题41"/>
    <w:basedOn w:val="36"/>
    <w:autoRedefine/>
    <w:qFormat/>
    <w:uiPriority w:val="0"/>
    <w:pPr>
      <w:tabs>
        <w:tab w:val="left" w:pos="4305"/>
      </w:tabs>
      <w:adjustRightInd w:val="0"/>
      <w:snapToGrid w:val="0"/>
      <w:spacing w:after="0" w:line="360" w:lineRule="auto"/>
      <w:ind w:left="0" w:leftChars="0" w:firstLine="561"/>
    </w:pPr>
    <w:rPr>
      <w:rFonts w:ascii="宋体" w:hAnsi="宋体" w:cs="宋体"/>
      <w:color w:val="000000"/>
      <w:kern w:val="2"/>
      <w:szCs w:val="24"/>
    </w:rPr>
  </w:style>
  <w:style w:type="paragraph" w:customStyle="1" w:styleId="2144">
    <w:name w:val="表格内字体11"/>
    <w:basedOn w:val="403"/>
    <w:autoRedefine/>
    <w:qFormat/>
    <w:uiPriority w:val="0"/>
    <w:pPr>
      <w:spacing w:line="240" w:lineRule="auto"/>
      <w:ind w:firstLine="0"/>
      <w:jc w:val="center"/>
    </w:pPr>
    <w:rPr>
      <w:sz w:val="21"/>
      <w:szCs w:val="20"/>
    </w:rPr>
  </w:style>
  <w:style w:type="paragraph" w:customStyle="1" w:styleId="2145">
    <w:name w:val="附件"/>
    <w:basedOn w:val="5"/>
    <w:next w:val="403"/>
    <w:autoRedefine/>
    <w:qFormat/>
    <w:uiPriority w:val="0"/>
    <w:pPr>
      <w:keepLines/>
      <w:overflowPunct/>
      <w:snapToGrid/>
      <w:spacing w:before="0" w:after="0" w:line="360" w:lineRule="auto"/>
      <w:ind w:left="0" w:firstLine="0"/>
      <w:jc w:val="left"/>
    </w:pPr>
    <w:rPr>
      <w:rFonts w:ascii="黑体" w:hAnsi="宋体"/>
      <w:color w:val="auto"/>
      <w:sz w:val="32"/>
      <w:szCs w:val="32"/>
    </w:rPr>
  </w:style>
  <w:style w:type="paragraph" w:customStyle="1" w:styleId="2146">
    <w:name w:val="表内541"/>
    <w:basedOn w:val="1"/>
    <w:autoRedefine/>
    <w:qFormat/>
    <w:uiPriority w:val="0"/>
    <w:pPr>
      <w:adjustRightInd w:val="0"/>
      <w:snapToGrid w:val="0"/>
      <w:spacing w:line="300" w:lineRule="auto"/>
      <w:jc w:val="center"/>
    </w:pPr>
    <w:rPr>
      <w:rFonts w:ascii="宋体" w:hAnsi="宋体" w:cs="宋体"/>
      <w:szCs w:val="20"/>
    </w:rPr>
  </w:style>
  <w:style w:type="paragraph" w:customStyle="1" w:styleId="2147">
    <w:name w:val="默认段落字体 Para Char5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148">
    <w:name w:val="表内文字小21"/>
    <w:basedOn w:val="1"/>
    <w:autoRedefine/>
    <w:qFormat/>
    <w:uiPriority w:val="0"/>
    <w:pPr>
      <w:adjustRightInd w:val="0"/>
      <w:snapToGrid w:val="0"/>
      <w:jc w:val="center"/>
    </w:pPr>
    <w:rPr>
      <w:rFonts w:ascii="宋体" w:hAnsi="Times"/>
      <w:bCs/>
      <w:color w:val="000000"/>
      <w:szCs w:val="20"/>
    </w:rPr>
  </w:style>
  <w:style w:type="paragraph" w:customStyle="1" w:styleId="2149">
    <w:name w:val="正文格式6"/>
    <w:basedOn w:val="1"/>
    <w:autoRedefine/>
    <w:qFormat/>
    <w:uiPriority w:val="0"/>
    <w:pPr>
      <w:spacing w:line="360" w:lineRule="auto"/>
      <w:ind w:firstLine="482"/>
    </w:pPr>
    <w:rPr>
      <w:rFonts w:ascii="宋体" w:hAnsi="宋体"/>
      <w:sz w:val="24"/>
    </w:rPr>
  </w:style>
  <w:style w:type="paragraph" w:customStyle="1" w:styleId="2150">
    <w:name w:val="表文字5"/>
    <w:basedOn w:val="1"/>
    <w:autoRedefine/>
    <w:qFormat/>
    <w:uiPriority w:val="0"/>
    <w:pPr>
      <w:adjustRightInd w:val="0"/>
      <w:jc w:val="left"/>
      <w:textAlignment w:val="baseline"/>
    </w:pPr>
    <w:rPr>
      <w:rFonts w:ascii="宋体"/>
      <w:kern w:val="0"/>
      <w:szCs w:val="20"/>
    </w:rPr>
  </w:style>
  <w:style w:type="character" w:customStyle="1" w:styleId="2151">
    <w:name w:val="表内5 Char2"/>
    <w:autoRedefine/>
    <w:qFormat/>
    <w:uiPriority w:val="0"/>
    <w:rPr>
      <w:rFonts w:ascii="宋体" w:hAnsi="宋体" w:eastAsia="宋体" w:cs="宋体"/>
      <w:kern w:val="2"/>
      <w:sz w:val="21"/>
      <w:szCs w:val="24"/>
      <w:lang w:val="en-US" w:eastAsia="zh-CN" w:bidi="ar-SA"/>
    </w:rPr>
  </w:style>
  <w:style w:type="paragraph" w:customStyle="1" w:styleId="2152">
    <w:name w:val="表内文字小31"/>
    <w:basedOn w:val="1"/>
    <w:autoRedefine/>
    <w:qFormat/>
    <w:uiPriority w:val="0"/>
    <w:pPr>
      <w:adjustRightInd w:val="0"/>
      <w:snapToGrid w:val="0"/>
      <w:jc w:val="center"/>
    </w:pPr>
    <w:rPr>
      <w:rFonts w:ascii="宋体" w:hAnsi="Times" w:cs="宋体"/>
      <w:bCs/>
      <w:color w:val="003366"/>
      <w:szCs w:val="20"/>
    </w:rPr>
  </w:style>
  <w:style w:type="paragraph" w:customStyle="1" w:styleId="2153">
    <w:name w:val="表内宋511"/>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2154">
    <w:name w:val="正文."/>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55">
    <w:name w:val="黑体三号"/>
    <w:basedOn w:val="403"/>
    <w:autoRedefine/>
    <w:qFormat/>
    <w:uiPriority w:val="0"/>
    <w:pPr>
      <w:jc w:val="center"/>
    </w:pPr>
    <w:rPr>
      <w:rFonts w:ascii="黑体" w:hAnsi="宋体" w:eastAsia="黑体"/>
      <w:b/>
      <w:bCs/>
      <w:sz w:val="32"/>
      <w:szCs w:val="20"/>
    </w:rPr>
  </w:style>
  <w:style w:type="character" w:customStyle="1" w:styleId="2156">
    <w:name w:val="样式 表内小5 + 黑体 加粗 倾斜 下划线 Char5"/>
    <w:autoRedefine/>
    <w:qFormat/>
    <w:uiPriority w:val="0"/>
    <w:rPr>
      <w:rFonts w:ascii="黑体" w:hAnsi="黑体" w:eastAsia="黑体"/>
      <w:b/>
      <w:bCs/>
      <w:i/>
      <w:iCs/>
      <w:kern w:val="2"/>
      <w:sz w:val="18"/>
      <w:szCs w:val="24"/>
      <w:u w:val="single"/>
      <w:lang w:val="en-US" w:eastAsia="zh-CN" w:bidi="ar-SA"/>
    </w:rPr>
  </w:style>
  <w:style w:type="character" w:customStyle="1" w:styleId="2157">
    <w:name w:val="Char Char421"/>
    <w:autoRedefine/>
    <w:qFormat/>
    <w:uiPriority w:val="0"/>
    <w:rPr>
      <w:rFonts w:ascii="黑体" w:hAnsi="Arial" w:eastAsia="黑体"/>
      <w:b/>
      <w:bCs/>
      <w:kern w:val="2"/>
      <w:sz w:val="30"/>
      <w:szCs w:val="30"/>
      <w:lang w:val="en-US" w:eastAsia="zh-CN" w:bidi="ar-SA"/>
    </w:rPr>
  </w:style>
  <w:style w:type="character" w:customStyle="1" w:styleId="2158">
    <w:name w:val="标题 2 Char1 Char"/>
    <w:autoRedefine/>
    <w:qFormat/>
    <w:uiPriority w:val="0"/>
    <w:rPr>
      <w:rFonts w:ascii="黑体" w:hAnsi="Arial" w:eastAsia="黑体"/>
      <w:b/>
      <w:bCs/>
      <w:kern w:val="2"/>
      <w:sz w:val="30"/>
      <w:szCs w:val="30"/>
      <w:lang w:val="en-US" w:eastAsia="zh-CN" w:bidi="ar-SA"/>
    </w:rPr>
  </w:style>
  <w:style w:type="character" w:customStyle="1" w:styleId="2159">
    <w:name w:val="标题正文黑 Char"/>
    <w:autoRedefine/>
    <w:qFormat/>
    <w:uiPriority w:val="0"/>
    <w:rPr>
      <w:rFonts w:ascii="黑体" w:eastAsia="黑体"/>
      <w:kern w:val="2"/>
      <w:sz w:val="28"/>
      <w:szCs w:val="28"/>
      <w:lang w:val="en-US" w:eastAsia="zh-CN" w:bidi="ar-SA"/>
    </w:rPr>
  </w:style>
  <w:style w:type="paragraph" w:customStyle="1" w:styleId="2160">
    <w:name w:val="首行缩进:  0.99 厘米 + 首行缩进:  2 字符"/>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161">
    <w:name w:val="图表名称"/>
    <w:basedOn w:val="316"/>
    <w:autoRedefine/>
    <w:qFormat/>
    <w:uiPriority w:val="0"/>
    <w:pPr>
      <w:adjustRightInd w:val="0"/>
      <w:snapToGrid w:val="0"/>
      <w:spacing w:after="0" w:line="480" w:lineRule="exact"/>
      <w:ind w:firstLine="0" w:firstLineChars="0"/>
      <w:jc w:val="center"/>
    </w:pPr>
    <w:rPr>
      <w:bCs/>
      <w:kern w:val="2"/>
      <w:lang w:val="zh-CN"/>
    </w:rPr>
  </w:style>
  <w:style w:type="paragraph" w:customStyle="1" w:styleId="2162">
    <w:name w:val="表内文字边"/>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character" w:customStyle="1" w:styleId="2163">
    <w:name w:val="样式 黑色"/>
    <w:autoRedefine/>
    <w:qFormat/>
    <w:uiPriority w:val="0"/>
    <w:rPr>
      <w:rFonts w:eastAsia="宋体"/>
      <w:color w:val="auto"/>
      <w:kern w:val="2"/>
      <w:sz w:val="24"/>
      <w:szCs w:val="24"/>
      <w:lang w:val="en-US" w:eastAsia="zh-CN" w:bidi="ar-SA"/>
    </w:rPr>
  </w:style>
  <w:style w:type="paragraph" w:customStyle="1" w:styleId="2164">
    <w:name w:val="默认段落字体 Para Char Char Char Char Char"/>
    <w:basedOn w:val="1"/>
    <w:autoRedefine/>
    <w:qFormat/>
    <w:uiPriority w:val="0"/>
  </w:style>
  <w:style w:type="paragraph" w:customStyle="1" w:styleId="2165">
    <w:name w:val="表内宋5中"/>
    <w:basedOn w:val="1"/>
    <w:autoRedefine/>
    <w:qFormat/>
    <w:uiPriority w:val="0"/>
    <w:pPr>
      <w:adjustRightInd w:val="0"/>
      <w:snapToGrid w:val="0"/>
      <w:textAlignment w:val="baseline"/>
    </w:pPr>
    <w:rPr>
      <w:color w:val="000000"/>
      <w:kern w:val="0"/>
      <w:szCs w:val="20"/>
    </w:rPr>
  </w:style>
  <w:style w:type="paragraph" w:customStyle="1" w:styleId="2166">
    <w:name w:val="样式 标题 3 + 段前: 12 磅"/>
    <w:basedOn w:val="7"/>
    <w:autoRedefine/>
    <w:qFormat/>
    <w:uiPriority w:val="0"/>
    <w:pPr>
      <w:keepNext w:val="0"/>
      <w:keepLines w:val="0"/>
      <w:widowControl/>
      <w:autoSpaceDE w:val="0"/>
      <w:autoSpaceDN w:val="0"/>
      <w:snapToGrid w:val="0"/>
      <w:spacing w:before="0" w:line="360" w:lineRule="auto"/>
      <w:jc w:val="both"/>
      <w:textAlignment w:val="auto"/>
    </w:pPr>
    <w:rPr>
      <w:rFonts w:ascii="黑体" w:hAnsi="宋体" w:cs="宋体"/>
      <w:color w:val="000000"/>
      <w:kern w:val="21"/>
      <w:sz w:val="24"/>
      <w:szCs w:val="20"/>
    </w:rPr>
  </w:style>
  <w:style w:type="paragraph" w:customStyle="1" w:styleId="2167">
    <w:name w:val="表内文字小"/>
    <w:basedOn w:val="1"/>
    <w:autoRedefine/>
    <w:qFormat/>
    <w:uiPriority w:val="0"/>
    <w:pPr>
      <w:adjustRightInd w:val="0"/>
      <w:snapToGrid w:val="0"/>
      <w:jc w:val="center"/>
    </w:pPr>
    <w:rPr>
      <w:rFonts w:ascii="宋体" w:hAnsi="Times"/>
      <w:szCs w:val="20"/>
    </w:rPr>
  </w:style>
  <w:style w:type="paragraph" w:customStyle="1" w:styleId="2168">
    <w:name w:val="表内5"/>
    <w:basedOn w:val="1"/>
    <w:autoRedefine/>
    <w:qFormat/>
    <w:uiPriority w:val="0"/>
    <w:pPr>
      <w:adjustRightInd w:val="0"/>
      <w:snapToGrid w:val="0"/>
      <w:spacing w:line="300" w:lineRule="auto"/>
      <w:jc w:val="left"/>
    </w:pPr>
    <w:rPr>
      <w:rFonts w:ascii="宋体"/>
      <w:sz w:val="18"/>
      <w:szCs w:val="20"/>
    </w:rPr>
  </w:style>
  <w:style w:type="paragraph" w:customStyle="1" w:styleId="2169">
    <w:name w:val="表内宋5"/>
    <w:basedOn w:val="2165"/>
    <w:autoRedefine/>
    <w:qFormat/>
    <w:uiPriority w:val="0"/>
    <w:pPr>
      <w:widowControl/>
      <w:autoSpaceDE w:val="0"/>
      <w:autoSpaceDN w:val="0"/>
      <w:jc w:val="left"/>
      <w:textAlignment w:val="auto"/>
    </w:pPr>
    <w:rPr>
      <w:color w:val="auto"/>
      <w:w w:val="90"/>
    </w:rPr>
  </w:style>
  <w:style w:type="paragraph" w:customStyle="1" w:styleId="2170">
    <w:name w:val="Char Char Char Char1 Char Char Char28"/>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171">
    <w:name w:val="正文格式11"/>
    <w:basedOn w:val="1"/>
    <w:autoRedefine/>
    <w:qFormat/>
    <w:uiPriority w:val="0"/>
    <w:pPr>
      <w:spacing w:line="360" w:lineRule="auto"/>
      <w:ind w:firstLine="482"/>
    </w:pPr>
    <w:rPr>
      <w:rFonts w:ascii="宋体" w:hAnsi="宋体"/>
      <w:sz w:val="24"/>
    </w:rPr>
  </w:style>
  <w:style w:type="paragraph" w:customStyle="1" w:styleId="2172">
    <w:name w:val="图题1"/>
    <w:basedOn w:val="403"/>
    <w:next w:val="403"/>
    <w:autoRedefine/>
    <w:qFormat/>
    <w:uiPriority w:val="0"/>
    <w:pPr>
      <w:ind w:firstLine="0"/>
      <w:jc w:val="center"/>
    </w:pPr>
    <w:rPr>
      <w:rFonts w:ascii="黑体" w:hAnsi="宋体" w:eastAsia="黑体"/>
      <w:b/>
      <w:bCs/>
    </w:rPr>
  </w:style>
  <w:style w:type="paragraph" w:customStyle="1" w:styleId="2173">
    <w:name w:val="表格内字体1"/>
    <w:basedOn w:val="403"/>
    <w:next w:val="403"/>
    <w:autoRedefine/>
    <w:qFormat/>
    <w:uiPriority w:val="0"/>
    <w:pPr>
      <w:spacing w:line="240" w:lineRule="auto"/>
      <w:ind w:firstLine="0"/>
      <w:jc w:val="center"/>
    </w:pPr>
    <w:rPr>
      <w:rFonts w:hAnsi="宋体" w:cs="Times New Roman"/>
      <w:sz w:val="21"/>
    </w:rPr>
  </w:style>
  <w:style w:type="character" w:customStyle="1" w:styleId="2174">
    <w:name w:val="表格内字体 Char1"/>
    <w:autoRedefine/>
    <w:qFormat/>
    <w:uiPriority w:val="0"/>
    <w:rPr>
      <w:rFonts w:ascii="宋体" w:hAnsi="宋体" w:eastAsia="宋体"/>
      <w:kern w:val="2"/>
      <w:sz w:val="21"/>
      <w:szCs w:val="24"/>
      <w:lang w:val="en-US" w:eastAsia="zh-CN" w:bidi="ar-SA"/>
    </w:rPr>
  </w:style>
  <w:style w:type="character" w:customStyle="1" w:styleId="2175">
    <w:name w:val="正文格式 Char1"/>
    <w:autoRedefine/>
    <w:qFormat/>
    <w:uiPriority w:val="0"/>
    <w:rPr>
      <w:rFonts w:ascii="宋体" w:hAnsi="宋体" w:eastAsia="宋体"/>
      <w:kern w:val="2"/>
      <w:sz w:val="24"/>
      <w:szCs w:val="24"/>
      <w:lang w:val="en-US" w:eastAsia="zh-CN" w:bidi="ar-SA"/>
    </w:rPr>
  </w:style>
  <w:style w:type="character" w:customStyle="1" w:styleId="2176">
    <w:name w:val="Char Char519"/>
    <w:autoRedefine/>
    <w:qFormat/>
    <w:uiPriority w:val="0"/>
    <w:rPr>
      <w:rFonts w:ascii="黑体" w:hAnsi="宋体" w:eastAsia="黑体"/>
      <w:bCs/>
      <w:kern w:val="2"/>
      <w:sz w:val="28"/>
      <w:szCs w:val="28"/>
      <w:lang w:val="en-US" w:eastAsia="zh-CN" w:bidi="ar-SA"/>
    </w:rPr>
  </w:style>
  <w:style w:type="paragraph" w:customStyle="1" w:styleId="2177">
    <w:name w:val="正文格式＝1"/>
    <w:basedOn w:val="403"/>
    <w:next w:val="403"/>
    <w:autoRedefine/>
    <w:qFormat/>
    <w:uiPriority w:val="0"/>
    <w:rPr>
      <w:rFonts w:hAnsi="宋体" w:cs="Times New Roman"/>
    </w:rPr>
  </w:style>
  <w:style w:type="paragraph" w:customStyle="1" w:styleId="2178">
    <w:name w:val="正文格式2"/>
    <w:basedOn w:val="1"/>
    <w:autoRedefine/>
    <w:qFormat/>
    <w:uiPriority w:val="0"/>
    <w:pPr>
      <w:spacing w:line="360" w:lineRule="auto"/>
      <w:ind w:firstLine="482"/>
    </w:pPr>
    <w:rPr>
      <w:rFonts w:ascii="宋体" w:hAnsi="宋体"/>
      <w:sz w:val="24"/>
    </w:rPr>
  </w:style>
  <w:style w:type="character" w:customStyle="1" w:styleId="2179">
    <w:name w:val="正文格式 Char2"/>
    <w:autoRedefine/>
    <w:qFormat/>
    <w:uiPriority w:val="0"/>
    <w:rPr>
      <w:rFonts w:ascii="宋体" w:hAnsi="宋体" w:eastAsia="宋体"/>
      <w:kern w:val="2"/>
      <w:sz w:val="24"/>
      <w:szCs w:val="24"/>
      <w:lang w:val="en-US" w:eastAsia="zh-CN" w:bidi="ar-SA"/>
    </w:rPr>
  </w:style>
  <w:style w:type="paragraph" w:customStyle="1" w:styleId="2180">
    <w:name w:val="图题2"/>
    <w:basedOn w:val="403"/>
    <w:next w:val="403"/>
    <w:autoRedefine/>
    <w:qFormat/>
    <w:uiPriority w:val="0"/>
    <w:pPr>
      <w:ind w:firstLine="0"/>
      <w:jc w:val="center"/>
    </w:pPr>
    <w:rPr>
      <w:rFonts w:ascii="黑体" w:hAnsi="宋体" w:eastAsia="黑体"/>
      <w:b/>
      <w:bCs/>
    </w:rPr>
  </w:style>
  <w:style w:type="paragraph" w:customStyle="1" w:styleId="2181">
    <w:name w:val="表格内字体2"/>
    <w:basedOn w:val="403"/>
    <w:next w:val="403"/>
    <w:autoRedefine/>
    <w:qFormat/>
    <w:uiPriority w:val="0"/>
    <w:pPr>
      <w:spacing w:line="240" w:lineRule="auto"/>
      <w:ind w:firstLine="0"/>
      <w:jc w:val="center"/>
    </w:pPr>
    <w:rPr>
      <w:rFonts w:hAnsi="宋体" w:cs="Times New Roman"/>
      <w:sz w:val="21"/>
    </w:rPr>
  </w:style>
  <w:style w:type="character" w:customStyle="1" w:styleId="2182">
    <w:name w:val="表格内字体 Char2"/>
    <w:autoRedefine/>
    <w:qFormat/>
    <w:uiPriority w:val="0"/>
    <w:rPr>
      <w:rFonts w:ascii="宋体" w:hAnsi="宋体" w:eastAsia="宋体"/>
      <w:kern w:val="2"/>
      <w:sz w:val="21"/>
      <w:szCs w:val="24"/>
      <w:lang w:val="en-US" w:eastAsia="zh-CN" w:bidi="ar-SA"/>
    </w:rPr>
  </w:style>
  <w:style w:type="paragraph" w:customStyle="1" w:styleId="2183">
    <w:name w:val="表内5411"/>
    <w:basedOn w:val="1"/>
    <w:autoRedefine/>
    <w:qFormat/>
    <w:uiPriority w:val="0"/>
    <w:pPr>
      <w:adjustRightInd w:val="0"/>
      <w:snapToGrid w:val="0"/>
      <w:spacing w:line="300" w:lineRule="auto"/>
      <w:jc w:val="center"/>
    </w:pPr>
    <w:rPr>
      <w:rFonts w:ascii="宋体" w:hAnsi="宋体" w:cs="宋体"/>
      <w:szCs w:val="20"/>
    </w:rPr>
  </w:style>
  <w:style w:type="paragraph" w:customStyle="1" w:styleId="2184">
    <w:name w:val="表内文字小211"/>
    <w:basedOn w:val="1"/>
    <w:autoRedefine/>
    <w:qFormat/>
    <w:uiPriority w:val="0"/>
    <w:pPr>
      <w:adjustRightInd w:val="0"/>
      <w:snapToGrid w:val="0"/>
      <w:jc w:val="center"/>
    </w:pPr>
    <w:rPr>
      <w:rFonts w:ascii="宋体" w:hAnsi="Times"/>
      <w:bCs/>
      <w:color w:val="000000"/>
      <w:szCs w:val="20"/>
    </w:rPr>
  </w:style>
  <w:style w:type="paragraph" w:customStyle="1" w:styleId="2185">
    <w:name w:val="表题311"/>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186">
    <w:name w:val="Char Char Char Char Char Char Char11"/>
    <w:basedOn w:val="1"/>
    <w:autoRedefine/>
    <w:qFormat/>
    <w:uiPriority w:val="0"/>
  </w:style>
  <w:style w:type="paragraph" w:customStyle="1" w:styleId="2187">
    <w:name w:val="标题4311"/>
    <w:basedOn w:val="1"/>
    <w:autoRedefine/>
    <w:qFormat/>
    <w:uiPriority w:val="0"/>
    <w:pPr>
      <w:adjustRightInd w:val="0"/>
      <w:snapToGrid w:val="0"/>
      <w:spacing w:line="480" w:lineRule="exact"/>
      <w:jc w:val="center"/>
    </w:pPr>
    <w:rPr>
      <w:rFonts w:ascii="宋体" w:hAnsi="宋体" w:cs="宋体"/>
      <w:sz w:val="24"/>
    </w:rPr>
  </w:style>
  <w:style w:type="paragraph" w:customStyle="1" w:styleId="2188">
    <w:name w:val="燕山正文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189">
    <w:name w:val="默认段落字体 Para Char Char Char Char1"/>
    <w:basedOn w:val="1"/>
    <w:autoRedefine/>
    <w:qFormat/>
    <w:uiPriority w:val="0"/>
  </w:style>
  <w:style w:type="paragraph" w:customStyle="1" w:styleId="2190">
    <w:name w:val="附件1"/>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2191">
    <w:name w:val="黑体三号1"/>
    <w:basedOn w:val="403"/>
    <w:autoRedefine/>
    <w:qFormat/>
    <w:uiPriority w:val="0"/>
    <w:pPr>
      <w:jc w:val="center"/>
    </w:pPr>
    <w:rPr>
      <w:rFonts w:ascii="黑体" w:hAnsi="宋体" w:eastAsia="黑体"/>
      <w:b/>
      <w:bCs/>
      <w:sz w:val="32"/>
      <w:szCs w:val="20"/>
    </w:rPr>
  </w:style>
  <w:style w:type="paragraph" w:customStyle="1" w:styleId="2192">
    <w:name w:val="表题11"/>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character" w:customStyle="1" w:styleId="2193">
    <w:name w:val="表题1 Char1"/>
    <w:autoRedefine/>
    <w:qFormat/>
    <w:uiPriority w:val="0"/>
    <w:rPr>
      <w:rFonts w:ascii="黑体" w:hAnsi="Arial" w:eastAsia="黑体" w:cs="Arial"/>
      <w:kern w:val="2"/>
      <w:sz w:val="24"/>
      <w:szCs w:val="24"/>
      <w:lang w:val="en-US" w:eastAsia="zh-CN" w:bidi="ar-SA"/>
    </w:rPr>
  </w:style>
  <w:style w:type="paragraph" w:customStyle="1" w:styleId="2194">
    <w:name w:val="燕山正文1"/>
    <w:basedOn w:val="1"/>
    <w:autoRedefine/>
    <w:qFormat/>
    <w:uiPriority w:val="0"/>
    <w:pPr>
      <w:tabs>
        <w:tab w:val="left" w:pos="4680"/>
      </w:tabs>
      <w:adjustRightInd w:val="0"/>
      <w:snapToGrid w:val="0"/>
      <w:spacing w:line="480" w:lineRule="exact"/>
    </w:pPr>
    <w:rPr>
      <w:rFonts w:ascii="宋体" w:cs="宋体"/>
      <w:sz w:val="24"/>
    </w:rPr>
  </w:style>
  <w:style w:type="character" w:customStyle="1" w:styleId="2195">
    <w:name w:val="燕山正文 Char11"/>
    <w:autoRedefine/>
    <w:qFormat/>
    <w:uiPriority w:val="0"/>
    <w:rPr>
      <w:rFonts w:ascii="宋体" w:eastAsia="宋体" w:cs="宋体"/>
      <w:kern w:val="2"/>
      <w:sz w:val="24"/>
      <w:szCs w:val="24"/>
      <w:lang w:val="en-US" w:eastAsia="zh-CN" w:bidi="ar-SA"/>
    </w:rPr>
  </w:style>
  <w:style w:type="paragraph" w:customStyle="1" w:styleId="2196">
    <w:name w:val="正文修改1"/>
    <w:basedOn w:val="2088"/>
    <w:autoRedefine/>
    <w:qFormat/>
    <w:uiPriority w:val="0"/>
    <w:rPr>
      <w:rFonts w:hAnsi="宋体"/>
      <w:color w:val="000000"/>
    </w:rPr>
  </w:style>
  <w:style w:type="character" w:customStyle="1" w:styleId="2197">
    <w:name w:val="正文修改 Char11"/>
    <w:autoRedefine/>
    <w:qFormat/>
    <w:uiPriority w:val="0"/>
    <w:rPr>
      <w:rFonts w:ascii="宋体" w:hAnsi="宋体" w:eastAsia="宋体" w:cs="宋体"/>
      <w:color w:val="000000"/>
      <w:sz w:val="24"/>
      <w:szCs w:val="24"/>
    </w:rPr>
  </w:style>
  <w:style w:type="character" w:customStyle="1" w:styleId="2198">
    <w:name w:val="表中文字 Char21"/>
    <w:autoRedefine/>
    <w:qFormat/>
    <w:uiPriority w:val="0"/>
    <w:rPr>
      <w:rFonts w:ascii="宋体" w:eastAsia="宋体"/>
      <w:kern w:val="2"/>
      <w:sz w:val="21"/>
      <w:szCs w:val="21"/>
      <w:lang w:val="en-US" w:eastAsia="zh-CN" w:bidi="ar-SA"/>
    </w:rPr>
  </w:style>
  <w:style w:type="paragraph" w:customStyle="1" w:styleId="2199">
    <w:name w:val="表文字51"/>
    <w:basedOn w:val="1"/>
    <w:autoRedefine/>
    <w:qFormat/>
    <w:uiPriority w:val="0"/>
    <w:pPr>
      <w:adjustRightInd w:val="0"/>
      <w:jc w:val="left"/>
      <w:textAlignment w:val="baseline"/>
    </w:pPr>
    <w:rPr>
      <w:rFonts w:ascii="宋体"/>
      <w:kern w:val="0"/>
      <w:szCs w:val="20"/>
    </w:rPr>
  </w:style>
  <w:style w:type="paragraph" w:customStyle="1" w:styleId="2200">
    <w:name w:val="表内文字小311"/>
    <w:basedOn w:val="1"/>
    <w:autoRedefine/>
    <w:qFormat/>
    <w:uiPriority w:val="0"/>
    <w:pPr>
      <w:adjustRightInd w:val="0"/>
      <w:snapToGrid w:val="0"/>
      <w:jc w:val="center"/>
    </w:pPr>
    <w:rPr>
      <w:rFonts w:ascii="宋体" w:hAnsi="Times" w:cs="宋体"/>
      <w:bCs/>
      <w:color w:val="003366"/>
      <w:szCs w:val="20"/>
    </w:rPr>
  </w:style>
  <w:style w:type="paragraph" w:customStyle="1" w:styleId="2201">
    <w:name w:val="正文格式＝2"/>
    <w:basedOn w:val="403"/>
    <w:next w:val="403"/>
    <w:autoRedefine/>
    <w:qFormat/>
    <w:uiPriority w:val="0"/>
    <w:rPr>
      <w:rFonts w:hAnsi="宋体" w:cs="Times New Roman"/>
    </w:rPr>
  </w:style>
  <w:style w:type="character" w:customStyle="1" w:styleId="2202">
    <w:name w:val="标题2 Char11"/>
    <w:autoRedefine/>
    <w:qFormat/>
    <w:uiPriority w:val="0"/>
    <w:rPr>
      <w:rFonts w:ascii="宋体" w:hAnsi="宋体" w:eastAsia="宋体" w:cs="宋体"/>
      <w:color w:val="000000"/>
      <w:kern w:val="2"/>
      <w:sz w:val="24"/>
      <w:szCs w:val="24"/>
      <w:lang w:val="en-US" w:eastAsia="zh-CN" w:bidi="ar-SA"/>
    </w:rPr>
  </w:style>
  <w:style w:type="paragraph" w:customStyle="1" w:styleId="2203">
    <w:name w:val="表内文字小2"/>
    <w:basedOn w:val="1"/>
    <w:autoRedefine/>
    <w:qFormat/>
    <w:uiPriority w:val="0"/>
    <w:pPr>
      <w:adjustRightInd w:val="0"/>
      <w:snapToGrid w:val="0"/>
      <w:jc w:val="center"/>
    </w:pPr>
    <w:rPr>
      <w:rFonts w:ascii="宋体" w:hAnsi="Times"/>
      <w:bCs/>
      <w:color w:val="000000"/>
      <w:szCs w:val="20"/>
    </w:rPr>
  </w:style>
  <w:style w:type="paragraph" w:customStyle="1" w:styleId="2204">
    <w:name w:val="表内53"/>
    <w:basedOn w:val="1"/>
    <w:autoRedefine/>
    <w:qFormat/>
    <w:uiPriority w:val="0"/>
    <w:pPr>
      <w:adjustRightInd w:val="0"/>
      <w:snapToGrid w:val="0"/>
      <w:spacing w:line="300" w:lineRule="auto"/>
      <w:jc w:val="left"/>
    </w:pPr>
    <w:rPr>
      <w:rFonts w:ascii="宋体"/>
      <w:szCs w:val="20"/>
    </w:rPr>
  </w:style>
  <w:style w:type="paragraph" w:customStyle="1" w:styleId="2205">
    <w:name w:val="正文格式3"/>
    <w:basedOn w:val="1"/>
    <w:autoRedefine/>
    <w:qFormat/>
    <w:uiPriority w:val="0"/>
    <w:pPr>
      <w:spacing w:line="360" w:lineRule="auto"/>
      <w:ind w:firstLine="482"/>
    </w:pPr>
    <w:rPr>
      <w:rFonts w:ascii="宋体" w:hAnsi="宋体"/>
      <w:sz w:val="24"/>
    </w:rPr>
  </w:style>
  <w:style w:type="character" w:customStyle="1" w:styleId="2206">
    <w:name w:val="正文格式 Char3"/>
    <w:autoRedefine/>
    <w:qFormat/>
    <w:uiPriority w:val="0"/>
    <w:rPr>
      <w:rFonts w:ascii="宋体" w:hAnsi="宋体" w:eastAsia="宋体"/>
      <w:kern w:val="2"/>
      <w:sz w:val="24"/>
      <w:szCs w:val="24"/>
      <w:lang w:val="en-US" w:eastAsia="zh-CN" w:bidi="ar-SA"/>
    </w:rPr>
  </w:style>
  <w:style w:type="paragraph" w:customStyle="1" w:styleId="2207">
    <w:name w:val="Char22"/>
    <w:basedOn w:val="1"/>
    <w:autoRedefine/>
    <w:qFormat/>
    <w:uiPriority w:val="0"/>
    <w:pPr>
      <w:adjustRightInd w:val="0"/>
      <w:snapToGrid w:val="0"/>
      <w:spacing w:beforeLines="50" w:line="360" w:lineRule="auto"/>
    </w:pPr>
    <w:rPr>
      <w:rFonts w:ascii="黑体" w:eastAsia="黑体"/>
      <w:sz w:val="32"/>
      <w:szCs w:val="32"/>
    </w:rPr>
  </w:style>
  <w:style w:type="paragraph" w:customStyle="1" w:styleId="2208">
    <w:name w:val="图题3"/>
    <w:basedOn w:val="403"/>
    <w:next w:val="403"/>
    <w:autoRedefine/>
    <w:qFormat/>
    <w:uiPriority w:val="0"/>
    <w:pPr>
      <w:ind w:firstLine="0"/>
      <w:jc w:val="center"/>
    </w:pPr>
    <w:rPr>
      <w:rFonts w:ascii="黑体" w:hAnsi="宋体" w:eastAsia="黑体"/>
      <w:b/>
      <w:bCs/>
    </w:rPr>
  </w:style>
  <w:style w:type="paragraph" w:customStyle="1" w:styleId="2209">
    <w:name w:val="表格内字体3"/>
    <w:basedOn w:val="403"/>
    <w:next w:val="403"/>
    <w:autoRedefine/>
    <w:qFormat/>
    <w:uiPriority w:val="0"/>
    <w:pPr>
      <w:spacing w:line="240" w:lineRule="auto"/>
      <w:ind w:firstLine="0"/>
      <w:jc w:val="center"/>
    </w:pPr>
    <w:rPr>
      <w:rFonts w:hAnsi="宋体" w:cs="Times New Roman"/>
      <w:sz w:val="21"/>
    </w:rPr>
  </w:style>
  <w:style w:type="character" w:customStyle="1" w:styleId="2210">
    <w:name w:val="表格内字体 Char3"/>
    <w:autoRedefine/>
    <w:qFormat/>
    <w:uiPriority w:val="0"/>
    <w:rPr>
      <w:rFonts w:ascii="宋体" w:hAnsi="宋体" w:eastAsia="宋体"/>
      <w:kern w:val="2"/>
      <w:sz w:val="21"/>
      <w:szCs w:val="24"/>
      <w:lang w:val="en-US" w:eastAsia="zh-CN" w:bidi="ar-SA"/>
    </w:rPr>
  </w:style>
  <w:style w:type="character" w:customStyle="1" w:styleId="2211">
    <w:name w:val="正文缩进 Char4"/>
    <w:autoRedefine/>
    <w:qFormat/>
    <w:uiPriority w:val="0"/>
    <w:rPr>
      <w:rFonts w:ascii="宋体" w:hAnsi="宋体" w:eastAsia="宋体" w:cs="宋体"/>
      <w:color w:val="000000"/>
      <w:kern w:val="2"/>
      <w:sz w:val="24"/>
      <w:szCs w:val="24"/>
      <w:lang w:val="en-US" w:eastAsia="zh-CN" w:bidi="ar-SA"/>
    </w:rPr>
  </w:style>
  <w:style w:type="paragraph" w:customStyle="1" w:styleId="2212">
    <w:name w:val="表内5412"/>
    <w:basedOn w:val="1"/>
    <w:autoRedefine/>
    <w:qFormat/>
    <w:uiPriority w:val="0"/>
    <w:pPr>
      <w:adjustRightInd w:val="0"/>
      <w:snapToGrid w:val="0"/>
      <w:spacing w:line="300" w:lineRule="auto"/>
      <w:jc w:val="center"/>
    </w:pPr>
    <w:rPr>
      <w:rFonts w:ascii="宋体" w:hAnsi="宋体" w:cs="宋体"/>
      <w:szCs w:val="20"/>
    </w:rPr>
  </w:style>
  <w:style w:type="paragraph" w:customStyle="1" w:styleId="2213">
    <w:name w:val="表内文字小212"/>
    <w:basedOn w:val="1"/>
    <w:autoRedefine/>
    <w:qFormat/>
    <w:uiPriority w:val="0"/>
    <w:pPr>
      <w:adjustRightInd w:val="0"/>
      <w:snapToGrid w:val="0"/>
      <w:jc w:val="center"/>
    </w:pPr>
    <w:rPr>
      <w:rFonts w:ascii="宋体" w:hAnsi="Times"/>
      <w:bCs/>
      <w:color w:val="000000"/>
      <w:szCs w:val="20"/>
    </w:rPr>
  </w:style>
  <w:style w:type="paragraph" w:customStyle="1" w:styleId="2214">
    <w:name w:val="表题312"/>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215">
    <w:name w:val="标题4312"/>
    <w:basedOn w:val="1"/>
    <w:autoRedefine/>
    <w:qFormat/>
    <w:uiPriority w:val="0"/>
    <w:pPr>
      <w:adjustRightInd w:val="0"/>
      <w:snapToGrid w:val="0"/>
      <w:spacing w:line="480" w:lineRule="exact"/>
      <w:jc w:val="center"/>
    </w:pPr>
    <w:rPr>
      <w:rFonts w:ascii="宋体" w:hAnsi="宋体" w:cs="宋体"/>
      <w:sz w:val="24"/>
    </w:rPr>
  </w:style>
  <w:style w:type="paragraph" w:customStyle="1" w:styleId="2216">
    <w:name w:val="燕山正文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217">
    <w:name w:val="默认段落字体 Para Char Char Char Char2"/>
    <w:basedOn w:val="1"/>
    <w:autoRedefine/>
    <w:qFormat/>
    <w:uiPriority w:val="0"/>
  </w:style>
  <w:style w:type="paragraph" w:customStyle="1" w:styleId="2218">
    <w:name w:val="附件2"/>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2219">
    <w:name w:val="黑体三号2"/>
    <w:basedOn w:val="403"/>
    <w:autoRedefine/>
    <w:qFormat/>
    <w:uiPriority w:val="0"/>
    <w:pPr>
      <w:jc w:val="center"/>
    </w:pPr>
    <w:rPr>
      <w:rFonts w:ascii="黑体" w:hAnsi="宋体" w:eastAsia="黑体"/>
      <w:b/>
      <w:bCs/>
      <w:sz w:val="32"/>
      <w:szCs w:val="20"/>
    </w:rPr>
  </w:style>
  <w:style w:type="paragraph" w:customStyle="1" w:styleId="2220">
    <w:name w:val="表2"/>
    <w:basedOn w:val="1"/>
    <w:autoRedefine/>
    <w:qFormat/>
    <w:uiPriority w:val="0"/>
    <w:pPr>
      <w:adjustRightInd w:val="0"/>
      <w:snapToGrid w:val="0"/>
      <w:jc w:val="center"/>
    </w:pPr>
    <w:rPr>
      <w:rFonts w:eastAsia="仿宋_GB2312"/>
      <w:sz w:val="24"/>
    </w:rPr>
  </w:style>
  <w:style w:type="paragraph" w:customStyle="1" w:styleId="2221">
    <w:name w:val="表题12"/>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character" w:customStyle="1" w:styleId="2222">
    <w:name w:val="表题1 Char2"/>
    <w:autoRedefine/>
    <w:qFormat/>
    <w:uiPriority w:val="0"/>
    <w:rPr>
      <w:rFonts w:hAnsi="Arial" w:eastAsia="宋体" w:cs="Arial"/>
      <w:kern w:val="2"/>
      <w:sz w:val="24"/>
      <w:szCs w:val="24"/>
      <w:lang w:val="en-US" w:eastAsia="zh-CN" w:bidi="ar-SA"/>
    </w:rPr>
  </w:style>
  <w:style w:type="paragraph" w:customStyle="1" w:styleId="2223">
    <w:name w:val="燕山正文2"/>
    <w:basedOn w:val="1"/>
    <w:autoRedefine/>
    <w:qFormat/>
    <w:uiPriority w:val="0"/>
    <w:pPr>
      <w:tabs>
        <w:tab w:val="left" w:pos="4680"/>
      </w:tabs>
      <w:adjustRightInd w:val="0"/>
      <w:snapToGrid w:val="0"/>
      <w:spacing w:line="480" w:lineRule="exact"/>
    </w:pPr>
    <w:rPr>
      <w:rFonts w:ascii="宋体" w:cs="宋体"/>
      <w:sz w:val="24"/>
    </w:rPr>
  </w:style>
  <w:style w:type="character" w:customStyle="1" w:styleId="2224">
    <w:name w:val="燕山正文 Char12"/>
    <w:autoRedefine/>
    <w:qFormat/>
    <w:uiPriority w:val="0"/>
    <w:rPr>
      <w:rFonts w:ascii="宋体" w:eastAsia="宋体" w:cs="宋体"/>
      <w:kern w:val="2"/>
      <w:sz w:val="24"/>
      <w:szCs w:val="24"/>
      <w:lang w:val="en-US" w:eastAsia="zh-CN" w:bidi="ar-SA"/>
    </w:rPr>
  </w:style>
  <w:style w:type="paragraph" w:customStyle="1" w:styleId="2225">
    <w:name w:val="正文修改2"/>
    <w:basedOn w:val="2088"/>
    <w:autoRedefine/>
    <w:qFormat/>
    <w:uiPriority w:val="0"/>
    <w:rPr>
      <w:rFonts w:hAnsi="宋体"/>
      <w:color w:val="000000"/>
    </w:rPr>
  </w:style>
  <w:style w:type="character" w:customStyle="1" w:styleId="2226">
    <w:name w:val="正文修改 Char12"/>
    <w:autoRedefine/>
    <w:qFormat/>
    <w:uiPriority w:val="0"/>
    <w:rPr>
      <w:rFonts w:ascii="宋体" w:hAnsi="宋体" w:eastAsia="宋体" w:cs="宋体"/>
      <w:color w:val="000000"/>
      <w:sz w:val="24"/>
      <w:szCs w:val="24"/>
    </w:rPr>
  </w:style>
  <w:style w:type="character" w:customStyle="1" w:styleId="2227">
    <w:name w:val="标题正文黑 Char1"/>
    <w:autoRedefine/>
    <w:qFormat/>
    <w:uiPriority w:val="0"/>
    <w:rPr>
      <w:rFonts w:ascii="黑体" w:eastAsia="黑体"/>
      <w:kern w:val="2"/>
      <w:sz w:val="28"/>
      <w:szCs w:val="28"/>
      <w:lang w:val="en-US" w:eastAsia="zh-CN" w:bidi="ar-SA"/>
    </w:rPr>
  </w:style>
  <w:style w:type="paragraph" w:customStyle="1" w:styleId="2228">
    <w:name w:val="表中文字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character" w:customStyle="1" w:styleId="2229">
    <w:name w:val="表中文字 Char22"/>
    <w:autoRedefine/>
    <w:qFormat/>
    <w:uiPriority w:val="0"/>
    <w:rPr>
      <w:rFonts w:ascii="宋体" w:eastAsia="宋体"/>
      <w:kern w:val="2"/>
      <w:sz w:val="21"/>
      <w:szCs w:val="21"/>
      <w:lang w:val="en-US" w:eastAsia="zh-CN" w:bidi="ar-SA"/>
    </w:rPr>
  </w:style>
  <w:style w:type="paragraph" w:customStyle="1" w:styleId="2230">
    <w:name w:val="表文字52"/>
    <w:basedOn w:val="1"/>
    <w:autoRedefine/>
    <w:qFormat/>
    <w:uiPriority w:val="0"/>
    <w:pPr>
      <w:adjustRightInd w:val="0"/>
      <w:jc w:val="left"/>
      <w:textAlignment w:val="baseline"/>
    </w:pPr>
    <w:rPr>
      <w:rFonts w:ascii="宋体"/>
      <w:kern w:val="0"/>
      <w:szCs w:val="20"/>
    </w:rPr>
  </w:style>
  <w:style w:type="paragraph" w:customStyle="1" w:styleId="2231">
    <w:name w:val="表内文字小312"/>
    <w:basedOn w:val="1"/>
    <w:autoRedefine/>
    <w:qFormat/>
    <w:uiPriority w:val="0"/>
    <w:pPr>
      <w:adjustRightInd w:val="0"/>
      <w:snapToGrid w:val="0"/>
      <w:jc w:val="center"/>
    </w:pPr>
    <w:rPr>
      <w:rFonts w:ascii="宋体" w:hAnsi="Times" w:cs="宋体"/>
      <w:bCs/>
      <w:color w:val="003366"/>
      <w:szCs w:val="20"/>
    </w:rPr>
  </w:style>
  <w:style w:type="paragraph" w:customStyle="1" w:styleId="2232">
    <w:name w:val="正文格式＝3"/>
    <w:basedOn w:val="403"/>
    <w:next w:val="403"/>
    <w:autoRedefine/>
    <w:qFormat/>
    <w:uiPriority w:val="0"/>
    <w:rPr>
      <w:rFonts w:hAnsi="宋体" w:cs="Times New Roman"/>
    </w:rPr>
  </w:style>
  <w:style w:type="character" w:customStyle="1" w:styleId="2233">
    <w:name w:val="样式 表内小5 + 黑体 加粗 倾斜 下划线 Char51"/>
    <w:autoRedefine/>
    <w:qFormat/>
    <w:uiPriority w:val="0"/>
    <w:rPr>
      <w:rFonts w:ascii="黑体" w:hAnsi="黑体" w:eastAsia="黑体"/>
      <w:b/>
      <w:bCs/>
      <w:i/>
      <w:iCs/>
      <w:kern w:val="2"/>
      <w:sz w:val="18"/>
      <w:szCs w:val="24"/>
      <w:u w:val="single"/>
      <w:lang w:val="en-US" w:eastAsia="zh-CN" w:bidi="ar-SA"/>
    </w:rPr>
  </w:style>
  <w:style w:type="paragraph" w:customStyle="1" w:styleId="2234">
    <w:name w:val="Char334"/>
    <w:basedOn w:val="1"/>
    <w:autoRedefine/>
    <w:qFormat/>
    <w:uiPriority w:val="0"/>
    <w:pPr>
      <w:ind w:left="-48"/>
    </w:pPr>
  </w:style>
  <w:style w:type="paragraph" w:customStyle="1" w:styleId="2235">
    <w:name w:val="表内文字小22"/>
    <w:basedOn w:val="1"/>
    <w:autoRedefine/>
    <w:qFormat/>
    <w:uiPriority w:val="0"/>
    <w:pPr>
      <w:adjustRightInd w:val="0"/>
      <w:snapToGrid w:val="0"/>
      <w:jc w:val="center"/>
    </w:pPr>
    <w:rPr>
      <w:rFonts w:ascii="宋体" w:hAnsi="Times"/>
      <w:bCs/>
      <w:color w:val="000000"/>
      <w:szCs w:val="20"/>
    </w:rPr>
  </w:style>
  <w:style w:type="paragraph" w:customStyle="1" w:styleId="2236">
    <w:name w:val="表内531"/>
    <w:basedOn w:val="1"/>
    <w:autoRedefine/>
    <w:qFormat/>
    <w:uiPriority w:val="0"/>
    <w:pPr>
      <w:adjustRightInd w:val="0"/>
      <w:snapToGrid w:val="0"/>
      <w:spacing w:line="300" w:lineRule="auto"/>
      <w:jc w:val="left"/>
    </w:pPr>
    <w:rPr>
      <w:rFonts w:ascii="宋体"/>
      <w:szCs w:val="20"/>
    </w:rPr>
  </w:style>
  <w:style w:type="paragraph" w:customStyle="1" w:styleId="2237">
    <w:name w:val="正文格式21"/>
    <w:basedOn w:val="1"/>
    <w:autoRedefine/>
    <w:qFormat/>
    <w:uiPriority w:val="0"/>
    <w:pPr>
      <w:spacing w:line="360" w:lineRule="auto"/>
      <w:ind w:firstLine="482"/>
    </w:pPr>
    <w:rPr>
      <w:rFonts w:ascii="宋体" w:hAnsi="宋体"/>
      <w:sz w:val="24"/>
    </w:rPr>
  </w:style>
  <w:style w:type="paragraph" w:customStyle="1" w:styleId="2238">
    <w:name w:val="图题21"/>
    <w:basedOn w:val="403"/>
    <w:next w:val="403"/>
    <w:autoRedefine/>
    <w:qFormat/>
    <w:uiPriority w:val="0"/>
    <w:pPr>
      <w:ind w:firstLine="0"/>
      <w:jc w:val="center"/>
    </w:pPr>
    <w:rPr>
      <w:rFonts w:ascii="黑体" w:hAnsi="宋体" w:eastAsia="黑体"/>
      <w:b/>
      <w:bCs/>
    </w:rPr>
  </w:style>
  <w:style w:type="paragraph" w:customStyle="1" w:styleId="2239">
    <w:name w:val="表格内字体21"/>
    <w:basedOn w:val="403"/>
    <w:next w:val="403"/>
    <w:autoRedefine/>
    <w:qFormat/>
    <w:uiPriority w:val="0"/>
    <w:pPr>
      <w:adjustRightInd w:val="0"/>
      <w:snapToGrid w:val="0"/>
      <w:spacing w:line="240" w:lineRule="auto"/>
      <w:ind w:firstLine="0"/>
      <w:jc w:val="center"/>
    </w:pPr>
    <w:rPr>
      <w:rFonts w:hAnsi="宋体" w:cs="Times New Roman"/>
      <w:sz w:val="21"/>
    </w:rPr>
  </w:style>
  <w:style w:type="paragraph" w:customStyle="1" w:styleId="2240">
    <w:name w:val="表题111"/>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241">
    <w:name w:val="表题1 Char11"/>
    <w:autoRedefine/>
    <w:qFormat/>
    <w:uiPriority w:val="0"/>
    <w:rPr>
      <w:rFonts w:hAnsi="Arial" w:eastAsia="宋体" w:cs="Arial"/>
      <w:kern w:val="2"/>
      <w:sz w:val="24"/>
      <w:szCs w:val="24"/>
      <w:lang w:val="en-US" w:eastAsia="zh-CN" w:bidi="ar-SA"/>
    </w:rPr>
  </w:style>
  <w:style w:type="paragraph" w:customStyle="1" w:styleId="2242">
    <w:name w:val="表中文字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243">
    <w:name w:val="表文字511"/>
    <w:basedOn w:val="1"/>
    <w:autoRedefine/>
    <w:qFormat/>
    <w:uiPriority w:val="0"/>
    <w:pPr>
      <w:adjustRightInd w:val="0"/>
      <w:jc w:val="left"/>
      <w:textAlignment w:val="baseline"/>
    </w:pPr>
    <w:rPr>
      <w:rFonts w:ascii="宋体"/>
      <w:kern w:val="0"/>
      <w:szCs w:val="20"/>
    </w:rPr>
  </w:style>
  <w:style w:type="paragraph" w:customStyle="1" w:styleId="2244">
    <w:name w:val="正文格式4"/>
    <w:basedOn w:val="1"/>
    <w:autoRedefine/>
    <w:qFormat/>
    <w:uiPriority w:val="0"/>
    <w:pPr>
      <w:spacing w:line="360" w:lineRule="auto"/>
      <w:ind w:firstLine="482"/>
    </w:pPr>
    <w:rPr>
      <w:rFonts w:ascii="宋体" w:hAnsi="宋体"/>
      <w:sz w:val="24"/>
    </w:rPr>
  </w:style>
  <w:style w:type="paragraph" w:customStyle="1" w:styleId="2245">
    <w:name w:val="图题4"/>
    <w:basedOn w:val="403"/>
    <w:next w:val="403"/>
    <w:autoRedefine/>
    <w:qFormat/>
    <w:uiPriority w:val="0"/>
    <w:pPr>
      <w:ind w:firstLine="0"/>
      <w:jc w:val="center"/>
    </w:pPr>
    <w:rPr>
      <w:rFonts w:ascii="黑体" w:hAnsi="宋体" w:eastAsia="黑体"/>
      <w:b/>
      <w:bCs/>
    </w:rPr>
  </w:style>
  <w:style w:type="paragraph" w:customStyle="1" w:styleId="2246">
    <w:name w:val="表格内字体4"/>
    <w:basedOn w:val="403"/>
    <w:next w:val="403"/>
    <w:autoRedefine/>
    <w:qFormat/>
    <w:uiPriority w:val="0"/>
    <w:pPr>
      <w:spacing w:line="240" w:lineRule="auto"/>
      <w:ind w:firstLine="0"/>
      <w:jc w:val="center"/>
    </w:pPr>
    <w:rPr>
      <w:rFonts w:hAnsi="宋体" w:cs="Times New Roman"/>
      <w:sz w:val="21"/>
    </w:rPr>
  </w:style>
  <w:style w:type="character" w:customStyle="1" w:styleId="2247">
    <w:name w:val="表格内字体 Char4"/>
    <w:autoRedefine/>
    <w:qFormat/>
    <w:uiPriority w:val="0"/>
    <w:rPr>
      <w:rFonts w:ascii="宋体" w:hAnsi="宋体" w:eastAsia="宋体"/>
      <w:kern w:val="2"/>
      <w:sz w:val="21"/>
      <w:szCs w:val="24"/>
      <w:lang w:val="en-US" w:eastAsia="zh-CN" w:bidi="ar-SA"/>
    </w:rPr>
  </w:style>
  <w:style w:type="character" w:customStyle="1" w:styleId="2248">
    <w:name w:val="正文格式 Char4"/>
    <w:autoRedefine/>
    <w:qFormat/>
    <w:uiPriority w:val="0"/>
    <w:rPr>
      <w:rFonts w:ascii="宋体" w:hAnsi="宋体" w:eastAsia="宋体"/>
      <w:kern w:val="2"/>
      <w:sz w:val="24"/>
      <w:szCs w:val="24"/>
      <w:lang w:val="en-US" w:eastAsia="zh-CN" w:bidi="ar-SA"/>
    </w:rPr>
  </w:style>
  <w:style w:type="character" w:customStyle="1" w:styleId="2249">
    <w:name w:val="标题 3 Char2"/>
    <w:autoRedefine/>
    <w:qFormat/>
    <w:uiPriority w:val="0"/>
    <w:rPr>
      <w:rFonts w:ascii="黑体" w:hAnsi="宋体" w:eastAsia="黑体"/>
      <w:b/>
      <w:bCs/>
      <w:kern w:val="2"/>
      <w:sz w:val="28"/>
      <w:szCs w:val="28"/>
      <w:lang w:val="en-US" w:eastAsia="zh-CN" w:bidi="ar-SA"/>
    </w:rPr>
  </w:style>
  <w:style w:type="paragraph" w:customStyle="1" w:styleId="2250">
    <w:name w:val="正文格式＝4"/>
    <w:basedOn w:val="403"/>
    <w:next w:val="403"/>
    <w:autoRedefine/>
    <w:qFormat/>
    <w:uiPriority w:val="0"/>
    <w:rPr>
      <w:rFonts w:hAnsi="宋体" w:cs="Times New Roman"/>
    </w:rPr>
  </w:style>
  <w:style w:type="paragraph" w:customStyle="1" w:styleId="2251">
    <w:name w:val="表题13"/>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252">
    <w:name w:val="表题1 Char3"/>
    <w:autoRedefine/>
    <w:qFormat/>
    <w:uiPriority w:val="0"/>
    <w:rPr>
      <w:rFonts w:ascii="黑体" w:hAnsi="Arial" w:eastAsia="黑体" w:cs="Arial"/>
      <w:b/>
      <w:kern w:val="2"/>
      <w:sz w:val="24"/>
      <w:szCs w:val="24"/>
      <w:lang w:val="en-US" w:eastAsia="zh-CN" w:bidi="ar-SA"/>
    </w:rPr>
  </w:style>
  <w:style w:type="paragraph" w:customStyle="1" w:styleId="2253">
    <w:name w:val="默认段落字体 Para Char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254">
    <w:name w:val="Char Char Char Char Char Char Char12"/>
    <w:basedOn w:val="1"/>
    <w:autoRedefine/>
    <w:qFormat/>
    <w:uiPriority w:val="0"/>
    <w:rPr>
      <w:szCs w:val="20"/>
    </w:rPr>
  </w:style>
  <w:style w:type="paragraph" w:customStyle="1" w:styleId="2255">
    <w:name w:val="燕山正文11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2256">
    <w:name w:val="批注框文本 Char2"/>
    <w:autoRedefine/>
    <w:qFormat/>
    <w:uiPriority w:val="0"/>
    <w:rPr>
      <w:rFonts w:eastAsia="宋体"/>
      <w:kern w:val="2"/>
      <w:sz w:val="18"/>
      <w:szCs w:val="18"/>
      <w:lang w:val="en-US" w:eastAsia="zh-CN" w:bidi="ar-SA"/>
    </w:rPr>
  </w:style>
  <w:style w:type="paragraph" w:customStyle="1" w:styleId="2257">
    <w:name w:val="正文格式5"/>
    <w:basedOn w:val="1"/>
    <w:autoRedefine/>
    <w:qFormat/>
    <w:uiPriority w:val="0"/>
    <w:pPr>
      <w:spacing w:line="360" w:lineRule="auto"/>
      <w:ind w:firstLine="482"/>
    </w:pPr>
    <w:rPr>
      <w:rFonts w:ascii="宋体" w:hAnsi="宋体"/>
      <w:sz w:val="24"/>
    </w:rPr>
  </w:style>
  <w:style w:type="character" w:customStyle="1" w:styleId="2258">
    <w:name w:val="正文格式 Char5"/>
    <w:autoRedefine/>
    <w:qFormat/>
    <w:uiPriority w:val="0"/>
    <w:rPr>
      <w:rFonts w:ascii="宋体" w:hAnsi="宋体" w:eastAsia="宋体"/>
      <w:kern w:val="2"/>
      <w:sz w:val="24"/>
      <w:szCs w:val="24"/>
      <w:lang w:val="en-US" w:eastAsia="zh-CN" w:bidi="ar-SA"/>
    </w:rPr>
  </w:style>
  <w:style w:type="character" w:customStyle="1" w:styleId="2259">
    <w:name w:val="标题 2 Char3"/>
    <w:autoRedefine/>
    <w:qFormat/>
    <w:uiPriority w:val="0"/>
    <w:rPr>
      <w:rFonts w:ascii="黑体" w:hAnsi="Arial" w:eastAsia="黑体"/>
      <w:bCs/>
      <w:kern w:val="2"/>
      <w:sz w:val="30"/>
      <w:szCs w:val="30"/>
      <w:lang w:val="en-US" w:eastAsia="zh-CN" w:bidi="ar-SA"/>
    </w:rPr>
  </w:style>
  <w:style w:type="character" w:customStyle="1" w:styleId="2260">
    <w:name w:val="标题 3 Char3"/>
    <w:autoRedefine/>
    <w:qFormat/>
    <w:uiPriority w:val="0"/>
    <w:rPr>
      <w:rFonts w:ascii="黑体" w:hAnsi="宋体" w:eastAsia="黑体"/>
      <w:b/>
      <w:bCs/>
      <w:kern w:val="2"/>
      <w:sz w:val="28"/>
      <w:szCs w:val="28"/>
      <w:lang w:val="en-US" w:eastAsia="zh-CN" w:bidi="ar-SA"/>
    </w:rPr>
  </w:style>
  <w:style w:type="character" w:customStyle="1" w:styleId="2261">
    <w:name w:val="题注 Char3"/>
    <w:autoRedefine/>
    <w:qFormat/>
    <w:uiPriority w:val="0"/>
    <w:rPr>
      <w:rFonts w:ascii="黑体" w:hAnsi="Arial" w:eastAsia="黑体" w:cs="Arial"/>
      <w:b/>
      <w:kern w:val="2"/>
      <w:sz w:val="24"/>
      <w:szCs w:val="24"/>
      <w:lang w:val="en-US" w:eastAsia="zh-CN" w:bidi="ar-SA"/>
    </w:rPr>
  </w:style>
  <w:style w:type="paragraph" w:customStyle="1" w:styleId="2262">
    <w:name w:val="图题5"/>
    <w:basedOn w:val="403"/>
    <w:next w:val="403"/>
    <w:autoRedefine/>
    <w:qFormat/>
    <w:uiPriority w:val="0"/>
    <w:pPr>
      <w:ind w:firstLine="0"/>
      <w:jc w:val="center"/>
    </w:pPr>
    <w:rPr>
      <w:rFonts w:ascii="黑体" w:hAnsi="宋体" w:eastAsia="黑体"/>
      <w:b/>
      <w:bCs/>
    </w:rPr>
  </w:style>
  <w:style w:type="paragraph" w:customStyle="1" w:styleId="2263">
    <w:name w:val="表格内字体5"/>
    <w:basedOn w:val="403"/>
    <w:next w:val="403"/>
    <w:autoRedefine/>
    <w:qFormat/>
    <w:uiPriority w:val="0"/>
    <w:pPr>
      <w:adjustRightInd w:val="0"/>
      <w:snapToGrid w:val="0"/>
      <w:spacing w:line="240" w:lineRule="auto"/>
      <w:ind w:firstLine="0"/>
    </w:pPr>
    <w:rPr>
      <w:rFonts w:hAnsi="宋体" w:cs="Times New Roman"/>
      <w:sz w:val="21"/>
    </w:rPr>
  </w:style>
  <w:style w:type="character" w:customStyle="1" w:styleId="2264">
    <w:name w:val="表格内字体 Char5"/>
    <w:autoRedefine/>
    <w:qFormat/>
    <w:uiPriority w:val="0"/>
    <w:rPr>
      <w:rFonts w:ascii="宋体" w:hAnsi="宋体" w:eastAsia="宋体"/>
      <w:kern w:val="2"/>
      <w:sz w:val="21"/>
      <w:szCs w:val="24"/>
      <w:lang w:val="en-US" w:eastAsia="zh-CN" w:bidi="ar-SA"/>
    </w:rPr>
  </w:style>
  <w:style w:type="character" w:customStyle="1" w:styleId="2265">
    <w:name w:val="正文缩进 Char11"/>
    <w:autoRedefine/>
    <w:qFormat/>
    <w:uiPriority w:val="0"/>
    <w:rPr>
      <w:rFonts w:ascii="宋体" w:hAnsi="宋体" w:eastAsia="宋体" w:cs="宋体"/>
      <w:color w:val="000000"/>
      <w:kern w:val="2"/>
      <w:sz w:val="24"/>
      <w:szCs w:val="24"/>
      <w:lang w:val="en-US" w:eastAsia="zh-CN" w:bidi="ar-SA"/>
    </w:rPr>
  </w:style>
  <w:style w:type="paragraph" w:customStyle="1" w:styleId="2266">
    <w:name w:val="表3"/>
    <w:basedOn w:val="1"/>
    <w:autoRedefine/>
    <w:qFormat/>
    <w:uiPriority w:val="0"/>
    <w:pPr>
      <w:adjustRightInd w:val="0"/>
      <w:snapToGrid w:val="0"/>
      <w:jc w:val="center"/>
    </w:pPr>
    <w:rPr>
      <w:rFonts w:eastAsia="仿宋_GB2312"/>
      <w:sz w:val="24"/>
    </w:rPr>
  </w:style>
  <w:style w:type="paragraph" w:customStyle="1" w:styleId="2267">
    <w:name w:val="正文.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268">
    <w:name w:val="表内宋5111"/>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2269">
    <w:name w:val="表内文字小313"/>
    <w:basedOn w:val="1"/>
    <w:autoRedefine/>
    <w:qFormat/>
    <w:uiPriority w:val="0"/>
    <w:pPr>
      <w:adjustRightInd w:val="0"/>
      <w:snapToGrid w:val="0"/>
      <w:jc w:val="center"/>
    </w:pPr>
    <w:rPr>
      <w:rFonts w:ascii="宋体" w:hAnsi="Times" w:cs="宋体"/>
      <w:bCs/>
      <w:color w:val="003366"/>
      <w:szCs w:val="20"/>
    </w:rPr>
  </w:style>
  <w:style w:type="paragraph" w:customStyle="1" w:styleId="2270">
    <w:name w:val="表文字53"/>
    <w:basedOn w:val="1"/>
    <w:autoRedefine/>
    <w:qFormat/>
    <w:uiPriority w:val="0"/>
    <w:pPr>
      <w:adjustRightInd w:val="0"/>
      <w:jc w:val="left"/>
      <w:textAlignment w:val="baseline"/>
    </w:pPr>
    <w:rPr>
      <w:rFonts w:ascii="宋体"/>
      <w:kern w:val="0"/>
      <w:szCs w:val="20"/>
    </w:rPr>
  </w:style>
  <w:style w:type="paragraph" w:customStyle="1" w:styleId="2271">
    <w:name w:val="表题313"/>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272">
    <w:name w:val="表内文字小213"/>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2273">
    <w:name w:val="燕山正文3"/>
    <w:basedOn w:val="1"/>
    <w:autoRedefine/>
    <w:qFormat/>
    <w:uiPriority w:val="0"/>
    <w:pPr>
      <w:tabs>
        <w:tab w:val="left" w:pos="4680"/>
      </w:tabs>
      <w:adjustRightInd w:val="0"/>
      <w:snapToGrid w:val="0"/>
      <w:spacing w:line="480" w:lineRule="exact"/>
    </w:pPr>
    <w:rPr>
      <w:rFonts w:ascii="宋体" w:cs="宋体"/>
      <w:sz w:val="24"/>
    </w:rPr>
  </w:style>
  <w:style w:type="character" w:customStyle="1" w:styleId="2274">
    <w:name w:val="燕山正文 Char13"/>
    <w:autoRedefine/>
    <w:qFormat/>
    <w:uiPriority w:val="0"/>
    <w:rPr>
      <w:rFonts w:ascii="宋体" w:eastAsia="宋体" w:cs="宋体"/>
      <w:kern w:val="2"/>
      <w:sz w:val="24"/>
      <w:szCs w:val="24"/>
      <w:lang w:val="en-US" w:eastAsia="zh-CN" w:bidi="ar-SA"/>
    </w:rPr>
  </w:style>
  <w:style w:type="paragraph" w:customStyle="1" w:styleId="2275">
    <w:name w:val="正文修改3"/>
    <w:basedOn w:val="2088"/>
    <w:autoRedefine/>
    <w:qFormat/>
    <w:uiPriority w:val="0"/>
    <w:rPr>
      <w:rFonts w:hAnsi="宋体"/>
      <w:color w:val="000000"/>
    </w:rPr>
  </w:style>
  <w:style w:type="character" w:customStyle="1" w:styleId="2276">
    <w:name w:val="正文修改 Char13"/>
    <w:autoRedefine/>
    <w:qFormat/>
    <w:uiPriority w:val="0"/>
    <w:rPr>
      <w:rFonts w:ascii="宋体" w:hAnsi="宋体" w:eastAsia="宋体" w:cs="宋体"/>
      <w:color w:val="000000"/>
      <w:sz w:val="24"/>
      <w:szCs w:val="24"/>
    </w:rPr>
  </w:style>
  <w:style w:type="paragraph" w:customStyle="1" w:styleId="2277">
    <w:name w:val="表题14"/>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278">
    <w:name w:val="表题1 Char4"/>
    <w:autoRedefine/>
    <w:qFormat/>
    <w:uiPriority w:val="0"/>
    <w:rPr>
      <w:rFonts w:ascii="黑体" w:hAnsi="Arial" w:eastAsia="黑体" w:cs="Arial"/>
      <w:b/>
      <w:kern w:val="2"/>
      <w:sz w:val="24"/>
      <w:szCs w:val="24"/>
      <w:lang w:val="en-US" w:eastAsia="zh-CN" w:bidi="ar-SA"/>
    </w:rPr>
  </w:style>
  <w:style w:type="paragraph" w:customStyle="1" w:styleId="2279">
    <w:name w:val="表中文字3"/>
    <w:basedOn w:val="1"/>
    <w:autoRedefine/>
    <w:qFormat/>
    <w:uiPriority w:val="0"/>
    <w:pPr>
      <w:widowControl/>
      <w:spacing w:line="240" w:lineRule="atLeast"/>
      <w:ind w:left="-24" w:leftChars="-10" w:right="-48" w:rightChars="-20"/>
      <w:jc w:val="center"/>
    </w:pPr>
    <w:rPr>
      <w:rFonts w:ascii="宋体"/>
      <w:kern w:val="0"/>
      <w:szCs w:val="21"/>
    </w:rPr>
  </w:style>
  <w:style w:type="character" w:customStyle="1" w:styleId="2280">
    <w:name w:val="表中文字 Char23"/>
    <w:autoRedefine/>
    <w:qFormat/>
    <w:uiPriority w:val="0"/>
    <w:rPr>
      <w:rFonts w:ascii="宋体" w:eastAsia="宋体"/>
      <w:kern w:val="2"/>
      <w:sz w:val="21"/>
      <w:szCs w:val="21"/>
      <w:lang w:val="en-US" w:eastAsia="zh-CN" w:bidi="ar-SA"/>
    </w:rPr>
  </w:style>
  <w:style w:type="paragraph" w:customStyle="1" w:styleId="2281">
    <w:name w:val="黑体三号3"/>
    <w:basedOn w:val="403"/>
    <w:autoRedefine/>
    <w:qFormat/>
    <w:uiPriority w:val="0"/>
    <w:pPr>
      <w:jc w:val="center"/>
    </w:pPr>
    <w:rPr>
      <w:rFonts w:ascii="黑体" w:hAnsi="宋体" w:eastAsia="黑体"/>
      <w:b/>
      <w:bCs/>
      <w:sz w:val="32"/>
      <w:szCs w:val="20"/>
    </w:rPr>
  </w:style>
  <w:style w:type="paragraph" w:customStyle="1" w:styleId="2282">
    <w:name w:val="默认段落字体 Para Char Char Char Char3"/>
    <w:basedOn w:val="1"/>
    <w:autoRedefine/>
    <w:qFormat/>
    <w:uiPriority w:val="0"/>
  </w:style>
  <w:style w:type="paragraph" w:customStyle="1" w:styleId="2283">
    <w:name w:val="表内5413"/>
    <w:basedOn w:val="1"/>
    <w:autoRedefine/>
    <w:qFormat/>
    <w:uiPriority w:val="0"/>
    <w:pPr>
      <w:adjustRightInd w:val="0"/>
      <w:snapToGrid w:val="0"/>
      <w:spacing w:line="300" w:lineRule="auto"/>
      <w:jc w:val="center"/>
    </w:pPr>
    <w:rPr>
      <w:rFonts w:ascii="宋体" w:hAnsi="宋体" w:cs="宋体"/>
      <w:szCs w:val="20"/>
    </w:rPr>
  </w:style>
  <w:style w:type="paragraph" w:customStyle="1" w:styleId="2284">
    <w:name w:val="表题2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285">
    <w:name w:val="表内宋5中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286">
    <w:name w:val="表内宋5中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287">
    <w:name w:val="表内文字小11"/>
    <w:basedOn w:val="1"/>
    <w:autoRedefine/>
    <w:qFormat/>
    <w:uiPriority w:val="0"/>
    <w:pPr>
      <w:adjustRightInd w:val="0"/>
      <w:snapToGrid w:val="0"/>
    </w:pPr>
    <w:rPr>
      <w:rFonts w:ascii="宋体" w:hAnsi="Times" w:cs="宋体"/>
      <w:szCs w:val="20"/>
    </w:rPr>
  </w:style>
  <w:style w:type="paragraph" w:customStyle="1" w:styleId="2288">
    <w:name w:val="标题4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289">
    <w:name w:val="表题14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290">
    <w:name w:val="表内文字小8"/>
    <w:basedOn w:val="1"/>
    <w:autoRedefine/>
    <w:qFormat/>
    <w:uiPriority w:val="0"/>
    <w:pPr>
      <w:adjustRightInd w:val="0"/>
      <w:snapToGrid w:val="0"/>
      <w:jc w:val="center"/>
    </w:pPr>
    <w:rPr>
      <w:rFonts w:ascii="宋体" w:hAnsi="Times" w:cs="宋体"/>
      <w:szCs w:val="20"/>
    </w:rPr>
  </w:style>
  <w:style w:type="paragraph" w:customStyle="1" w:styleId="2291">
    <w:name w:val="默认段落字体 Para Char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292">
    <w:name w:val="表内5中"/>
    <w:basedOn w:val="1"/>
    <w:autoRedefine/>
    <w:qFormat/>
    <w:uiPriority w:val="0"/>
    <w:pPr>
      <w:adjustRightInd w:val="0"/>
      <w:snapToGrid w:val="0"/>
      <w:jc w:val="center"/>
    </w:pPr>
    <w:rPr>
      <w:rFonts w:ascii="宋体" w:hAnsi="宋体" w:cs="Arial"/>
      <w:snapToGrid w:val="0"/>
      <w:color w:val="000000"/>
      <w:szCs w:val="21"/>
    </w:rPr>
  </w:style>
  <w:style w:type="character" w:customStyle="1" w:styleId="2293">
    <w:name w:val="标题 2 Char4"/>
    <w:autoRedefine/>
    <w:qFormat/>
    <w:uiPriority w:val="0"/>
    <w:rPr>
      <w:rFonts w:ascii="黑体" w:hAnsi="Arial" w:eastAsia="黑体" w:cs="Times New Roman"/>
      <w:bCs/>
      <w:kern w:val="2"/>
      <w:sz w:val="30"/>
      <w:szCs w:val="30"/>
      <w:lang w:val="en-US" w:eastAsia="zh-CN" w:bidi="ar-SA"/>
    </w:rPr>
  </w:style>
  <w:style w:type="character" w:customStyle="1" w:styleId="2294">
    <w:name w:val="标题 3 Char9"/>
    <w:autoRedefine/>
    <w:qFormat/>
    <w:uiPriority w:val="0"/>
    <w:rPr>
      <w:rFonts w:ascii="黑体" w:hAnsi="宋体" w:eastAsia="黑体" w:cs="Times New Roman"/>
      <w:b/>
      <w:bCs/>
      <w:kern w:val="2"/>
      <w:sz w:val="28"/>
      <w:szCs w:val="28"/>
      <w:lang w:val="en-US" w:eastAsia="zh-CN" w:bidi="ar-SA"/>
    </w:rPr>
  </w:style>
  <w:style w:type="character" w:customStyle="1" w:styleId="2295">
    <w:name w:val="正文格式 Char6"/>
    <w:autoRedefine/>
    <w:qFormat/>
    <w:uiPriority w:val="0"/>
    <w:rPr>
      <w:rFonts w:ascii="宋体" w:hAnsi="宋体" w:eastAsia="宋体" w:cs="Times New Roman"/>
      <w:kern w:val="2"/>
      <w:sz w:val="24"/>
      <w:szCs w:val="24"/>
      <w:lang w:val="en-US" w:eastAsia="zh-CN" w:bidi="ar-SA"/>
    </w:rPr>
  </w:style>
  <w:style w:type="paragraph" w:customStyle="1" w:styleId="2296">
    <w:name w:val="正文格式＝5"/>
    <w:basedOn w:val="403"/>
    <w:next w:val="403"/>
    <w:autoRedefine/>
    <w:qFormat/>
    <w:uiPriority w:val="0"/>
    <w:rPr>
      <w:rFonts w:hAnsi="宋体" w:cs="Times New Roman"/>
    </w:rPr>
  </w:style>
  <w:style w:type="paragraph" w:customStyle="1" w:styleId="2297">
    <w:name w:val="附件3"/>
    <w:basedOn w:val="5"/>
    <w:next w:val="403"/>
    <w:autoRedefine/>
    <w:qFormat/>
    <w:uiPriority w:val="0"/>
    <w:pPr>
      <w:keepLines/>
      <w:overflowPunct/>
      <w:adjustRightInd w:val="0"/>
      <w:spacing w:before="0" w:after="0" w:line="360" w:lineRule="auto"/>
      <w:ind w:left="0" w:firstLine="0"/>
      <w:jc w:val="left"/>
    </w:pPr>
    <w:rPr>
      <w:rFonts w:ascii="黑体" w:hAnsi="宋体"/>
      <w:b w:val="0"/>
      <w:color w:val="auto"/>
      <w:sz w:val="32"/>
      <w:szCs w:val="32"/>
    </w:rPr>
  </w:style>
  <w:style w:type="paragraph" w:customStyle="1" w:styleId="2298">
    <w:name w:val="表格内字体6"/>
    <w:basedOn w:val="403"/>
    <w:next w:val="403"/>
    <w:autoRedefine/>
    <w:qFormat/>
    <w:uiPriority w:val="0"/>
    <w:pPr>
      <w:spacing w:line="240" w:lineRule="auto"/>
      <w:ind w:firstLine="0"/>
      <w:jc w:val="center"/>
    </w:pPr>
    <w:rPr>
      <w:rFonts w:hAnsi="宋体" w:cs="Times New Roman"/>
      <w:sz w:val="21"/>
    </w:rPr>
  </w:style>
  <w:style w:type="character" w:customStyle="1" w:styleId="2299">
    <w:name w:val="表格内字体 Char6"/>
    <w:autoRedefine/>
    <w:qFormat/>
    <w:uiPriority w:val="0"/>
    <w:rPr>
      <w:rFonts w:ascii="宋体" w:hAnsi="宋体" w:eastAsia="宋体" w:cs="Times New Roman"/>
      <w:kern w:val="2"/>
      <w:sz w:val="24"/>
      <w:szCs w:val="24"/>
      <w:lang w:val="en-US" w:eastAsia="zh-CN" w:bidi="ar-SA"/>
    </w:rPr>
  </w:style>
  <w:style w:type="paragraph" w:customStyle="1" w:styleId="2300">
    <w:name w:val="黑体三号4"/>
    <w:basedOn w:val="403"/>
    <w:autoRedefine/>
    <w:qFormat/>
    <w:uiPriority w:val="0"/>
    <w:pPr>
      <w:jc w:val="center"/>
    </w:pPr>
    <w:rPr>
      <w:rFonts w:ascii="黑体" w:hAnsi="宋体" w:eastAsia="黑体"/>
      <w:b/>
      <w:bCs/>
      <w:sz w:val="32"/>
      <w:szCs w:val="20"/>
    </w:rPr>
  </w:style>
  <w:style w:type="paragraph" w:customStyle="1" w:styleId="2301">
    <w:name w:val="默认段落字体 Para Char Char Char Char4"/>
    <w:basedOn w:val="1"/>
    <w:autoRedefine/>
    <w:qFormat/>
    <w:uiPriority w:val="0"/>
  </w:style>
  <w:style w:type="character" w:customStyle="1" w:styleId="2302">
    <w:name w:val="表题 Char4"/>
    <w:autoRedefine/>
    <w:qFormat/>
    <w:uiPriority w:val="0"/>
    <w:rPr>
      <w:rFonts w:ascii="黑体" w:hAnsi="Arial" w:eastAsia="黑体" w:cs="Arial"/>
      <w:b/>
      <w:kern w:val="2"/>
      <w:sz w:val="24"/>
      <w:szCs w:val="24"/>
      <w:lang w:val="en-US" w:eastAsia="zh-CN" w:bidi="ar-SA"/>
    </w:rPr>
  </w:style>
  <w:style w:type="character" w:customStyle="1" w:styleId="2303">
    <w:name w:val="正文缩进 Char5"/>
    <w:autoRedefine/>
    <w:qFormat/>
    <w:uiPriority w:val="0"/>
    <w:rPr>
      <w:rFonts w:ascii="Times New Roman" w:hAnsi="Times New Roman" w:eastAsia="宋体" w:cs="Times New Roman"/>
      <w:kern w:val="2"/>
      <w:sz w:val="24"/>
      <w:szCs w:val="24"/>
      <w:lang w:val="en-US" w:eastAsia="zh-CN" w:bidi="ar-SA"/>
    </w:rPr>
  </w:style>
  <w:style w:type="paragraph" w:customStyle="1" w:styleId="2304">
    <w:name w:val="Char Char2 Char Char Char Char1"/>
    <w:basedOn w:val="1"/>
    <w:autoRedefine/>
    <w:qFormat/>
    <w:uiPriority w:val="0"/>
  </w:style>
  <w:style w:type="paragraph" w:customStyle="1" w:styleId="2305">
    <w:name w:val="样式 样式 宋体 + 首行缩进:  2 字符1"/>
    <w:basedOn w:val="1"/>
    <w:autoRedefine/>
    <w:qFormat/>
    <w:uiPriority w:val="0"/>
    <w:pPr>
      <w:spacing w:line="360" w:lineRule="auto"/>
      <w:ind w:firstLine="480" w:firstLineChars="200"/>
      <w:jc w:val="left"/>
    </w:pPr>
    <w:rPr>
      <w:rFonts w:ascii="宋体" w:cs="宋体"/>
      <w:sz w:val="24"/>
    </w:rPr>
  </w:style>
  <w:style w:type="paragraph" w:customStyle="1" w:styleId="2306">
    <w:name w:val="表内宋5中2"/>
    <w:basedOn w:val="1"/>
    <w:autoRedefine/>
    <w:qFormat/>
    <w:uiPriority w:val="0"/>
    <w:pPr>
      <w:adjustRightInd w:val="0"/>
      <w:snapToGrid w:val="0"/>
      <w:jc w:val="center"/>
      <w:textAlignment w:val="baseline"/>
    </w:pPr>
    <w:rPr>
      <w:rFonts w:ascii="宋体" w:hAnsi="宋体"/>
      <w:kern w:val="0"/>
      <w:szCs w:val="20"/>
    </w:rPr>
  </w:style>
  <w:style w:type="paragraph" w:customStyle="1" w:styleId="2307">
    <w:name w:val="Fax Header"/>
    <w:basedOn w:val="1"/>
    <w:autoRedefine/>
    <w:qFormat/>
    <w:uiPriority w:val="0"/>
    <w:pPr>
      <w:widowControl/>
      <w:spacing w:before="240" w:after="60"/>
      <w:jc w:val="left"/>
    </w:pPr>
    <w:rPr>
      <w:kern w:val="0"/>
      <w:sz w:val="20"/>
      <w:szCs w:val="20"/>
    </w:rPr>
  </w:style>
  <w:style w:type="paragraph" w:customStyle="1" w:styleId="2308">
    <w:name w:val="样式 表格内字体1 +"/>
    <w:basedOn w:val="2173"/>
    <w:next w:val="2085"/>
    <w:autoRedefine/>
    <w:qFormat/>
    <w:uiPriority w:val="0"/>
    <w:rPr>
      <w:rFonts w:hAnsi="Times New Roman" w:cs="宋体"/>
      <w:szCs w:val="20"/>
    </w:rPr>
  </w:style>
  <w:style w:type="character" w:customStyle="1" w:styleId="2309">
    <w:name w:val="批注框文本 Char3"/>
    <w:autoRedefine/>
    <w:qFormat/>
    <w:uiPriority w:val="0"/>
    <w:rPr>
      <w:rFonts w:ascii="Times New Roman" w:hAnsi="Times New Roman" w:eastAsia="宋体" w:cs="Times New Roman"/>
      <w:kern w:val="2"/>
      <w:sz w:val="18"/>
      <w:szCs w:val="18"/>
      <w:lang w:val="en-US" w:eastAsia="zh-CN" w:bidi="ar-SA"/>
    </w:rPr>
  </w:style>
  <w:style w:type="paragraph" w:customStyle="1" w:styleId="2310">
    <w:name w:val="Char Char2 Char Char Char Char11"/>
    <w:basedOn w:val="1"/>
    <w:autoRedefine/>
    <w:qFormat/>
    <w:uiPriority w:val="0"/>
  </w:style>
  <w:style w:type="paragraph" w:customStyle="1" w:styleId="2311">
    <w:name w:val="正文格式7"/>
    <w:basedOn w:val="1"/>
    <w:autoRedefine/>
    <w:qFormat/>
    <w:uiPriority w:val="0"/>
    <w:pPr>
      <w:spacing w:line="360" w:lineRule="auto"/>
      <w:ind w:firstLine="482"/>
    </w:pPr>
    <w:rPr>
      <w:rFonts w:ascii="宋体" w:hAnsi="宋体"/>
      <w:sz w:val="24"/>
    </w:rPr>
  </w:style>
  <w:style w:type="character" w:customStyle="1" w:styleId="2312">
    <w:name w:val="正文格式 Char7"/>
    <w:autoRedefine/>
    <w:qFormat/>
    <w:uiPriority w:val="0"/>
    <w:rPr>
      <w:rFonts w:ascii="宋体" w:hAnsi="宋体" w:eastAsia="宋体"/>
      <w:kern w:val="2"/>
      <w:sz w:val="24"/>
      <w:szCs w:val="24"/>
      <w:lang w:val="en-US" w:eastAsia="zh-CN" w:bidi="ar-SA"/>
    </w:rPr>
  </w:style>
  <w:style w:type="character" w:customStyle="1" w:styleId="2313">
    <w:name w:val="标题 2 Char5"/>
    <w:autoRedefine/>
    <w:qFormat/>
    <w:uiPriority w:val="0"/>
    <w:rPr>
      <w:rFonts w:ascii="黑体" w:hAnsi="Arial" w:eastAsia="黑体"/>
      <w:bCs/>
      <w:kern w:val="2"/>
      <w:sz w:val="30"/>
      <w:szCs w:val="30"/>
      <w:lang w:val="en-US" w:eastAsia="zh-CN" w:bidi="ar-SA"/>
    </w:rPr>
  </w:style>
  <w:style w:type="character" w:customStyle="1" w:styleId="2314">
    <w:name w:val="标题 3 Char10"/>
    <w:autoRedefine/>
    <w:qFormat/>
    <w:uiPriority w:val="0"/>
    <w:rPr>
      <w:rFonts w:ascii="黑体" w:hAnsi="宋体" w:eastAsia="黑体"/>
      <w:b/>
      <w:bCs/>
      <w:kern w:val="2"/>
      <w:sz w:val="28"/>
      <w:szCs w:val="28"/>
      <w:lang w:val="en-US" w:eastAsia="zh-CN" w:bidi="ar-SA"/>
    </w:rPr>
  </w:style>
  <w:style w:type="character" w:customStyle="1" w:styleId="2315">
    <w:name w:val="题注 Char5"/>
    <w:autoRedefine/>
    <w:qFormat/>
    <w:uiPriority w:val="0"/>
    <w:rPr>
      <w:rFonts w:ascii="黑体" w:hAnsi="Arial" w:eastAsia="黑体" w:cs="Arial"/>
      <w:b/>
      <w:kern w:val="2"/>
      <w:sz w:val="24"/>
      <w:szCs w:val="24"/>
      <w:lang w:val="en-US" w:eastAsia="zh-CN" w:bidi="ar-SA"/>
    </w:rPr>
  </w:style>
  <w:style w:type="paragraph" w:customStyle="1" w:styleId="2316">
    <w:name w:val="图题7"/>
    <w:basedOn w:val="403"/>
    <w:next w:val="403"/>
    <w:autoRedefine/>
    <w:qFormat/>
    <w:uiPriority w:val="0"/>
    <w:pPr>
      <w:ind w:firstLine="0"/>
      <w:jc w:val="center"/>
    </w:pPr>
    <w:rPr>
      <w:rFonts w:ascii="黑体" w:hAnsi="宋体" w:eastAsia="黑体"/>
      <w:b/>
      <w:bCs/>
    </w:rPr>
  </w:style>
  <w:style w:type="paragraph" w:customStyle="1" w:styleId="2317">
    <w:name w:val="表格内字体7"/>
    <w:basedOn w:val="403"/>
    <w:next w:val="403"/>
    <w:autoRedefine/>
    <w:qFormat/>
    <w:uiPriority w:val="0"/>
    <w:pPr>
      <w:spacing w:line="240" w:lineRule="auto"/>
      <w:ind w:firstLine="0"/>
      <w:jc w:val="center"/>
    </w:pPr>
    <w:rPr>
      <w:rFonts w:hAnsi="宋体" w:cs="Times New Roman"/>
      <w:sz w:val="21"/>
    </w:rPr>
  </w:style>
  <w:style w:type="character" w:customStyle="1" w:styleId="2318">
    <w:name w:val="表格内字体 Char7"/>
    <w:autoRedefine/>
    <w:qFormat/>
    <w:uiPriority w:val="0"/>
    <w:rPr>
      <w:rFonts w:ascii="宋体" w:hAnsi="宋体" w:eastAsia="宋体"/>
      <w:kern w:val="2"/>
      <w:sz w:val="21"/>
      <w:szCs w:val="24"/>
      <w:lang w:val="en-US" w:eastAsia="zh-CN" w:bidi="ar-SA"/>
    </w:rPr>
  </w:style>
  <w:style w:type="paragraph" w:customStyle="1" w:styleId="2319">
    <w:name w:val="正文格式＝6"/>
    <w:basedOn w:val="403"/>
    <w:next w:val="403"/>
    <w:autoRedefine/>
    <w:semiHidden/>
    <w:qFormat/>
    <w:uiPriority w:val="0"/>
    <w:rPr>
      <w:rFonts w:hAnsi="宋体" w:cs="Times New Roman"/>
    </w:rPr>
  </w:style>
  <w:style w:type="character" w:customStyle="1" w:styleId="2320">
    <w:name w:val="正文缩进 Char12"/>
    <w:autoRedefine/>
    <w:qFormat/>
    <w:uiPriority w:val="0"/>
    <w:rPr>
      <w:rFonts w:ascii="宋体" w:hAnsi="宋体" w:eastAsia="宋体" w:cs="宋体"/>
      <w:color w:val="000000"/>
      <w:kern w:val="2"/>
      <w:sz w:val="24"/>
      <w:szCs w:val="24"/>
      <w:lang w:val="en-US" w:eastAsia="zh-CN" w:bidi="ar-SA"/>
    </w:rPr>
  </w:style>
  <w:style w:type="character" w:customStyle="1" w:styleId="2321">
    <w:name w:val="正文文本缩进 3 Char2"/>
    <w:autoRedefine/>
    <w:qFormat/>
    <w:uiPriority w:val="0"/>
    <w:rPr>
      <w:rFonts w:eastAsia="宋体"/>
      <w:kern w:val="2"/>
      <w:sz w:val="16"/>
      <w:szCs w:val="16"/>
      <w:lang w:val="en-US" w:eastAsia="zh-CN" w:bidi="ar-SA"/>
    </w:rPr>
  </w:style>
  <w:style w:type="character" w:customStyle="1" w:styleId="2322">
    <w:name w:val="表题1 Char6"/>
    <w:autoRedefine/>
    <w:qFormat/>
    <w:uiPriority w:val="0"/>
    <w:rPr>
      <w:rFonts w:ascii="黑体" w:hAnsi="Arial" w:eastAsia="黑体" w:cs="Arial"/>
      <w:b/>
      <w:kern w:val="2"/>
      <w:sz w:val="24"/>
      <w:szCs w:val="24"/>
      <w:lang w:val="en-US" w:eastAsia="zh-CN" w:bidi="ar-SA"/>
    </w:rPr>
  </w:style>
  <w:style w:type="paragraph" w:customStyle="1" w:styleId="2323">
    <w:name w:val="燕山正文4"/>
    <w:basedOn w:val="1"/>
    <w:autoRedefine/>
    <w:qFormat/>
    <w:uiPriority w:val="0"/>
    <w:pPr>
      <w:tabs>
        <w:tab w:val="left" w:pos="4680"/>
      </w:tabs>
      <w:adjustRightInd w:val="0"/>
      <w:snapToGrid w:val="0"/>
      <w:spacing w:line="480" w:lineRule="exact"/>
    </w:pPr>
    <w:rPr>
      <w:rFonts w:ascii="宋体" w:cs="宋体"/>
      <w:sz w:val="24"/>
    </w:rPr>
  </w:style>
  <w:style w:type="character" w:customStyle="1" w:styleId="2324">
    <w:name w:val="燕山正文 Char14"/>
    <w:autoRedefine/>
    <w:qFormat/>
    <w:uiPriority w:val="0"/>
    <w:rPr>
      <w:rFonts w:ascii="宋体" w:eastAsia="宋体" w:cs="宋体"/>
      <w:kern w:val="2"/>
      <w:sz w:val="24"/>
      <w:szCs w:val="24"/>
      <w:lang w:val="en-US" w:eastAsia="zh-CN" w:bidi="ar-SA"/>
    </w:rPr>
  </w:style>
  <w:style w:type="paragraph" w:customStyle="1" w:styleId="2325">
    <w:name w:val="正文修改4"/>
    <w:basedOn w:val="2088"/>
    <w:autoRedefine/>
    <w:qFormat/>
    <w:uiPriority w:val="0"/>
    <w:rPr>
      <w:rFonts w:hAnsi="宋体"/>
      <w:color w:val="000000"/>
    </w:rPr>
  </w:style>
  <w:style w:type="character" w:customStyle="1" w:styleId="2326">
    <w:name w:val="正文修改 Char14"/>
    <w:autoRedefine/>
    <w:qFormat/>
    <w:uiPriority w:val="0"/>
  </w:style>
  <w:style w:type="paragraph" w:customStyle="1" w:styleId="2327">
    <w:name w:val="表中文字5"/>
    <w:basedOn w:val="1"/>
    <w:autoRedefine/>
    <w:qFormat/>
    <w:uiPriority w:val="0"/>
    <w:pPr>
      <w:widowControl/>
      <w:spacing w:line="240" w:lineRule="atLeast"/>
      <w:ind w:left="-24" w:leftChars="-10" w:right="-48" w:rightChars="-20"/>
      <w:jc w:val="center"/>
    </w:pPr>
    <w:rPr>
      <w:rFonts w:ascii="宋体"/>
      <w:kern w:val="0"/>
      <w:szCs w:val="21"/>
    </w:rPr>
  </w:style>
  <w:style w:type="character" w:customStyle="1" w:styleId="2328">
    <w:name w:val="表中文字 Char24"/>
    <w:autoRedefine/>
    <w:qFormat/>
    <w:uiPriority w:val="0"/>
    <w:rPr>
      <w:rFonts w:ascii="宋体" w:eastAsia="宋体"/>
      <w:kern w:val="2"/>
      <w:sz w:val="21"/>
      <w:szCs w:val="21"/>
      <w:lang w:val="en-US" w:eastAsia="zh-CN" w:bidi="ar-SA"/>
    </w:rPr>
  </w:style>
  <w:style w:type="paragraph" w:customStyle="1" w:styleId="2329">
    <w:name w:val="默认段落字体 Para Char Char Char Char5"/>
    <w:basedOn w:val="1"/>
    <w:autoRedefine/>
    <w:qFormat/>
    <w:uiPriority w:val="0"/>
  </w:style>
  <w:style w:type="paragraph" w:customStyle="1" w:styleId="2330">
    <w:name w:val="表内5中1"/>
    <w:basedOn w:val="1"/>
    <w:autoRedefine/>
    <w:qFormat/>
    <w:uiPriority w:val="0"/>
    <w:pPr>
      <w:adjustRightInd w:val="0"/>
      <w:snapToGrid w:val="0"/>
      <w:jc w:val="center"/>
    </w:pPr>
    <w:rPr>
      <w:rFonts w:ascii="宋体" w:hAnsi="宋体" w:cs="Arial"/>
      <w:snapToGrid w:val="0"/>
      <w:color w:val="000000"/>
      <w:szCs w:val="21"/>
    </w:rPr>
  </w:style>
  <w:style w:type="paragraph" w:customStyle="1" w:styleId="2331">
    <w:name w:val="表内5414"/>
    <w:basedOn w:val="1"/>
    <w:autoRedefine/>
    <w:qFormat/>
    <w:uiPriority w:val="0"/>
    <w:pPr>
      <w:adjustRightInd w:val="0"/>
      <w:snapToGrid w:val="0"/>
      <w:spacing w:line="300" w:lineRule="auto"/>
      <w:jc w:val="center"/>
    </w:pPr>
    <w:rPr>
      <w:rFonts w:ascii="宋体" w:hAnsi="宋体" w:cs="宋体"/>
      <w:szCs w:val="20"/>
    </w:rPr>
  </w:style>
  <w:style w:type="paragraph" w:customStyle="1" w:styleId="2332">
    <w:name w:val="表题9"/>
    <w:basedOn w:val="46"/>
    <w:autoRedefine/>
    <w:qFormat/>
    <w:uiPriority w:val="0"/>
    <w:pPr>
      <w:adjustRightInd w:val="0"/>
      <w:snapToGrid w:val="0"/>
      <w:spacing w:line="300" w:lineRule="auto"/>
      <w:jc w:val="center"/>
    </w:pPr>
    <w:rPr>
      <w:rFonts w:ascii="黑体" w:eastAsia="黑体" w:cs="Times New Roman"/>
      <w:sz w:val="24"/>
      <w:szCs w:val="20"/>
    </w:rPr>
  </w:style>
  <w:style w:type="character" w:customStyle="1" w:styleId="2333">
    <w:name w:val="正文缩进 Char6"/>
    <w:autoRedefine/>
    <w:qFormat/>
    <w:uiPriority w:val="0"/>
    <w:rPr>
      <w:rFonts w:ascii="宋体" w:hAnsi="宋体" w:eastAsia="宋体"/>
      <w:kern w:val="2"/>
      <w:sz w:val="24"/>
      <w:szCs w:val="24"/>
      <w:lang w:val="en-US" w:eastAsia="zh-CN" w:bidi="ar-SA"/>
    </w:rPr>
  </w:style>
  <w:style w:type="paragraph" w:customStyle="1" w:styleId="2334">
    <w:name w:val="表内文字小1"/>
    <w:basedOn w:val="1"/>
    <w:autoRedefine/>
    <w:qFormat/>
    <w:uiPriority w:val="0"/>
    <w:pPr>
      <w:adjustRightInd w:val="0"/>
      <w:snapToGrid w:val="0"/>
      <w:jc w:val="center"/>
    </w:pPr>
    <w:rPr>
      <w:rFonts w:ascii="宋体" w:hAnsi="Times"/>
      <w:szCs w:val="20"/>
    </w:rPr>
  </w:style>
  <w:style w:type="paragraph" w:customStyle="1" w:styleId="2335">
    <w:name w:val="表内59"/>
    <w:basedOn w:val="1"/>
    <w:autoRedefine/>
    <w:qFormat/>
    <w:uiPriority w:val="0"/>
    <w:pPr>
      <w:adjustRightInd w:val="0"/>
      <w:snapToGrid w:val="0"/>
      <w:spacing w:line="300" w:lineRule="auto"/>
      <w:jc w:val="center"/>
    </w:pPr>
    <w:rPr>
      <w:rFonts w:ascii="宋体"/>
      <w:snapToGrid w:val="0"/>
      <w:szCs w:val="21"/>
    </w:rPr>
  </w:style>
  <w:style w:type="paragraph" w:customStyle="1" w:styleId="2336">
    <w:name w:val="表内小5中"/>
    <w:basedOn w:val="1"/>
    <w:autoRedefine/>
    <w:qFormat/>
    <w:uiPriority w:val="0"/>
    <w:pPr>
      <w:adjustRightInd w:val="0"/>
      <w:snapToGrid w:val="0"/>
      <w:jc w:val="center"/>
    </w:pPr>
    <w:rPr>
      <w:rFonts w:ascii="宋体" w:hAnsi="宋体"/>
      <w:sz w:val="18"/>
      <w:szCs w:val="20"/>
    </w:rPr>
  </w:style>
  <w:style w:type="paragraph" w:customStyle="1" w:styleId="2337">
    <w:name w:val="表内5中4"/>
    <w:basedOn w:val="1"/>
    <w:autoRedefine/>
    <w:qFormat/>
    <w:uiPriority w:val="0"/>
    <w:pPr>
      <w:adjustRightInd w:val="0"/>
      <w:snapToGrid w:val="0"/>
      <w:jc w:val="center"/>
    </w:pPr>
    <w:rPr>
      <w:rFonts w:ascii="宋体"/>
      <w:bCs/>
      <w:szCs w:val="20"/>
    </w:rPr>
  </w:style>
  <w:style w:type="character" w:customStyle="1" w:styleId="2338">
    <w:name w:val="无效格式 Char"/>
    <w:autoRedefine/>
    <w:qFormat/>
    <w:uiPriority w:val="0"/>
    <w:rPr>
      <w:rFonts w:ascii="黑体" w:hAnsi="Arial" w:eastAsia="黑体"/>
      <w:b/>
      <w:bCs/>
      <w:kern w:val="2"/>
      <w:sz w:val="24"/>
      <w:szCs w:val="24"/>
      <w:lang w:val="en-US" w:eastAsia="zh-CN" w:bidi="ar-SA"/>
    </w:rPr>
  </w:style>
  <w:style w:type="paragraph" w:customStyle="1" w:styleId="2339">
    <w:name w:val="默认段落字体 Para Char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340">
    <w:name w:val="燕山正文1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2341">
    <w:name w:val="批注框文本 Char4"/>
    <w:autoRedefine/>
    <w:qFormat/>
    <w:uiPriority w:val="0"/>
    <w:rPr>
      <w:rFonts w:eastAsia="宋体"/>
      <w:kern w:val="2"/>
      <w:sz w:val="18"/>
      <w:szCs w:val="18"/>
      <w:lang w:val="en-US" w:eastAsia="zh-CN" w:bidi="ar-SA"/>
    </w:rPr>
  </w:style>
  <w:style w:type="paragraph" w:customStyle="1" w:styleId="2342">
    <w:name w:val="样式 标题 4无效格式无效格式1河石管道4H4H41小小节河石管道41H42H411小小节1河石管道42..."/>
    <w:basedOn w:val="9"/>
    <w:autoRedefine/>
    <w:qFormat/>
    <w:uiPriority w:val="0"/>
    <w:pPr>
      <w:adjustRightInd w:val="0"/>
      <w:snapToGrid w:val="0"/>
      <w:spacing w:before="0" w:after="0" w:line="360" w:lineRule="auto"/>
      <w:ind w:left="664" w:hanging="864"/>
    </w:pPr>
    <w:rPr>
      <w:rFonts w:ascii="黑体"/>
      <w:b w:val="0"/>
      <w:bCs w:val="0"/>
      <w:sz w:val="24"/>
      <w:szCs w:val="24"/>
      <w:lang w:val="zh-CN"/>
    </w:rPr>
  </w:style>
  <w:style w:type="paragraph" w:customStyle="1" w:styleId="2343">
    <w:name w:val="样式 标题 4无效格式无效格式1河石管道4H4H41小小节河石管道41H42H411小小节1河石管道42...1"/>
    <w:basedOn w:val="9"/>
    <w:autoRedefine/>
    <w:qFormat/>
    <w:uiPriority w:val="0"/>
    <w:pPr>
      <w:adjustRightInd w:val="0"/>
      <w:snapToGrid w:val="0"/>
      <w:spacing w:before="0" w:after="0" w:line="360" w:lineRule="auto"/>
      <w:ind w:left="664" w:hanging="864"/>
      <w:jc w:val="left"/>
    </w:pPr>
    <w:rPr>
      <w:rFonts w:ascii="黑体" w:cs="宋体"/>
      <w:b w:val="0"/>
      <w:bCs w:val="0"/>
      <w:sz w:val="24"/>
      <w:szCs w:val="20"/>
      <w:lang w:val="zh-CN"/>
    </w:rPr>
  </w:style>
  <w:style w:type="paragraph" w:customStyle="1" w:styleId="2344">
    <w:name w:val="正文格式8"/>
    <w:basedOn w:val="1"/>
    <w:autoRedefine/>
    <w:qFormat/>
    <w:uiPriority w:val="0"/>
    <w:pPr>
      <w:spacing w:line="360" w:lineRule="auto"/>
      <w:ind w:firstLine="482"/>
    </w:pPr>
    <w:rPr>
      <w:rFonts w:ascii="宋体" w:hAnsi="宋体"/>
      <w:sz w:val="24"/>
    </w:rPr>
  </w:style>
  <w:style w:type="character" w:customStyle="1" w:styleId="2345">
    <w:name w:val="正文格式 Char8"/>
    <w:autoRedefine/>
    <w:qFormat/>
    <w:uiPriority w:val="0"/>
    <w:rPr>
      <w:rFonts w:ascii="宋体" w:hAnsi="宋体" w:eastAsia="宋体"/>
      <w:kern w:val="2"/>
      <w:sz w:val="24"/>
      <w:szCs w:val="24"/>
      <w:lang w:val="en-US" w:eastAsia="zh-CN" w:bidi="ar-SA"/>
    </w:rPr>
  </w:style>
  <w:style w:type="paragraph" w:customStyle="1" w:styleId="2346">
    <w:name w:val="正文格式9"/>
    <w:basedOn w:val="1"/>
    <w:autoRedefine/>
    <w:qFormat/>
    <w:uiPriority w:val="0"/>
    <w:pPr>
      <w:spacing w:line="360" w:lineRule="auto"/>
      <w:ind w:firstLine="482"/>
    </w:pPr>
    <w:rPr>
      <w:rFonts w:ascii="宋体" w:hAnsi="宋体"/>
      <w:sz w:val="24"/>
    </w:rPr>
  </w:style>
  <w:style w:type="character" w:customStyle="1" w:styleId="2347">
    <w:name w:val="正文格式 Char9"/>
    <w:autoRedefine/>
    <w:qFormat/>
    <w:uiPriority w:val="0"/>
    <w:rPr>
      <w:rFonts w:ascii="宋体" w:hAnsi="宋体" w:eastAsia="宋体"/>
      <w:kern w:val="2"/>
      <w:sz w:val="24"/>
      <w:szCs w:val="24"/>
      <w:lang w:val="en-US" w:eastAsia="zh-CN" w:bidi="ar-SA"/>
    </w:rPr>
  </w:style>
  <w:style w:type="character" w:customStyle="1" w:styleId="2348">
    <w:name w:val="标题 3 Char11"/>
    <w:autoRedefine/>
    <w:qFormat/>
    <w:uiPriority w:val="0"/>
    <w:rPr>
      <w:rFonts w:ascii="黑体" w:hAnsi="宋体" w:eastAsia="黑体"/>
      <w:b/>
      <w:bCs/>
      <w:kern w:val="2"/>
      <w:sz w:val="28"/>
      <w:szCs w:val="28"/>
      <w:lang w:val="en-US" w:eastAsia="zh-CN" w:bidi="ar-SA"/>
    </w:rPr>
  </w:style>
  <w:style w:type="paragraph" w:customStyle="1" w:styleId="2349">
    <w:name w:val="Char41"/>
    <w:basedOn w:val="1"/>
    <w:autoRedefine/>
    <w:qFormat/>
    <w:uiPriority w:val="0"/>
    <w:pPr>
      <w:ind w:left="-48"/>
    </w:pPr>
  </w:style>
  <w:style w:type="paragraph" w:customStyle="1" w:styleId="2350">
    <w:name w:val="Char Char2 Char Char Char Char2"/>
    <w:basedOn w:val="1"/>
    <w:autoRedefine/>
    <w:qFormat/>
    <w:uiPriority w:val="0"/>
  </w:style>
  <w:style w:type="character" w:customStyle="1" w:styleId="2351">
    <w:name w:val="Char Char31"/>
    <w:autoRedefine/>
    <w:qFormat/>
    <w:uiPriority w:val="0"/>
    <w:rPr>
      <w:rFonts w:ascii="黑体" w:hAnsi="宋体" w:eastAsia="黑体"/>
      <w:b/>
      <w:bCs/>
      <w:kern w:val="2"/>
      <w:sz w:val="28"/>
      <w:szCs w:val="28"/>
      <w:lang w:val="en-US" w:eastAsia="zh-CN" w:bidi="ar-SA"/>
    </w:rPr>
  </w:style>
  <w:style w:type="paragraph" w:customStyle="1" w:styleId="2352">
    <w:name w:val="Char Char Char Char1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353">
    <w:name w:val="Char Char Char Char Char Char Char13"/>
    <w:basedOn w:val="1"/>
    <w:autoRedefine/>
    <w:qFormat/>
    <w:uiPriority w:val="0"/>
  </w:style>
  <w:style w:type="character" w:customStyle="1" w:styleId="2354">
    <w:name w:val="Char Char211"/>
    <w:autoRedefine/>
    <w:qFormat/>
    <w:uiPriority w:val="0"/>
    <w:rPr>
      <w:rFonts w:ascii="黑体" w:eastAsia="宋体"/>
      <w:kern w:val="2"/>
      <w:sz w:val="16"/>
      <w:szCs w:val="16"/>
      <w:lang w:val="en-US" w:eastAsia="zh-CN" w:bidi="ar-SA"/>
    </w:rPr>
  </w:style>
  <w:style w:type="character" w:customStyle="1" w:styleId="2355">
    <w:name w:val="Char Char121"/>
    <w:autoRedefine/>
    <w:qFormat/>
    <w:uiPriority w:val="0"/>
    <w:rPr>
      <w:rFonts w:ascii="黑体" w:hAnsi="Arial" w:eastAsia="黑体"/>
      <w:b/>
      <w:bCs/>
      <w:kern w:val="2"/>
      <w:sz w:val="30"/>
      <w:szCs w:val="30"/>
      <w:lang w:val="en-US" w:eastAsia="zh-CN" w:bidi="ar-SA"/>
    </w:rPr>
  </w:style>
  <w:style w:type="paragraph" w:customStyle="1" w:styleId="2356">
    <w:name w:val="Char23"/>
    <w:basedOn w:val="1"/>
    <w:autoRedefine/>
    <w:qFormat/>
    <w:uiPriority w:val="0"/>
    <w:pPr>
      <w:ind w:left="-48"/>
    </w:pPr>
  </w:style>
  <w:style w:type="paragraph" w:customStyle="1" w:styleId="2357">
    <w:name w:val="Char Char Char Char Char Char Char21"/>
    <w:basedOn w:val="1"/>
    <w:autoRedefine/>
    <w:qFormat/>
    <w:uiPriority w:val="0"/>
  </w:style>
  <w:style w:type="paragraph" w:customStyle="1" w:styleId="2358">
    <w:name w:val="Char42"/>
    <w:basedOn w:val="1"/>
    <w:autoRedefine/>
    <w:qFormat/>
    <w:uiPriority w:val="0"/>
    <w:pPr>
      <w:ind w:left="-48"/>
    </w:pPr>
  </w:style>
  <w:style w:type="paragraph" w:customStyle="1" w:styleId="2359">
    <w:name w:val="Char Char2 Char Char Char Char3"/>
    <w:basedOn w:val="1"/>
    <w:autoRedefine/>
    <w:qFormat/>
    <w:uiPriority w:val="0"/>
  </w:style>
  <w:style w:type="character" w:customStyle="1" w:styleId="2360">
    <w:name w:val="Char Char43"/>
    <w:autoRedefine/>
    <w:qFormat/>
    <w:uiPriority w:val="0"/>
    <w:rPr>
      <w:rFonts w:ascii="黑体" w:hAnsi="Arial" w:eastAsia="黑体"/>
      <w:b/>
      <w:bCs/>
      <w:kern w:val="2"/>
      <w:sz w:val="30"/>
      <w:szCs w:val="30"/>
      <w:lang w:val="en-US" w:eastAsia="zh-CN" w:bidi="ar-SA"/>
    </w:rPr>
  </w:style>
  <w:style w:type="character" w:customStyle="1" w:styleId="2361">
    <w:name w:val="Char Char32"/>
    <w:autoRedefine/>
    <w:qFormat/>
    <w:uiPriority w:val="0"/>
    <w:rPr>
      <w:rFonts w:ascii="黑体" w:hAnsi="宋体" w:eastAsia="黑体"/>
      <w:b/>
      <w:bCs/>
      <w:kern w:val="2"/>
      <w:sz w:val="28"/>
      <w:szCs w:val="28"/>
      <w:lang w:val="en-US" w:eastAsia="zh-CN" w:bidi="ar-SA"/>
    </w:rPr>
  </w:style>
  <w:style w:type="paragraph" w:customStyle="1" w:styleId="2362">
    <w:name w:val="Char Char Char Char1 Char Char Char2"/>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2363">
    <w:name w:val="Char Char113"/>
    <w:autoRedefine/>
    <w:qFormat/>
    <w:uiPriority w:val="0"/>
    <w:rPr>
      <w:rFonts w:ascii="黑体" w:hAnsi="Arial" w:eastAsia="黑体"/>
      <w:bCs/>
      <w:kern w:val="2"/>
      <w:sz w:val="30"/>
      <w:szCs w:val="30"/>
      <w:lang w:val="en-US" w:eastAsia="zh-CN" w:bidi="ar-SA"/>
    </w:rPr>
  </w:style>
  <w:style w:type="paragraph" w:customStyle="1" w:styleId="2364">
    <w:name w:val="Char Char Char Char Char Char Char14"/>
    <w:basedOn w:val="1"/>
    <w:autoRedefine/>
    <w:qFormat/>
    <w:uiPriority w:val="0"/>
  </w:style>
  <w:style w:type="character" w:customStyle="1" w:styleId="2365">
    <w:name w:val="Char Char212"/>
    <w:autoRedefine/>
    <w:qFormat/>
    <w:uiPriority w:val="0"/>
    <w:rPr>
      <w:rFonts w:ascii="黑体" w:eastAsia="宋体"/>
      <w:kern w:val="2"/>
      <w:sz w:val="16"/>
      <w:szCs w:val="16"/>
      <w:lang w:val="en-US" w:eastAsia="zh-CN" w:bidi="ar-SA"/>
    </w:rPr>
  </w:style>
  <w:style w:type="character" w:customStyle="1" w:styleId="2366">
    <w:name w:val="Char Char122"/>
    <w:autoRedefine/>
    <w:qFormat/>
    <w:uiPriority w:val="0"/>
    <w:rPr>
      <w:rFonts w:ascii="黑体" w:hAnsi="Arial" w:eastAsia="黑体"/>
      <w:b/>
      <w:bCs/>
      <w:kern w:val="2"/>
      <w:sz w:val="30"/>
      <w:szCs w:val="30"/>
      <w:lang w:val="en-US" w:eastAsia="zh-CN" w:bidi="ar-SA"/>
    </w:rPr>
  </w:style>
  <w:style w:type="character" w:customStyle="1" w:styleId="2367">
    <w:name w:val="Char Char63"/>
    <w:autoRedefine/>
    <w:qFormat/>
    <w:uiPriority w:val="0"/>
    <w:rPr>
      <w:rFonts w:ascii="黑体" w:eastAsia="黑体"/>
      <w:b/>
      <w:bCs/>
      <w:kern w:val="2"/>
      <w:sz w:val="28"/>
      <w:szCs w:val="28"/>
      <w:lang w:val="en-US" w:eastAsia="zh-CN" w:bidi="ar-SA"/>
    </w:rPr>
  </w:style>
  <w:style w:type="paragraph" w:customStyle="1" w:styleId="2368">
    <w:name w:val="Char24"/>
    <w:basedOn w:val="1"/>
    <w:autoRedefine/>
    <w:qFormat/>
    <w:uiPriority w:val="0"/>
    <w:pPr>
      <w:ind w:left="-48"/>
    </w:pPr>
  </w:style>
  <w:style w:type="paragraph" w:customStyle="1" w:styleId="2369">
    <w:name w:val="Char Char Char Char Char Char Char22"/>
    <w:basedOn w:val="1"/>
    <w:autoRedefine/>
    <w:qFormat/>
    <w:uiPriority w:val="0"/>
  </w:style>
  <w:style w:type="paragraph" w:customStyle="1" w:styleId="2370">
    <w:name w:val="Char43"/>
    <w:basedOn w:val="1"/>
    <w:autoRedefine/>
    <w:qFormat/>
    <w:uiPriority w:val="0"/>
    <w:pPr>
      <w:ind w:left="-48"/>
    </w:pPr>
  </w:style>
  <w:style w:type="paragraph" w:customStyle="1" w:styleId="2371">
    <w:name w:val="正文格式10"/>
    <w:basedOn w:val="1"/>
    <w:autoRedefine/>
    <w:qFormat/>
    <w:uiPriority w:val="0"/>
    <w:pPr>
      <w:spacing w:line="360" w:lineRule="auto"/>
      <w:ind w:firstLine="482"/>
    </w:pPr>
    <w:rPr>
      <w:rFonts w:ascii="宋体" w:hAnsi="宋体"/>
      <w:sz w:val="24"/>
    </w:rPr>
  </w:style>
  <w:style w:type="character" w:customStyle="1" w:styleId="2372">
    <w:name w:val="正文格式 Char10"/>
    <w:autoRedefine/>
    <w:qFormat/>
    <w:uiPriority w:val="0"/>
    <w:rPr>
      <w:rFonts w:ascii="宋体" w:hAnsi="宋体" w:eastAsia="宋体"/>
      <w:kern w:val="2"/>
      <w:sz w:val="24"/>
      <w:szCs w:val="24"/>
      <w:lang w:val="en-US" w:eastAsia="zh-CN" w:bidi="ar-SA"/>
    </w:rPr>
  </w:style>
  <w:style w:type="character" w:customStyle="1" w:styleId="2373">
    <w:name w:val="标题 3 Char12"/>
    <w:autoRedefine/>
    <w:qFormat/>
    <w:uiPriority w:val="0"/>
    <w:rPr>
      <w:rFonts w:ascii="黑体" w:hAnsi="宋体" w:eastAsia="黑体"/>
      <w:b/>
      <w:bCs/>
      <w:kern w:val="2"/>
      <w:sz w:val="28"/>
      <w:szCs w:val="28"/>
      <w:lang w:val="en-US" w:eastAsia="zh-CN" w:bidi="ar-SA"/>
    </w:rPr>
  </w:style>
  <w:style w:type="character" w:customStyle="1" w:styleId="2374">
    <w:name w:val="题注 Char6"/>
    <w:autoRedefine/>
    <w:qFormat/>
    <w:uiPriority w:val="0"/>
    <w:rPr>
      <w:rFonts w:ascii="黑体" w:hAnsi="Arial" w:eastAsia="黑体" w:cs="Arial"/>
      <w:b/>
      <w:kern w:val="2"/>
      <w:sz w:val="24"/>
      <w:szCs w:val="24"/>
      <w:lang w:val="en-US" w:eastAsia="zh-CN" w:bidi="ar-SA"/>
    </w:rPr>
  </w:style>
  <w:style w:type="paragraph" w:customStyle="1" w:styleId="2375">
    <w:name w:val="图题8"/>
    <w:basedOn w:val="403"/>
    <w:next w:val="403"/>
    <w:autoRedefine/>
    <w:qFormat/>
    <w:uiPriority w:val="0"/>
    <w:pPr>
      <w:ind w:firstLine="0"/>
      <w:jc w:val="center"/>
    </w:pPr>
    <w:rPr>
      <w:rFonts w:ascii="黑体" w:hAnsi="宋体" w:eastAsia="黑体"/>
      <w:b/>
      <w:bCs/>
    </w:rPr>
  </w:style>
  <w:style w:type="paragraph" w:customStyle="1" w:styleId="2376">
    <w:name w:val="表格内字体8"/>
    <w:basedOn w:val="403"/>
    <w:next w:val="403"/>
    <w:autoRedefine/>
    <w:qFormat/>
    <w:uiPriority w:val="0"/>
    <w:pPr>
      <w:spacing w:line="240" w:lineRule="auto"/>
      <w:ind w:firstLine="0"/>
      <w:jc w:val="center"/>
    </w:pPr>
    <w:rPr>
      <w:rFonts w:hAnsi="宋体" w:cs="Times New Roman"/>
      <w:sz w:val="21"/>
    </w:rPr>
  </w:style>
  <w:style w:type="character" w:customStyle="1" w:styleId="2377">
    <w:name w:val="表格内字体 Char8"/>
    <w:autoRedefine/>
    <w:qFormat/>
    <w:uiPriority w:val="0"/>
    <w:rPr>
      <w:rFonts w:ascii="宋体" w:hAnsi="宋体" w:eastAsia="宋体"/>
      <w:kern w:val="2"/>
      <w:sz w:val="21"/>
      <w:szCs w:val="24"/>
      <w:lang w:val="en-US" w:eastAsia="zh-CN" w:bidi="ar-SA"/>
    </w:rPr>
  </w:style>
  <w:style w:type="paragraph" w:customStyle="1" w:styleId="2378">
    <w:name w:val="正文格式＝7"/>
    <w:basedOn w:val="403"/>
    <w:next w:val="403"/>
    <w:autoRedefine/>
    <w:qFormat/>
    <w:uiPriority w:val="0"/>
    <w:rPr>
      <w:rFonts w:hAnsi="宋体" w:cs="Times New Roman"/>
    </w:rPr>
  </w:style>
  <w:style w:type="character" w:customStyle="1" w:styleId="2379">
    <w:name w:val="正文缩进 Char13"/>
    <w:autoRedefine/>
    <w:qFormat/>
    <w:uiPriority w:val="0"/>
    <w:rPr>
      <w:rFonts w:ascii="宋体" w:hAnsi="宋体" w:eastAsia="宋体" w:cs="宋体"/>
      <w:color w:val="000000"/>
      <w:kern w:val="2"/>
      <w:sz w:val="24"/>
      <w:szCs w:val="24"/>
      <w:lang w:val="en-US" w:eastAsia="zh-CN" w:bidi="ar-SA"/>
    </w:rPr>
  </w:style>
  <w:style w:type="character" w:customStyle="1" w:styleId="2380">
    <w:name w:val="正文文本缩进 3 Char3"/>
    <w:autoRedefine/>
    <w:qFormat/>
    <w:uiPriority w:val="0"/>
    <w:rPr>
      <w:rFonts w:eastAsia="宋体"/>
      <w:kern w:val="2"/>
      <w:sz w:val="16"/>
      <w:szCs w:val="16"/>
      <w:lang w:val="en-US" w:eastAsia="zh-CN" w:bidi="ar-SA"/>
    </w:rPr>
  </w:style>
  <w:style w:type="paragraph" w:customStyle="1" w:styleId="2381">
    <w:name w:val="表题16"/>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382">
    <w:name w:val="表题1 Char7"/>
    <w:autoRedefine/>
    <w:qFormat/>
    <w:uiPriority w:val="0"/>
    <w:rPr>
      <w:rFonts w:ascii="黑体" w:hAnsi="Arial" w:eastAsia="黑体" w:cs="Arial"/>
      <w:b/>
      <w:kern w:val="2"/>
      <w:sz w:val="24"/>
      <w:szCs w:val="24"/>
      <w:lang w:val="en-US" w:eastAsia="zh-CN" w:bidi="ar-SA"/>
    </w:rPr>
  </w:style>
  <w:style w:type="paragraph" w:customStyle="1" w:styleId="2383">
    <w:name w:val="燕山正文5"/>
    <w:basedOn w:val="1"/>
    <w:autoRedefine/>
    <w:qFormat/>
    <w:uiPriority w:val="0"/>
    <w:pPr>
      <w:tabs>
        <w:tab w:val="left" w:pos="4680"/>
      </w:tabs>
      <w:adjustRightInd w:val="0"/>
      <w:snapToGrid w:val="0"/>
      <w:spacing w:line="480" w:lineRule="exact"/>
    </w:pPr>
    <w:rPr>
      <w:rFonts w:ascii="宋体" w:cs="宋体"/>
      <w:sz w:val="24"/>
    </w:rPr>
  </w:style>
  <w:style w:type="character" w:customStyle="1" w:styleId="2384">
    <w:name w:val="燕山正文 Char15"/>
    <w:autoRedefine/>
    <w:qFormat/>
    <w:uiPriority w:val="0"/>
    <w:rPr>
      <w:rFonts w:ascii="宋体" w:eastAsia="宋体" w:cs="宋体"/>
      <w:kern w:val="2"/>
      <w:sz w:val="24"/>
      <w:szCs w:val="24"/>
      <w:lang w:val="en-US" w:eastAsia="zh-CN" w:bidi="ar-SA"/>
    </w:rPr>
  </w:style>
  <w:style w:type="paragraph" w:customStyle="1" w:styleId="2385">
    <w:name w:val="正文修改5"/>
    <w:basedOn w:val="2088"/>
    <w:autoRedefine/>
    <w:qFormat/>
    <w:uiPriority w:val="0"/>
    <w:rPr>
      <w:rFonts w:hAnsi="宋体"/>
      <w:color w:val="000000"/>
    </w:rPr>
  </w:style>
  <w:style w:type="character" w:customStyle="1" w:styleId="2386">
    <w:name w:val="正文修改 Char15"/>
    <w:autoRedefine/>
    <w:qFormat/>
    <w:uiPriority w:val="0"/>
    <w:rPr>
      <w:rFonts w:ascii="宋体" w:hAnsi="宋体" w:eastAsia="宋体" w:cs="宋体"/>
      <w:color w:val="000000"/>
      <w:sz w:val="24"/>
      <w:szCs w:val="24"/>
    </w:rPr>
  </w:style>
  <w:style w:type="paragraph" w:customStyle="1" w:styleId="2387">
    <w:name w:val="表中文字6"/>
    <w:basedOn w:val="1"/>
    <w:autoRedefine/>
    <w:qFormat/>
    <w:uiPriority w:val="0"/>
    <w:pPr>
      <w:widowControl/>
      <w:spacing w:line="240" w:lineRule="atLeast"/>
      <w:ind w:left="-24" w:leftChars="-10" w:right="-48" w:rightChars="-20"/>
      <w:jc w:val="center"/>
    </w:pPr>
    <w:rPr>
      <w:rFonts w:ascii="宋体"/>
      <w:kern w:val="0"/>
      <w:szCs w:val="21"/>
    </w:rPr>
  </w:style>
  <w:style w:type="character" w:customStyle="1" w:styleId="2388">
    <w:name w:val="表中文字 Char25"/>
    <w:autoRedefine/>
    <w:qFormat/>
    <w:uiPriority w:val="0"/>
    <w:rPr>
      <w:rFonts w:ascii="宋体" w:eastAsia="宋体"/>
      <w:kern w:val="2"/>
      <w:sz w:val="21"/>
      <w:szCs w:val="21"/>
      <w:lang w:val="en-US" w:eastAsia="zh-CN" w:bidi="ar-SA"/>
    </w:rPr>
  </w:style>
  <w:style w:type="paragraph" w:customStyle="1" w:styleId="2389">
    <w:name w:val="默认段落字体 Para Char Char Char Char6"/>
    <w:basedOn w:val="1"/>
    <w:autoRedefine/>
    <w:qFormat/>
    <w:uiPriority w:val="0"/>
  </w:style>
  <w:style w:type="paragraph" w:customStyle="1" w:styleId="2390">
    <w:name w:val="Char121"/>
    <w:basedOn w:val="1"/>
    <w:autoRedefine/>
    <w:qFormat/>
    <w:uiPriority w:val="0"/>
    <w:pPr>
      <w:adjustRightInd w:val="0"/>
      <w:snapToGrid w:val="0"/>
      <w:spacing w:line="360" w:lineRule="auto"/>
    </w:pPr>
  </w:style>
  <w:style w:type="paragraph" w:customStyle="1" w:styleId="2391">
    <w:name w:val="封面标准文稿编辑信息1"/>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392">
    <w:name w:val="样式 表内小5 + 黑体 加粗 倾斜 下划线1"/>
    <w:basedOn w:val="1"/>
    <w:autoRedefine/>
    <w:qFormat/>
    <w:uiPriority w:val="0"/>
    <w:pPr>
      <w:adjustRightInd w:val="0"/>
      <w:snapToGrid w:val="0"/>
      <w:spacing w:line="300" w:lineRule="auto"/>
      <w:jc w:val="left"/>
    </w:pPr>
    <w:rPr>
      <w:rFonts w:ascii="黑体" w:hAnsi="黑体" w:eastAsia="黑体"/>
      <w:b/>
      <w:bCs/>
      <w:i/>
      <w:iCs/>
      <w:sz w:val="18"/>
      <w:u w:val="single"/>
    </w:rPr>
  </w:style>
  <w:style w:type="character" w:customStyle="1" w:styleId="2393">
    <w:name w:val="样式 表内小5 + 黑体 加粗 倾斜 下划线 Char1"/>
    <w:autoRedefine/>
    <w:qFormat/>
    <w:uiPriority w:val="0"/>
    <w:rPr>
      <w:rFonts w:ascii="黑体" w:hAnsi="黑体" w:eastAsia="黑体"/>
      <w:b/>
      <w:bCs/>
      <w:i/>
      <w:iCs/>
      <w:kern w:val="2"/>
      <w:sz w:val="18"/>
      <w:szCs w:val="24"/>
      <w:u w:val="single"/>
      <w:lang w:val="en-US" w:eastAsia="zh-CN" w:bidi="ar-SA"/>
    </w:rPr>
  </w:style>
  <w:style w:type="paragraph" w:customStyle="1" w:styleId="2394">
    <w:name w:val="表内5中2"/>
    <w:basedOn w:val="1"/>
    <w:autoRedefine/>
    <w:qFormat/>
    <w:uiPriority w:val="0"/>
    <w:pPr>
      <w:adjustRightInd w:val="0"/>
      <w:snapToGrid w:val="0"/>
      <w:jc w:val="center"/>
    </w:pPr>
    <w:rPr>
      <w:rFonts w:ascii="宋体" w:hAnsi="宋体" w:cs="Arial"/>
      <w:snapToGrid w:val="0"/>
      <w:color w:val="000000"/>
      <w:szCs w:val="21"/>
    </w:rPr>
  </w:style>
  <w:style w:type="paragraph" w:customStyle="1" w:styleId="2395">
    <w:name w:val="表内5415"/>
    <w:basedOn w:val="1"/>
    <w:autoRedefine/>
    <w:qFormat/>
    <w:uiPriority w:val="0"/>
    <w:pPr>
      <w:adjustRightInd w:val="0"/>
      <w:snapToGrid w:val="0"/>
      <w:spacing w:line="300" w:lineRule="auto"/>
      <w:jc w:val="center"/>
    </w:pPr>
    <w:rPr>
      <w:rFonts w:ascii="宋体" w:hAnsi="宋体" w:cs="宋体"/>
      <w:szCs w:val="20"/>
    </w:rPr>
  </w:style>
  <w:style w:type="paragraph" w:customStyle="1" w:styleId="2396">
    <w:name w:val="表格11"/>
    <w:basedOn w:val="1"/>
    <w:autoRedefine/>
    <w:qFormat/>
    <w:uiPriority w:val="0"/>
    <w:pPr>
      <w:adjustRightInd w:val="0"/>
      <w:jc w:val="center"/>
      <w:textAlignment w:val="baseline"/>
    </w:pPr>
    <w:rPr>
      <w:rFonts w:ascii="宋体"/>
      <w:kern w:val="0"/>
      <w:sz w:val="24"/>
      <w:szCs w:val="20"/>
    </w:rPr>
  </w:style>
  <w:style w:type="paragraph" w:customStyle="1" w:styleId="2397">
    <w:name w:val="c1"/>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398">
    <w:name w:val="表题91"/>
    <w:basedOn w:val="46"/>
    <w:autoRedefine/>
    <w:qFormat/>
    <w:uiPriority w:val="0"/>
    <w:pPr>
      <w:adjustRightInd w:val="0"/>
      <w:snapToGrid w:val="0"/>
      <w:spacing w:line="300" w:lineRule="auto"/>
      <w:jc w:val="center"/>
    </w:pPr>
    <w:rPr>
      <w:rFonts w:ascii="黑体" w:eastAsia="黑体" w:cs="Times New Roman"/>
      <w:sz w:val="24"/>
      <w:szCs w:val="20"/>
    </w:rPr>
  </w:style>
  <w:style w:type="character" w:customStyle="1" w:styleId="2399">
    <w:name w:val="正文缩进 Char7"/>
    <w:autoRedefine/>
    <w:qFormat/>
    <w:uiPriority w:val="0"/>
    <w:rPr>
      <w:rFonts w:ascii="宋体" w:hAnsi="宋体" w:eastAsia="宋体"/>
      <w:kern w:val="2"/>
      <w:sz w:val="24"/>
      <w:szCs w:val="24"/>
      <w:lang w:val="en-US" w:eastAsia="zh-CN" w:bidi="ar-SA"/>
    </w:rPr>
  </w:style>
  <w:style w:type="paragraph" w:customStyle="1" w:styleId="2400">
    <w:name w:val="福建正文缩进1"/>
    <w:basedOn w:val="8"/>
    <w:autoRedefine/>
    <w:qFormat/>
    <w:uiPriority w:val="0"/>
    <w:pPr>
      <w:adjustRightInd w:val="0"/>
      <w:snapToGrid w:val="0"/>
      <w:spacing w:line="360" w:lineRule="auto"/>
      <w:ind w:firstLine="567" w:firstLineChars="0"/>
    </w:pPr>
    <w:rPr>
      <w:rFonts w:ascii="宋体"/>
      <w:kern w:val="0"/>
      <w:sz w:val="24"/>
      <w:szCs w:val="24"/>
    </w:rPr>
  </w:style>
  <w:style w:type="character" w:customStyle="1" w:styleId="2401">
    <w:name w:val="福建正文缩进 Char1"/>
    <w:autoRedefine/>
    <w:qFormat/>
    <w:uiPriority w:val="0"/>
    <w:rPr>
      <w:rFonts w:ascii="宋体" w:eastAsia="宋体"/>
      <w:kern w:val="2"/>
      <w:sz w:val="24"/>
      <w:szCs w:val="24"/>
      <w:lang w:val="en-US" w:eastAsia="zh-CN" w:bidi="ar-SA"/>
    </w:rPr>
  </w:style>
  <w:style w:type="paragraph" w:customStyle="1" w:styleId="2402">
    <w:name w:val="表内文字小3"/>
    <w:basedOn w:val="1"/>
    <w:autoRedefine/>
    <w:qFormat/>
    <w:uiPriority w:val="0"/>
    <w:pPr>
      <w:adjustRightInd w:val="0"/>
      <w:snapToGrid w:val="0"/>
      <w:jc w:val="center"/>
    </w:pPr>
    <w:rPr>
      <w:rFonts w:ascii="宋体" w:hAnsi="Times"/>
      <w:szCs w:val="20"/>
    </w:rPr>
  </w:style>
  <w:style w:type="paragraph" w:customStyle="1" w:styleId="2403">
    <w:name w:val="表内591"/>
    <w:basedOn w:val="1"/>
    <w:autoRedefine/>
    <w:qFormat/>
    <w:uiPriority w:val="0"/>
    <w:pPr>
      <w:adjustRightInd w:val="0"/>
      <w:snapToGrid w:val="0"/>
      <w:spacing w:line="300" w:lineRule="auto"/>
      <w:jc w:val="center"/>
    </w:pPr>
    <w:rPr>
      <w:rFonts w:ascii="宋体"/>
      <w:snapToGrid w:val="0"/>
      <w:szCs w:val="21"/>
    </w:rPr>
  </w:style>
  <w:style w:type="paragraph" w:customStyle="1" w:styleId="2404">
    <w:name w:val="表内小5中1"/>
    <w:basedOn w:val="1"/>
    <w:autoRedefine/>
    <w:qFormat/>
    <w:uiPriority w:val="0"/>
    <w:pPr>
      <w:adjustRightInd w:val="0"/>
      <w:snapToGrid w:val="0"/>
      <w:jc w:val="center"/>
    </w:pPr>
    <w:rPr>
      <w:rFonts w:ascii="宋体" w:hAnsi="宋体"/>
      <w:sz w:val="18"/>
      <w:szCs w:val="20"/>
    </w:rPr>
  </w:style>
  <w:style w:type="paragraph" w:customStyle="1" w:styleId="2405">
    <w:name w:val="表内5中41"/>
    <w:basedOn w:val="1"/>
    <w:autoRedefine/>
    <w:qFormat/>
    <w:uiPriority w:val="0"/>
    <w:pPr>
      <w:adjustRightInd w:val="0"/>
      <w:snapToGrid w:val="0"/>
      <w:jc w:val="center"/>
    </w:pPr>
    <w:rPr>
      <w:rFonts w:ascii="宋体"/>
      <w:bCs/>
      <w:szCs w:val="20"/>
    </w:rPr>
  </w:style>
  <w:style w:type="paragraph" w:customStyle="1" w:styleId="2406">
    <w:name w:val="默认段落字体 Para Char5"/>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407">
    <w:name w:val="燕山正文13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2408">
    <w:name w:val="批注框文本 Char5"/>
    <w:autoRedefine/>
    <w:qFormat/>
    <w:uiPriority w:val="0"/>
    <w:rPr>
      <w:rFonts w:eastAsia="宋体"/>
      <w:kern w:val="2"/>
      <w:sz w:val="18"/>
      <w:szCs w:val="18"/>
      <w:lang w:val="en-US" w:eastAsia="zh-CN" w:bidi="ar-SA"/>
    </w:rPr>
  </w:style>
  <w:style w:type="paragraph" w:customStyle="1" w:styleId="2409">
    <w:name w:val="样式 标题 4无效格式无效格式1河石管道4H4H41小小节河石管道41H42H411小小节1河石管道42...2"/>
    <w:basedOn w:val="9"/>
    <w:autoRedefine/>
    <w:qFormat/>
    <w:uiPriority w:val="0"/>
    <w:pPr>
      <w:adjustRightInd w:val="0"/>
      <w:snapToGrid w:val="0"/>
      <w:spacing w:before="0" w:after="0" w:line="360" w:lineRule="auto"/>
      <w:ind w:left="1404" w:hanging="864"/>
    </w:pPr>
    <w:rPr>
      <w:rFonts w:ascii="黑体"/>
      <w:b w:val="0"/>
      <w:bCs w:val="0"/>
      <w:sz w:val="24"/>
      <w:szCs w:val="24"/>
      <w:lang w:val="zh-CN"/>
    </w:rPr>
  </w:style>
  <w:style w:type="paragraph" w:customStyle="1" w:styleId="2410">
    <w:name w:val="样式 标题 4无效格式无效格式1河石管道4H4H41小小节河石管道41H42H411小小节1河石管道42...11"/>
    <w:basedOn w:val="9"/>
    <w:autoRedefine/>
    <w:qFormat/>
    <w:uiPriority w:val="0"/>
    <w:pPr>
      <w:adjustRightInd w:val="0"/>
      <w:snapToGrid w:val="0"/>
      <w:spacing w:before="0" w:after="0" w:line="360" w:lineRule="auto"/>
      <w:ind w:left="664" w:hanging="864"/>
      <w:jc w:val="left"/>
    </w:pPr>
    <w:rPr>
      <w:rFonts w:ascii="黑体" w:cs="宋体"/>
      <w:b w:val="0"/>
      <w:bCs w:val="0"/>
      <w:sz w:val="24"/>
      <w:szCs w:val="20"/>
      <w:lang w:val="zh-CN"/>
    </w:rPr>
  </w:style>
  <w:style w:type="paragraph" w:customStyle="1" w:styleId="2411">
    <w:name w:val="附件4"/>
    <w:basedOn w:val="5"/>
    <w:next w:val="403"/>
    <w:autoRedefine/>
    <w:qFormat/>
    <w:uiPriority w:val="0"/>
    <w:pPr>
      <w:keepLines/>
      <w:overflowPunct/>
      <w:snapToGrid/>
      <w:spacing w:before="0" w:after="0" w:line="360" w:lineRule="auto"/>
      <w:ind w:left="0" w:firstLine="0"/>
      <w:jc w:val="left"/>
    </w:pPr>
    <w:rPr>
      <w:rFonts w:ascii="黑体" w:hAnsi="宋体"/>
      <w:color w:val="auto"/>
      <w:sz w:val="32"/>
      <w:szCs w:val="32"/>
    </w:rPr>
  </w:style>
  <w:style w:type="paragraph" w:customStyle="1" w:styleId="2412">
    <w:name w:val="标题4313"/>
    <w:basedOn w:val="1"/>
    <w:autoRedefine/>
    <w:qFormat/>
    <w:uiPriority w:val="0"/>
    <w:pPr>
      <w:adjustRightInd w:val="0"/>
      <w:snapToGrid w:val="0"/>
      <w:spacing w:line="480" w:lineRule="exact"/>
      <w:jc w:val="center"/>
    </w:pPr>
    <w:rPr>
      <w:rFonts w:ascii="宋体" w:hAnsi="宋体" w:cs="宋体"/>
      <w:sz w:val="24"/>
    </w:rPr>
  </w:style>
  <w:style w:type="paragraph" w:customStyle="1" w:styleId="2413">
    <w:name w:val="燕山正文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414">
    <w:name w:val="表题411"/>
    <w:basedOn w:val="36"/>
    <w:autoRedefine/>
    <w:qFormat/>
    <w:uiPriority w:val="0"/>
    <w:pPr>
      <w:tabs>
        <w:tab w:val="left" w:pos="4305"/>
      </w:tabs>
      <w:adjustRightInd w:val="0"/>
      <w:snapToGrid w:val="0"/>
      <w:spacing w:after="0"/>
      <w:ind w:left="0" w:leftChars="0"/>
      <w:jc w:val="center"/>
    </w:pPr>
    <w:rPr>
      <w:rFonts w:ascii="宋体" w:hAnsi="宋体" w:cs="宋体"/>
      <w:color w:val="000000"/>
      <w:kern w:val="2"/>
      <w:szCs w:val="24"/>
    </w:rPr>
  </w:style>
  <w:style w:type="paragraph" w:customStyle="1" w:styleId="2415">
    <w:name w:val="表内文字小214"/>
    <w:basedOn w:val="1"/>
    <w:autoRedefine/>
    <w:qFormat/>
    <w:uiPriority w:val="0"/>
    <w:pPr>
      <w:adjustRightInd w:val="0"/>
      <w:snapToGrid w:val="0"/>
      <w:jc w:val="center"/>
    </w:pPr>
    <w:rPr>
      <w:rFonts w:ascii="宋体" w:hAnsi="Times"/>
      <w:bCs/>
      <w:color w:val="000000"/>
      <w:szCs w:val="20"/>
    </w:rPr>
  </w:style>
  <w:style w:type="paragraph" w:customStyle="1" w:styleId="2416">
    <w:name w:val="表题314"/>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417">
    <w:name w:val="Char Char Char Char Char Char Char31"/>
    <w:basedOn w:val="1"/>
    <w:autoRedefine/>
    <w:qFormat/>
    <w:uiPriority w:val="0"/>
  </w:style>
  <w:style w:type="paragraph" w:customStyle="1" w:styleId="2418">
    <w:name w:val="表文字54"/>
    <w:basedOn w:val="1"/>
    <w:autoRedefine/>
    <w:qFormat/>
    <w:uiPriority w:val="0"/>
    <w:pPr>
      <w:adjustRightInd w:val="0"/>
      <w:jc w:val="left"/>
      <w:textAlignment w:val="baseline"/>
    </w:pPr>
    <w:rPr>
      <w:rFonts w:ascii="宋体"/>
      <w:kern w:val="0"/>
      <w:szCs w:val="20"/>
    </w:rPr>
  </w:style>
  <w:style w:type="paragraph" w:customStyle="1" w:styleId="2419">
    <w:name w:val="表内文字小314"/>
    <w:basedOn w:val="1"/>
    <w:autoRedefine/>
    <w:qFormat/>
    <w:uiPriority w:val="0"/>
    <w:pPr>
      <w:adjustRightInd w:val="0"/>
      <w:snapToGrid w:val="0"/>
      <w:jc w:val="center"/>
    </w:pPr>
    <w:rPr>
      <w:rFonts w:ascii="宋体" w:hAnsi="Times" w:cs="宋体"/>
      <w:bCs/>
      <w:color w:val="003366"/>
      <w:szCs w:val="20"/>
    </w:rPr>
  </w:style>
  <w:style w:type="paragraph" w:customStyle="1" w:styleId="2420">
    <w:name w:val="表内宋5112"/>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2421">
    <w:name w:val="文本框2"/>
    <w:basedOn w:val="1"/>
    <w:autoRedefine/>
    <w:qFormat/>
    <w:uiPriority w:val="0"/>
    <w:pPr>
      <w:adjustRightInd w:val="0"/>
      <w:snapToGrid w:val="0"/>
      <w:spacing w:after="6"/>
      <w:jc w:val="center"/>
    </w:pPr>
    <w:rPr>
      <w:rFonts w:eastAsia="仿宋_GB2312"/>
    </w:rPr>
  </w:style>
  <w:style w:type="paragraph" w:customStyle="1" w:styleId="2422">
    <w:name w:val="正文.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423">
    <w:name w:val="表4"/>
    <w:basedOn w:val="1"/>
    <w:autoRedefine/>
    <w:qFormat/>
    <w:uiPriority w:val="0"/>
    <w:pPr>
      <w:adjustRightInd w:val="0"/>
      <w:snapToGrid w:val="0"/>
      <w:jc w:val="center"/>
    </w:pPr>
    <w:rPr>
      <w:rFonts w:eastAsia="仿宋_GB2312"/>
      <w:sz w:val="24"/>
    </w:rPr>
  </w:style>
  <w:style w:type="paragraph" w:customStyle="1" w:styleId="2424">
    <w:name w:val="黑体三号5"/>
    <w:basedOn w:val="403"/>
    <w:autoRedefine/>
    <w:qFormat/>
    <w:uiPriority w:val="0"/>
    <w:pPr>
      <w:jc w:val="center"/>
    </w:pPr>
    <w:rPr>
      <w:rFonts w:ascii="黑体" w:hAnsi="宋体" w:eastAsia="黑体"/>
      <w:b/>
      <w:bCs/>
      <w:sz w:val="32"/>
      <w:szCs w:val="20"/>
    </w:rPr>
  </w:style>
  <w:style w:type="paragraph" w:customStyle="1" w:styleId="2425">
    <w:name w:val="Char Char2 Char Char Char Char21"/>
    <w:basedOn w:val="1"/>
    <w:autoRedefine/>
    <w:semiHidden/>
    <w:qFormat/>
    <w:uiPriority w:val="0"/>
  </w:style>
  <w:style w:type="paragraph" w:customStyle="1" w:styleId="2426">
    <w:name w:val="Char131"/>
    <w:basedOn w:val="1"/>
    <w:autoRedefine/>
    <w:qFormat/>
    <w:uiPriority w:val="0"/>
    <w:pPr>
      <w:ind w:left="-48"/>
    </w:pPr>
  </w:style>
  <w:style w:type="paragraph" w:customStyle="1" w:styleId="2427">
    <w:name w:val="首行缩进:  0.99 厘米 + 首行缩进:  2 字符1"/>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428">
    <w:name w:val="图表名称1"/>
    <w:basedOn w:val="316"/>
    <w:autoRedefine/>
    <w:qFormat/>
    <w:uiPriority w:val="0"/>
    <w:pPr>
      <w:adjustRightInd w:val="0"/>
      <w:snapToGrid w:val="0"/>
      <w:spacing w:after="0" w:line="480" w:lineRule="exact"/>
      <w:ind w:firstLine="0" w:firstLineChars="0"/>
      <w:jc w:val="center"/>
    </w:pPr>
    <w:rPr>
      <w:bCs/>
      <w:kern w:val="2"/>
      <w:lang w:val="zh-CN"/>
    </w:rPr>
  </w:style>
  <w:style w:type="paragraph" w:customStyle="1" w:styleId="2429">
    <w:name w:val="表内文字边1"/>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430">
    <w:name w:val="正文缩1"/>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431">
    <w:name w:val="样式21"/>
    <w:basedOn w:val="1"/>
    <w:autoRedefine/>
    <w:qFormat/>
    <w:uiPriority w:val="0"/>
    <w:pPr>
      <w:adjustRightInd w:val="0"/>
      <w:spacing w:line="360" w:lineRule="auto"/>
      <w:jc w:val="center"/>
      <w:textAlignment w:val="baseline"/>
      <w:outlineLvl w:val="0"/>
    </w:pPr>
    <w:rPr>
      <w:kern w:val="0"/>
      <w:szCs w:val="20"/>
    </w:rPr>
  </w:style>
  <w:style w:type="paragraph" w:customStyle="1" w:styleId="2432">
    <w:name w:val="默认段落字体 Para Char Char Char Char Char1"/>
    <w:basedOn w:val="1"/>
    <w:autoRedefine/>
    <w:qFormat/>
    <w:uiPriority w:val="0"/>
  </w:style>
  <w:style w:type="paragraph" w:customStyle="1" w:styleId="2433">
    <w:name w:val="表内宋5中3"/>
    <w:basedOn w:val="1"/>
    <w:autoRedefine/>
    <w:qFormat/>
    <w:uiPriority w:val="0"/>
    <w:pPr>
      <w:adjustRightInd w:val="0"/>
      <w:snapToGrid w:val="0"/>
      <w:textAlignment w:val="baseline"/>
    </w:pPr>
    <w:rPr>
      <w:color w:val="000000"/>
      <w:kern w:val="0"/>
      <w:szCs w:val="20"/>
    </w:rPr>
  </w:style>
  <w:style w:type="paragraph" w:customStyle="1" w:styleId="2434">
    <w:name w:val="样式 标题 3 + 段前: 12 磅1"/>
    <w:basedOn w:val="7"/>
    <w:autoRedefine/>
    <w:qFormat/>
    <w:uiPriority w:val="0"/>
    <w:pPr>
      <w:keepNext w:val="0"/>
      <w:keepLines w:val="0"/>
      <w:widowControl/>
      <w:autoSpaceDE w:val="0"/>
      <w:autoSpaceDN w:val="0"/>
      <w:snapToGrid w:val="0"/>
      <w:spacing w:before="0" w:line="360" w:lineRule="auto"/>
      <w:jc w:val="both"/>
      <w:textAlignment w:val="auto"/>
    </w:pPr>
    <w:rPr>
      <w:rFonts w:ascii="黑体" w:hAnsi="宋体" w:cs="宋体"/>
      <w:color w:val="000000"/>
      <w:kern w:val="21"/>
      <w:sz w:val="24"/>
      <w:szCs w:val="20"/>
    </w:rPr>
  </w:style>
  <w:style w:type="paragraph" w:customStyle="1" w:styleId="2435">
    <w:name w:val="表内52"/>
    <w:basedOn w:val="1"/>
    <w:autoRedefine/>
    <w:qFormat/>
    <w:uiPriority w:val="0"/>
    <w:pPr>
      <w:adjustRightInd w:val="0"/>
      <w:snapToGrid w:val="0"/>
      <w:spacing w:line="300" w:lineRule="auto"/>
      <w:jc w:val="left"/>
    </w:pPr>
    <w:rPr>
      <w:rFonts w:ascii="宋体"/>
      <w:sz w:val="18"/>
      <w:szCs w:val="20"/>
    </w:rPr>
  </w:style>
  <w:style w:type="paragraph" w:customStyle="1" w:styleId="2436">
    <w:name w:val="表内宋51"/>
    <w:basedOn w:val="2165"/>
    <w:autoRedefine/>
    <w:qFormat/>
    <w:uiPriority w:val="0"/>
    <w:pPr>
      <w:widowControl/>
      <w:autoSpaceDE w:val="0"/>
      <w:autoSpaceDN w:val="0"/>
      <w:jc w:val="left"/>
      <w:textAlignment w:val="auto"/>
    </w:pPr>
    <w:rPr>
      <w:color w:val="auto"/>
      <w:w w:val="90"/>
    </w:rPr>
  </w:style>
  <w:style w:type="paragraph" w:customStyle="1" w:styleId="2437">
    <w:name w:val="Char Char Char Char1 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438">
    <w:name w:val="正文格式111"/>
    <w:basedOn w:val="1"/>
    <w:autoRedefine/>
    <w:qFormat/>
    <w:uiPriority w:val="0"/>
    <w:pPr>
      <w:spacing w:line="360" w:lineRule="auto"/>
      <w:ind w:firstLine="482"/>
    </w:pPr>
    <w:rPr>
      <w:rFonts w:ascii="宋体" w:hAnsi="宋体"/>
      <w:sz w:val="24"/>
    </w:rPr>
  </w:style>
  <w:style w:type="paragraph" w:customStyle="1" w:styleId="2439">
    <w:name w:val="图题11"/>
    <w:basedOn w:val="403"/>
    <w:next w:val="403"/>
    <w:autoRedefine/>
    <w:qFormat/>
    <w:uiPriority w:val="0"/>
    <w:pPr>
      <w:ind w:firstLine="0"/>
      <w:jc w:val="center"/>
    </w:pPr>
    <w:rPr>
      <w:rFonts w:ascii="黑体" w:hAnsi="宋体" w:eastAsia="黑体"/>
      <w:b/>
      <w:bCs/>
    </w:rPr>
  </w:style>
  <w:style w:type="paragraph" w:customStyle="1" w:styleId="2440">
    <w:name w:val="表格内字体12"/>
    <w:basedOn w:val="403"/>
    <w:next w:val="403"/>
    <w:autoRedefine/>
    <w:qFormat/>
    <w:uiPriority w:val="0"/>
    <w:pPr>
      <w:spacing w:line="240" w:lineRule="auto"/>
      <w:ind w:firstLine="0"/>
      <w:jc w:val="center"/>
    </w:pPr>
    <w:rPr>
      <w:rFonts w:hAnsi="宋体" w:cs="Times New Roman"/>
      <w:sz w:val="21"/>
    </w:rPr>
  </w:style>
  <w:style w:type="character" w:customStyle="1" w:styleId="2441">
    <w:name w:val="Char Char1111"/>
    <w:autoRedefine/>
    <w:qFormat/>
    <w:uiPriority w:val="0"/>
    <w:rPr>
      <w:rFonts w:ascii="黑体" w:hAnsi="Arial" w:eastAsia="黑体"/>
      <w:bCs/>
      <w:kern w:val="2"/>
      <w:sz w:val="30"/>
      <w:szCs w:val="30"/>
      <w:lang w:val="en-US" w:eastAsia="zh-CN" w:bidi="ar-SA"/>
    </w:rPr>
  </w:style>
  <w:style w:type="paragraph" w:customStyle="1" w:styleId="2442">
    <w:name w:val="Char141"/>
    <w:basedOn w:val="1"/>
    <w:autoRedefine/>
    <w:qFormat/>
    <w:uiPriority w:val="0"/>
    <w:pPr>
      <w:ind w:left="-48"/>
    </w:pPr>
  </w:style>
  <w:style w:type="paragraph" w:customStyle="1" w:styleId="2443">
    <w:name w:val="正文格式＝11"/>
    <w:basedOn w:val="403"/>
    <w:next w:val="403"/>
    <w:autoRedefine/>
    <w:qFormat/>
    <w:uiPriority w:val="0"/>
    <w:rPr>
      <w:rFonts w:hAnsi="宋体" w:cs="Times New Roman"/>
    </w:rPr>
  </w:style>
  <w:style w:type="paragraph" w:customStyle="1" w:styleId="2444">
    <w:name w:val="正文格式22"/>
    <w:basedOn w:val="1"/>
    <w:autoRedefine/>
    <w:qFormat/>
    <w:uiPriority w:val="0"/>
    <w:pPr>
      <w:spacing w:line="360" w:lineRule="auto"/>
      <w:ind w:firstLine="482"/>
    </w:pPr>
    <w:rPr>
      <w:rFonts w:ascii="宋体" w:hAnsi="宋体"/>
      <w:sz w:val="24"/>
    </w:rPr>
  </w:style>
  <w:style w:type="paragraph" w:customStyle="1" w:styleId="2445">
    <w:name w:val="Char151"/>
    <w:basedOn w:val="1"/>
    <w:autoRedefine/>
    <w:qFormat/>
    <w:uiPriority w:val="0"/>
    <w:pPr>
      <w:adjustRightInd w:val="0"/>
      <w:snapToGrid w:val="0"/>
      <w:spacing w:beforeLines="50" w:line="360" w:lineRule="auto"/>
    </w:pPr>
    <w:rPr>
      <w:rFonts w:ascii="黑体" w:eastAsia="黑体"/>
      <w:sz w:val="32"/>
      <w:szCs w:val="32"/>
    </w:rPr>
  </w:style>
  <w:style w:type="character" w:customStyle="1" w:styleId="2446">
    <w:name w:val="题注 Char11"/>
    <w:autoRedefine/>
    <w:qFormat/>
    <w:uiPriority w:val="0"/>
    <w:rPr>
      <w:rFonts w:ascii="黑体" w:hAnsi="Arial" w:eastAsia="黑体" w:cs="Arial"/>
      <w:b/>
      <w:kern w:val="2"/>
      <w:sz w:val="24"/>
      <w:szCs w:val="24"/>
      <w:lang w:val="en-US" w:eastAsia="zh-CN" w:bidi="ar-SA"/>
    </w:rPr>
  </w:style>
  <w:style w:type="paragraph" w:customStyle="1" w:styleId="2447">
    <w:name w:val="图题22"/>
    <w:basedOn w:val="403"/>
    <w:next w:val="403"/>
    <w:autoRedefine/>
    <w:qFormat/>
    <w:uiPriority w:val="0"/>
    <w:pPr>
      <w:ind w:firstLine="0"/>
      <w:jc w:val="center"/>
    </w:pPr>
    <w:rPr>
      <w:rFonts w:ascii="黑体" w:hAnsi="宋体" w:eastAsia="黑体"/>
      <w:b/>
      <w:bCs/>
    </w:rPr>
  </w:style>
  <w:style w:type="paragraph" w:customStyle="1" w:styleId="2448">
    <w:name w:val="表格内字体22"/>
    <w:basedOn w:val="403"/>
    <w:next w:val="403"/>
    <w:autoRedefine/>
    <w:qFormat/>
    <w:uiPriority w:val="0"/>
    <w:pPr>
      <w:spacing w:line="240" w:lineRule="auto"/>
      <w:ind w:firstLine="0"/>
      <w:jc w:val="center"/>
    </w:pPr>
    <w:rPr>
      <w:rFonts w:hAnsi="宋体" w:cs="Times New Roman"/>
      <w:sz w:val="21"/>
    </w:rPr>
  </w:style>
  <w:style w:type="paragraph" w:customStyle="1" w:styleId="2449">
    <w:name w:val="表内54111"/>
    <w:basedOn w:val="1"/>
    <w:autoRedefine/>
    <w:qFormat/>
    <w:uiPriority w:val="0"/>
    <w:pPr>
      <w:adjustRightInd w:val="0"/>
      <w:snapToGrid w:val="0"/>
      <w:spacing w:line="300" w:lineRule="auto"/>
      <w:jc w:val="center"/>
    </w:pPr>
    <w:rPr>
      <w:rFonts w:ascii="宋体" w:hAnsi="宋体" w:cs="宋体"/>
      <w:szCs w:val="20"/>
    </w:rPr>
  </w:style>
  <w:style w:type="paragraph" w:customStyle="1" w:styleId="2450">
    <w:name w:val="表内文字小2111"/>
    <w:basedOn w:val="1"/>
    <w:autoRedefine/>
    <w:qFormat/>
    <w:uiPriority w:val="0"/>
    <w:pPr>
      <w:adjustRightInd w:val="0"/>
      <w:snapToGrid w:val="0"/>
      <w:jc w:val="center"/>
    </w:pPr>
    <w:rPr>
      <w:rFonts w:ascii="宋体" w:hAnsi="Times"/>
      <w:bCs/>
      <w:color w:val="000000"/>
      <w:szCs w:val="20"/>
    </w:rPr>
  </w:style>
  <w:style w:type="paragraph" w:customStyle="1" w:styleId="2451">
    <w:name w:val="表题3111"/>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452">
    <w:name w:val="Char Char Char Char Char Char Char111"/>
    <w:basedOn w:val="1"/>
    <w:autoRedefine/>
    <w:qFormat/>
    <w:uiPriority w:val="0"/>
  </w:style>
  <w:style w:type="paragraph" w:customStyle="1" w:styleId="2453">
    <w:name w:val="标题43111"/>
    <w:basedOn w:val="1"/>
    <w:autoRedefine/>
    <w:qFormat/>
    <w:uiPriority w:val="0"/>
    <w:pPr>
      <w:adjustRightInd w:val="0"/>
      <w:snapToGrid w:val="0"/>
      <w:spacing w:line="480" w:lineRule="exact"/>
      <w:jc w:val="center"/>
    </w:pPr>
    <w:rPr>
      <w:rFonts w:ascii="宋体" w:hAnsi="宋体" w:cs="宋体"/>
      <w:sz w:val="24"/>
    </w:rPr>
  </w:style>
  <w:style w:type="paragraph" w:customStyle="1" w:styleId="2454">
    <w:name w:val="燕山正文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455">
    <w:name w:val="默认段落字体 Para Char Char Char Char11"/>
    <w:basedOn w:val="1"/>
    <w:autoRedefine/>
    <w:qFormat/>
    <w:uiPriority w:val="0"/>
  </w:style>
  <w:style w:type="paragraph" w:customStyle="1" w:styleId="2456">
    <w:name w:val="附件11"/>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2457">
    <w:name w:val="黑体三号11"/>
    <w:basedOn w:val="403"/>
    <w:autoRedefine/>
    <w:qFormat/>
    <w:uiPriority w:val="0"/>
    <w:pPr>
      <w:jc w:val="center"/>
    </w:pPr>
    <w:rPr>
      <w:rFonts w:ascii="黑体" w:hAnsi="宋体" w:eastAsia="黑体"/>
      <w:b/>
      <w:bCs/>
      <w:sz w:val="32"/>
      <w:szCs w:val="20"/>
    </w:rPr>
  </w:style>
  <w:style w:type="paragraph" w:customStyle="1" w:styleId="2458">
    <w:name w:val="表11"/>
    <w:basedOn w:val="1"/>
    <w:autoRedefine/>
    <w:qFormat/>
    <w:uiPriority w:val="0"/>
    <w:pPr>
      <w:adjustRightInd w:val="0"/>
      <w:snapToGrid w:val="0"/>
      <w:jc w:val="center"/>
    </w:pPr>
    <w:rPr>
      <w:rFonts w:eastAsia="仿宋_GB2312"/>
      <w:sz w:val="24"/>
    </w:rPr>
  </w:style>
  <w:style w:type="character" w:customStyle="1" w:styleId="2459">
    <w:name w:val="Char Char611"/>
    <w:autoRedefine/>
    <w:qFormat/>
    <w:uiPriority w:val="0"/>
    <w:rPr>
      <w:rFonts w:ascii="黑体" w:eastAsia="黑体"/>
      <w:b/>
      <w:bCs/>
      <w:kern w:val="2"/>
      <w:sz w:val="28"/>
      <w:szCs w:val="28"/>
      <w:lang w:val="en-US" w:eastAsia="zh-CN" w:bidi="ar-SA"/>
    </w:rPr>
  </w:style>
  <w:style w:type="paragraph" w:customStyle="1" w:styleId="2460">
    <w:name w:val="表题112"/>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2461">
    <w:name w:val="燕山正文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462">
    <w:name w:val="正文修改11"/>
    <w:basedOn w:val="2088"/>
    <w:autoRedefine/>
    <w:qFormat/>
    <w:uiPriority w:val="0"/>
    <w:rPr>
      <w:rFonts w:hAnsi="宋体"/>
      <w:color w:val="000000"/>
    </w:rPr>
  </w:style>
  <w:style w:type="character" w:customStyle="1" w:styleId="2463">
    <w:name w:val="正文修改 Char111"/>
    <w:autoRedefine/>
    <w:qFormat/>
    <w:uiPriority w:val="0"/>
    <w:rPr>
      <w:rFonts w:ascii="宋体" w:hAnsi="宋体" w:eastAsia="宋体" w:cs="宋体"/>
      <w:color w:val="000000"/>
      <w:sz w:val="24"/>
      <w:szCs w:val="24"/>
    </w:rPr>
  </w:style>
  <w:style w:type="paragraph" w:customStyle="1" w:styleId="2464">
    <w:name w:val="表中文字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465">
    <w:name w:val="表文字512"/>
    <w:basedOn w:val="1"/>
    <w:autoRedefine/>
    <w:qFormat/>
    <w:uiPriority w:val="0"/>
    <w:pPr>
      <w:adjustRightInd w:val="0"/>
      <w:jc w:val="left"/>
      <w:textAlignment w:val="baseline"/>
    </w:pPr>
    <w:rPr>
      <w:rFonts w:ascii="宋体"/>
      <w:kern w:val="0"/>
      <w:szCs w:val="20"/>
    </w:rPr>
  </w:style>
  <w:style w:type="paragraph" w:customStyle="1" w:styleId="2466">
    <w:name w:val="表内文字小3111"/>
    <w:basedOn w:val="1"/>
    <w:autoRedefine/>
    <w:qFormat/>
    <w:uiPriority w:val="0"/>
    <w:pPr>
      <w:adjustRightInd w:val="0"/>
      <w:snapToGrid w:val="0"/>
      <w:jc w:val="center"/>
    </w:pPr>
    <w:rPr>
      <w:rFonts w:ascii="宋体" w:hAnsi="Times" w:cs="宋体"/>
      <w:bCs/>
      <w:color w:val="003366"/>
      <w:szCs w:val="20"/>
    </w:rPr>
  </w:style>
  <w:style w:type="paragraph" w:customStyle="1" w:styleId="2467">
    <w:name w:val="正文格式＝21"/>
    <w:basedOn w:val="403"/>
    <w:next w:val="403"/>
    <w:autoRedefine/>
    <w:qFormat/>
    <w:uiPriority w:val="0"/>
    <w:rPr>
      <w:rFonts w:hAnsi="宋体" w:cs="Times New Roman"/>
    </w:rPr>
  </w:style>
  <w:style w:type="paragraph" w:customStyle="1" w:styleId="2468">
    <w:name w:val="Char211"/>
    <w:basedOn w:val="1"/>
    <w:autoRedefine/>
    <w:qFormat/>
    <w:uiPriority w:val="0"/>
    <w:pPr>
      <w:ind w:left="-48"/>
    </w:pPr>
  </w:style>
  <w:style w:type="paragraph" w:customStyle="1" w:styleId="2469">
    <w:name w:val="表内文字小23"/>
    <w:basedOn w:val="1"/>
    <w:autoRedefine/>
    <w:qFormat/>
    <w:uiPriority w:val="0"/>
    <w:pPr>
      <w:adjustRightInd w:val="0"/>
      <w:snapToGrid w:val="0"/>
      <w:jc w:val="center"/>
    </w:pPr>
    <w:rPr>
      <w:rFonts w:ascii="宋体" w:hAnsi="Times"/>
      <w:bCs/>
      <w:color w:val="000000"/>
      <w:szCs w:val="20"/>
    </w:rPr>
  </w:style>
  <w:style w:type="paragraph" w:customStyle="1" w:styleId="2470">
    <w:name w:val="表内532"/>
    <w:basedOn w:val="1"/>
    <w:autoRedefine/>
    <w:qFormat/>
    <w:uiPriority w:val="0"/>
    <w:pPr>
      <w:adjustRightInd w:val="0"/>
      <w:snapToGrid w:val="0"/>
      <w:spacing w:line="300" w:lineRule="auto"/>
      <w:jc w:val="left"/>
    </w:pPr>
    <w:rPr>
      <w:rFonts w:ascii="宋体"/>
      <w:szCs w:val="20"/>
    </w:rPr>
  </w:style>
  <w:style w:type="paragraph" w:customStyle="1" w:styleId="2471">
    <w:name w:val="正文格式31"/>
    <w:basedOn w:val="1"/>
    <w:autoRedefine/>
    <w:qFormat/>
    <w:uiPriority w:val="0"/>
    <w:pPr>
      <w:spacing w:line="360" w:lineRule="auto"/>
      <w:ind w:firstLine="482"/>
    </w:pPr>
    <w:rPr>
      <w:rFonts w:ascii="宋体" w:hAnsi="宋体"/>
      <w:sz w:val="24"/>
    </w:rPr>
  </w:style>
  <w:style w:type="paragraph" w:customStyle="1" w:styleId="2472">
    <w:name w:val="Char221"/>
    <w:basedOn w:val="1"/>
    <w:autoRedefine/>
    <w:qFormat/>
    <w:uiPriority w:val="0"/>
    <w:pPr>
      <w:adjustRightInd w:val="0"/>
      <w:snapToGrid w:val="0"/>
      <w:spacing w:beforeLines="50" w:line="360" w:lineRule="auto"/>
    </w:pPr>
    <w:rPr>
      <w:rFonts w:ascii="黑体" w:eastAsia="黑体"/>
      <w:sz w:val="32"/>
      <w:szCs w:val="32"/>
    </w:rPr>
  </w:style>
  <w:style w:type="character" w:customStyle="1" w:styleId="2473">
    <w:name w:val="题注 Char21"/>
    <w:autoRedefine/>
    <w:qFormat/>
    <w:uiPriority w:val="0"/>
    <w:rPr>
      <w:rFonts w:ascii="黑体" w:hAnsi="Arial" w:eastAsia="黑体" w:cs="Arial"/>
      <w:b/>
      <w:kern w:val="2"/>
      <w:sz w:val="24"/>
      <w:szCs w:val="24"/>
      <w:lang w:val="en-US" w:eastAsia="zh-CN" w:bidi="ar-SA"/>
    </w:rPr>
  </w:style>
  <w:style w:type="paragraph" w:customStyle="1" w:styleId="2474">
    <w:name w:val="图题31"/>
    <w:basedOn w:val="403"/>
    <w:next w:val="403"/>
    <w:autoRedefine/>
    <w:qFormat/>
    <w:uiPriority w:val="0"/>
    <w:pPr>
      <w:ind w:firstLine="0"/>
      <w:jc w:val="center"/>
    </w:pPr>
    <w:rPr>
      <w:rFonts w:ascii="黑体" w:hAnsi="宋体" w:eastAsia="黑体"/>
      <w:b/>
      <w:bCs/>
    </w:rPr>
  </w:style>
  <w:style w:type="paragraph" w:customStyle="1" w:styleId="2475">
    <w:name w:val="表格内字体31"/>
    <w:basedOn w:val="403"/>
    <w:next w:val="403"/>
    <w:autoRedefine/>
    <w:qFormat/>
    <w:uiPriority w:val="0"/>
    <w:pPr>
      <w:spacing w:line="240" w:lineRule="auto"/>
      <w:ind w:firstLine="0"/>
      <w:jc w:val="center"/>
    </w:pPr>
    <w:rPr>
      <w:rFonts w:hAnsi="宋体" w:cs="Times New Roman"/>
      <w:sz w:val="21"/>
    </w:rPr>
  </w:style>
  <w:style w:type="paragraph" w:customStyle="1" w:styleId="2476">
    <w:name w:val="表内54121"/>
    <w:basedOn w:val="1"/>
    <w:autoRedefine/>
    <w:qFormat/>
    <w:uiPriority w:val="0"/>
    <w:pPr>
      <w:adjustRightInd w:val="0"/>
      <w:snapToGrid w:val="0"/>
      <w:spacing w:line="300" w:lineRule="auto"/>
      <w:jc w:val="center"/>
    </w:pPr>
    <w:rPr>
      <w:rFonts w:ascii="宋体" w:hAnsi="宋体" w:cs="宋体"/>
      <w:szCs w:val="20"/>
    </w:rPr>
  </w:style>
  <w:style w:type="paragraph" w:customStyle="1" w:styleId="2477">
    <w:name w:val="表内文字小2121"/>
    <w:basedOn w:val="1"/>
    <w:autoRedefine/>
    <w:qFormat/>
    <w:uiPriority w:val="0"/>
    <w:pPr>
      <w:adjustRightInd w:val="0"/>
      <w:snapToGrid w:val="0"/>
      <w:jc w:val="center"/>
    </w:pPr>
    <w:rPr>
      <w:rFonts w:ascii="宋体" w:hAnsi="Times"/>
      <w:bCs/>
      <w:color w:val="000000"/>
      <w:szCs w:val="20"/>
    </w:rPr>
  </w:style>
  <w:style w:type="paragraph" w:customStyle="1" w:styleId="2478">
    <w:name w:val="表题3121"/>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479">
    <w:name w:val="Char Char Char Char Char Char Char41"/>
    <w:basedOn w:val="1"/>
    <w:autoRedefine/>
    <w:qFormat/>
    <w:uiPriority w:val="0"/>
  </w:style>
  <w:style w:type="paragraph" w:customStyle="1" w:styleId="2480">
    <w:name w:val="标题43121"/>
    <w:basedOn w:val="1"/>
    <w:autoRedefine/>
    <w:qFormat/>
    <w:uiPriority w:val="0"/>
    <w:pPr>
      <w:adjustRightInd w:val="0"/>
      <w:snapToGrid w:val="0"/>
      <w:spacing w:line="480" w:lineRule="exact"/>
      <w:jc w:val="center"/>
    </w:pPr>
    <w:rPr>
      <w:rFonts w:ascii="宋体" w:hAnsi="宋体" w:cs="宋体"/>
      <w:sz w:val="24"/>
    </w:rPr>
  </w:style>
  <w:style w:type="paragraph" w:customStyle="1" w:styleId="2481">
    <w:name w:val="燕山正文11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482">
    <w:name w:val="默认段落字体 Para Char Char Char Char21"/>
    <w:basedOn w:val="1"/>
    <w:autoRedefine/>
    <w:qFormat/>
    <w:uiPriority w:val="0"/>
  </w:style>
  <w:style w:type="paragraph" w:customStyle="1" w:styleId="2483">
    <w:name w:val="附件21"/>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2484">
    <w:name w:val="黑体三号21"/>
    <w:basedOn w:val="403"/>
    <w:autoRedefine/>
    <w:qFormat/>
    <w:uiPriority w:val="0"/>
    <w:pPr>
      <w:jc w:val="center"/>
    </w:pPr>
    <w:rPr>
      <w:rFonts w:ascii="黑体" w:hAnsi="宋体" w:eastAsia="黑体"/>
      <w:b/>
      <w:bCs/>
      <w:sz w:val="32"/>
      <w:szCs w:val="20"/>
    </w:rPr>
  </w:style>
  <w:style w:type="paragraph" w:customStyle="1" w:styleId="2485">
    <w:name w:val="表21"/>
    <w:basedOn w:val="1"/>
    <w:autoRedefine/>
    <w:qFormat/>
    <w:uiPriority w:val="0"/>
    <w:pPr>
      <w:adjustRightInd w:val="0"/>
      <w:snapToGrid w:val="0"/>
      <w:jc w:val="center"/>
    </w:pPr>
    <w:rPr>
      <w:rFonts w:eastAsia="仿宋_GB2312"/>
      <w:sz w:val="24"/>
    </w:rPr>
  </w:style>
  <w:style w:type="paragraph" w:customStyle="1" w:styleId="2486">
    <w:name w:val="表题121"/>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2487">
    <w:name w:val="燕山正文21"/>
    <w:basedOn w:val="1"/>
    <w:autoRedefine/>
    <w:qFormat/>
    <w:uiPriority w:val="0"/>
    <w:pPr>
      <w:tabs>
        <w:tab w:val="left" w:pos="4680"/>
      </w:tabs>
      <w:adjustRightInd w:val="0"/>
      <w:snapToGrid w:val="0"/>
      <w:spacing w:line="480" w:lineRule="exact"/>
    </w:pPr>
    <w:rPr>
      <w:rFonts w:ascii="宋体" w:cs="宋体"/>
      <w:sz w:val="24"/>
    </w:rPr>
  </w:style>
  <w:style w:type="paragraph" w:customStyle="1" w:styleId="2488">
    <w:name w:val="正文修改21"/>
    <w:basedOn w:val="2088"/>
    <w:autoRedefine/>
    <w:qFormat/>
    <w:uiPriority w:val="0"/>
    <w:rPr>
      <w:rFonts w:hAnsi="宋体"/>
      <w:color w:val="000000"/>
    </w:rPr>
  </w:style>
  <w:style w:type="character" w:customStyle="1" w:styleId="2489">
    <w:name w:val="正文修改 Char121"/>
    <w:autoRedefine/>
    <w:qFormat/>
    <w:uiPriority w:val="0"/>
    <w:rPr>
      <w:rFonts w:ascii="宋体" w:hAnsi="宋体" w:eastAsia="宋体" w:cs="宋体"/>
      <w:color w:val="000000"/>
      <w:sz w:val="24"/>
      <w:szCs w:val="24"/>
    </w:rPr>
  </w:style>
  <w:style w:type="paragraph" w:customStyle="1" w:styleId="2490">
    <w:name w:val="表中文字21"/>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491">
    <w:name w:val="表文字521"/>
    <w:basedOn w:val="1"/>
    <w:autoRedefine/>
    <w:qFormat/>
    <w:uiPriority w:val="0"/>
    <w:pPr>
      <w:adjustRightInd w:val="0"/>
      <w:jc w:val="left"/>
      <w:textAlignment w:val="baseline"/>
    </w:pPr>
    <w:rPr>
      <w:rFonts w:ascii="宋体"/>
      <w:kern w:val="0"/>
      <w:szCs w:val="20"/>
    </w:rPr>
  </w:style>
  <w:style w:type="paragraph" w:customStyle="1" w:styleId="2492">
    <w:name w:val="表内文字小3121"/>
    <w:basedOn w:val="1"/>
    <w:autoRedefine/>
    <w:qFormat/>
    <w:uiPriority w:val="0"/>
    <w:pPr>
      <w:adjustRightInd w:val="0"/>
      <w:snapToGrid w:val="0"/>
      <w:jc w:val="center"/>
    </w:pPr>
    <w:rPr>
      <w:rFonts w:ascii="宋体" w:hAnsi="Times" w:cs="宋体"/>
      <w:bCs/>
      <w:color w:val="003366"/>
      <w:szCs w:val="20"/>
    </w:rPr>
  </w:style>
  <w:style w:type="paragraph" w:customStyle="1" w:styleId="2493">
    <w:name w:val="样式121"/>
    <w:basedOn w:val="2137"/>
    <w:autoRedefine/>
    <w:qFormat/>
    <w:uiPriority w:val="0"/>
    <w:pPr>
      <w:spacing w:line="240" w:lineRule="auto"/>
      <w:ind w:firstLine="0"/>
      <w:jc w:val="center"/>
    </w:pPr>
    <w:rPr>
      <w:rFonts w:cs="Times New Roman"/>
      <w:b/>
      <w:color w:val="auto"/>
      <w:szCs w:val="20"/>
    </w:rPr>
  </w:style>
  <w:style w:type="paragraph" w:customStyle="1" w:styleId="2494">
    <w:name w:val="正文格式＝31"/>
    <w:basedOn w:val="403"/>
    <w:next w:val="403"/>
    <w:autoRedefine/>
    <w:qFormat/>
    <w:uiPriority w:val="0"/>
    <w:rPr>
      <w:rFonts w:hAnsi="宋体" w:cs="Times New Roman"/>
    </w:rPr>
  </w:style>
  <w:style w:type="paragraph" w:customStyle="1" w:styleId="2495">
    <w:name w:val="Char311"/>
    <w:basedOn w:val="1"/>
    <w:autoRedefine/>
    <w:qFormat/>
    <w:uiPriority w:val="0"/>
    <w:pPr>
      <w:ind w:left="-48"/>
    </w:pPr>
  </w:style>
  <w:style w:type="paragraph" w:customStyle="1" w:styleId="2496">
    <w:name w:val="表内文字小221"/>
    <w:basedOn w:val="1"/>
    <w:autoRedefine/>
    <w:qFormat/>
    <w:uiPriority w:val="0"/>
    <w:pPr>
      <w:adjustRightInd w:val="0"/>
      <w:snapToGrid w:val="0"/>
      <w:jc w:val="center"/>
    </w:pPr>
    <w:rPr>
      <w:rFonts w:ascii="宋体" w:hAnsi="Times"/>
      <w:bCs/>
      <w:color w:val="000000"/>
      <w:szCs w:val="20"/>
    </w:rPr>
  </w:style>
  <w:style w:type="paragraph" w:customStyle="1" w:styleId="2497">
    <w:name w:val="表内5311"/>
    <w:basedOn w:val="1"/>
    <w:autoRedefine/>
    <w:qFormat/>
    <w:uiPriority w:val="0"/>
    <w:pPr>
      <w:adjustRightInd w:val="0"/>
      <w:snapToGrid w:val="0"/>
      <w:spacing w:line="300" w:lineRule="auto"/>
      <w:jc w:val="left"/>
    </w:pPr>
    <w:rPr>
      <w:rFonts w:ascii="宋体"/>
      <w:szCs w:val="20"/>
    </w:rPr>
  </w:style>
  <w:style w:type="paragraph" w:customStyle="1" w:styleId="2498">
    <w:name w:val="正文格式211"/>
    <w:basedOn w:val="1"/>
    <w:autoRedefine/>
    <w:qFormat/>
    <w:uiPriority w:val="0"/>
    <w:pPr>
      <w:spacing w:line="360" w:lineRule="auto"/>
      <w:ind w:firstLine="482"/>
    </w:pPr>
    <w:rPr>
      <w:rFonts w:ascii="宋体" w:hAnsi="宋体"/>
      <w:sz w:val="24"/>
    </w:rPr>
  </w:style>
  <w:style w:type="paragraph" w:customStyle="1" w:styleId="2499">
    <w:name w:val="图题211"/>
    <w:basedOn w:val="403"/>
    <w:next w:val="403"/>
    <w:autoRedefine/>
    <w:qFormat/>
    <w:uiPriority w:val="0"/>
    <w:pPr>
      <w:ind w:firstLine="0"/>
      <w:jc w:val="center"/>
    </w:pPr>
    <w:rPr>
      <w:rFonts w:ascii="黑体" w:hAnsi="宋体" w:eastAsia="黑体"/>
      <w:b/>
      <w:bCs/>
    </w:rPr>
  </w:style>
  <w:style w:type="paragraph" w:customStyle="1" w:styleId="2500">
    <w:name w:val="表格内字体211"/>
    <w:basedOn w:val="403"/>
    <w:next w:val="403"/>
    <w:autoRedefine/>
    <w:qFormat/>
    <w:uiPriority w:val="0"/>
    <w:pPr>
      <w:spacing w:line="240" w:lineRule="auto"/>
      <w:ind w:firstLine="0"/>
      <w:jc w:val="center"/>
    </w:pPr>
    <w:rPr>
      <w:rFonts w:hAnsi="宋体" w:cs="Times New Roman"/>
      <w:sz w:val="21"/>
    </w:rPr>
  </w:style>
  <w:style w:type="paragraph" w:customStyle="1" w:styleId="2501">
    <w:name w:val="表题1111"/>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2502">
    <w:name w:val="表中文字1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503">
    <w:name w:val="表文字5111"/>
    <w:basedOn w:val="1"/>
    <w:autoRedefine/>
    <w:qFormat/>
    <w:uiPriority w:val="0"/>
    <w:pPr>
      <w:adjustRightInd w:val="0"/>
      <w:jc w:val="left"/>
      <w:textAlignment w:val="baseline"/>
    </w:pPr>
    <w:rPr>
      <w:rFonts w:ascii="宋体"/>
      <w:kern w:val="0"/>
      <w:szCs w:val="20"/>
    </w:rPr>
  </w:style>
  <w:style w:type="paragraph" w:customStyle="1" w:styleId="2504">
    <w:name w:val="正文格式41"/>
    <w:basedOn w:val="1"/>
    <w:autoRedefine/>
    <w:qFormat/>
    <w:uiPriority w:val="0"/>
    <w:pPr>
      <w:spacing w:line="360" w:lineRule="auto"/>
      <w:ind w:firstLine="482"/>
    </w:pPr>
    <w:rPr>
      <w:rFonts w:ascii="宋体" w:hAnsi="宋体"/>
      <w:sz w:val="24"/>
    </w:rPr>
  </w:style>
  <w:style w:type="paragraph" w:customStyle="1" w:styleId="2505">
    <w:name w:val="图题41"/>
    <w:basedOn w:val="403"/>
    <w:next w:val="403"/>
    <w:autoRedefine/>
    <w:qFormat/>
    <w:uiPriority w:val="0"/>
    <w:pPr>
      <w:ind w:firstLine="0"/>
      <w:jc w:val="center"/>
    </w:pPr>
    <w:rPr>
      <w:rFonts w:ascii="黑体" w:hAnsi="宋体" w:eastAsia="黑体"/>
      <w:b/>
      <w:bCs/>
    </w:rPr>
  </w:style>
  <w:style w:type="paragraph" w:customStyle="1" w:styleId="2506">
    <w:name w:val="表格内字体41"/>
    <w:basedOn w:val="403"/>
    <w:next w:val="403"/>
    <w:autoRedefine/>
    <w:qFormat/>
    <w:uiPriority w:val="0"/>
    <w:pPr>
      <w:spacing w:line="240" w:lineRule="auto"/>
      <w:ind w:firstLine="0"/>
      <w:jc w:val="center"/>
    </w:pPr>
    <w:rPr>
      <w:rFonts w:hAnsi="宋体" w:cs="Times New Roman"/>
      <w:sz w:val="21"/>
    </w:rPr>
  </w:style>
  <w:style w:type="paragraph" w:customStyle="1" w:styleId="2507">
    <w:name w:val="Char411"/>
    <w:basedOn w:val="1"/>
    <w:autoRedefine/>
    <w:qFormat/>
    <w:uiPriority w:val="0"/>
    <w:pPr>
      <w:ind w:left="-48"/>
    </w:pPr>
  </w:style>
  <w:style w:type="paragraph" w:customStyle="1" w:styleId="2508">
    <w:name w:val="正文格式＝41"/>
    <w:basedOn w:val="403"/>
    <w:next w:val="403"/>
    <w:autoRedefine/>
    <w:qFormat/>
    <w:uiPriority w:val="0"/>
    <w:rPr>
      <w:rFonts w:hAnsi="宋体" w:cs="Times New Roman"/>
    </w:rPr>
  </w:style>
  <w:style w:type="paragraph" w:customStyle="1" w:styleId="2509">
    <w:name w:val="表题131"/>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2510">
    <w:name w:val="默认段落字体 Para Char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511">
    <w:name w:val="23-47表名1"/>
    <w:basedOn w:val="1"/>
    <w:autoRedefine/>
    <w:qFormat/>
    <w:uiPriority w:val="0"/>
    <w:pPr>
      <w:spacing w:afterLines="50" w:line="440" w:lineRule="exact"/>
      <w:jc w:val="center"/>
    </w:pPr>
    <w:rPr>
      <w:rFonts w:ascii="宋体" w:hAnsi="宋体"/>
      <w:b/>
      <w:sz w:val="24"/>
    </w:rPr>
  </w:style>
  <w:style w:type="paragraph" w:customStyle="1" w:styleId="2512">
    <w:name w:val="xl241"/>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513">
    <w:name w:val="Char Char Char Char Char Char Char121"/>
    <w:basedOn w:val="1"/>
    <w:autoRedefine/>
    <w:qFormat/>
    <w:uiPriority w:val="0"/>
    <w:rPr>
      <w:szCs w:val="20"/>
    </w:rPr>
  </w:style>
  <w:style w:type="paragraph" w:customStyle="1" w:styleId="2514">
    <w:name w:val="Char51"/>
    <w:basedOn w:val="1"/>
    <w:autoRedefine/>
    <w:qFormat/>
    <w:uiPriority w:val="0"/>
    <w:pPr>
      <w:adjustRightInd w:val="0"/>
      <w:snapToGrid w:val="0"/>
      <w:ind w:left="-45"/>
    </w:pPr>
  </w:style>
  <w:style w:type="paragraph" w:customStyle="1" w:styleId="2515">
    <w:name w:val="燕山正文113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516">
    <w:name w:val="正文格式51"/>
    <w:basedOn w:val="1"/>
    <w:autoRedefine/>
    <w:qFormat/>
    <w:uiPriority w:val="0"/>
    <w:pPr>
      <w:spacing w:line="360" w:lineRule="auto"/>
      <w:ind w:firstLine="482"/>
    </w:pPr>
    <w:rPr>
      <w:rFonts w:ascii="宋体" w:hAnsi="宋体"/>
      <w:sz w:val="24"/>
    </w:rPr>
  </w:style>
  <w:style w:type="paragraph" w:customStyle="1" w:styleId="2517">
    <w:name w:val="Char321"/>
    <w:basedOn w:val="1"/>
    <w:autoRedefine/>
    <w:qFormat/>
    <w:uiPriority w:val="0"/>
    <w:pPr>
      <w:ind w:left="-48"/>
    </w:pPr>
  </w:style>
  <w:style w:type="character" w:customStyle="1" w:styleId="2518">
    <w:name w:val="题注 Char31"/>
    <w:autoRedefine/>
    <w:qFormat/>
    <w:uiPriority w:val="0"/>
    <w:rPr>
      <w:rFonts w:ascii="黑体" w:hAnsi="Arial" w:eastAsia="黑体" w:cs="Arial"/>
      <w:b/>
      <w:kern w:val="2"/>
      <w:sz w:val="24"/>
      <w:szCs w:val="24"/>
      <w:lang w:val="en-US" w:eastAsia="zh-CN" w:bidi="ar-SA"/>
    </w:rPr>
  </w:style>
  <w:style w:type="paragraph" w:customStyle="1" w:styleId="2519">
    <w:name w:val="图题51"/>
    <w:basedOn w:val="403"/>
    <w:next w:val="403"/>
    <w:autoRedefine/>
    <w:qFormat/>
    <w:uiPriority w:val="0"/>
    <w:pPr>
      <w:ind w:firstLine="0"/>
      <w:jc w:val="center"/>
    </w:pPr>
    <w:rPr>
      <w:rFonts w:ascii="黑体" w:hAnsi="宋体" w:eastAsia="黑体"/>
      <w:b/>
      <w:bCs/>
    </w:rPr>
  </w:style>
  <w:style w:type="paragraph" w:customStyle="1" w:styleId="2520">
    <w:name w:val="表格内字体51"/>
    <w:basedOn w:val="403"/>
    <w:next w:val="403"/>
    <w:autoRedefine/>
    <w:qFormat/>
    <w:uiPriority w:val="0"/>
    <w:pPr>
      <w:adjustRightInd w:val="0"/>
      <w:snapToGrid w:val="0"/>
      <w:spacing w:line="240" w:lineRule="auto"/>
      <w:ind w:firstLine="0"/>
    </w:pPr>
    <w:rPr>
      <w:rFonts w:hAnsi="宋体" w:cs="Times New Roman"/>
      <w:sz w:val="21"/>
    </w:rPr>
  </w:style>
  <w:style w:type="paragraph" w:customStyle="1" w:styleId="2521">
    <w:name w:val="表31"/>
    <w:basedOn w:val="1"/>
    <w:autoRedefine/>
    <w:qFormat/>
    <w:uiPriority w:val="0"/>
    <w:pPr>
      <w:adjustRightInd w:val="0"/>
      <w:snapToGrid w:val="0"/>
      <w:jc w:val="center"/>
    </w:pPr>
    <w:rPr>
      <w:rFonts w:eastAsia="仿宋_GB2312"/>
      <w:sz w:val="24"/>
    </w:rPr>
  </w:style>
  <w:style w:type="paragraph" w:customStyle="1" w:styleId="2522">
    <w:name w:val="正文.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523">
    <w:name w:val="文本框11"/>
    <w:basedOn w:val="1"/>
    <w:autoRedefine/>
    <w:qFormat/>
    <w:uiPriority w:val="0"/>
    <w:pPr>
      <w:adjustRightInd w:val="0"/>
      <w:snapToGrid w:val="0"/>
      <w:spacing w:after="6"/>
      <w:jc w:val="center"/>
    </w:pPr>
    <w:rPr>
      <w:rFonts w:eastAsia="仿宋_GB2312"/>
    </w:rPr>
  </w:style>
  <w:style w:type="paragraph" w:customStyle="1" w:styleId="2524">
    <w:name w:val="表内宋51111"/>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2525">
    <w:name w:val="表内文字小3131"/>
    <w:basedOn w:val="1"/>
    <w:autoRedefine/>
    <w:qFormat/>
    <w:uiPriority w:val="0"/>
    <w:pPr>
      <w:adjustRightInd w:val="0"/>
      <w:snapToGrid w:val="0"/>
      <w:jc w:val="center"/>
    </w:pPr>
    <w:rPr>
      <w:rFonts w:ascii="宋体" w:hAnsi="Times" w:cs="宋体"/>
      <w:bCs/>
      <w:color w:val="003366"/>
      <w:szCs w:val="20"/>
    </w:rPr>
  </w:style>
  <w:style w:type="paragraph" w:customStyle="1" w:styleId="2526">
    <w:name w:val="表文字531"/>
    <w:basedOn w:val="1"/>
    <w:autoRedefine/>
    <w:qFormat/>
    <w:uiPriority w:val="0"/>
    <w:pPr>
      <w:adjustRightInd w:val="0"/>
      <w:jc w:val="left"/>
      <w:textAlignment w:val="baseline"/>
    </w:pPr>
    <w:rPr>
      <w:rFonts w:ascii="宋体"/>
      <w:kern w:val="0"/>
      <w:szCs w:val="20"/>
    </w:rPr>
  </w:style>
  <w:style w:type="paragraph" w:customStyle="1" w:styleId="2527">
    <w:name w:val="正文211"/>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528">
    <w:name w:val="Char Char Char Char Char Char Char211"/>
    <w:basedOn w:val="1"/>
    <w:autoRedefine/>
    <w:qFormat/>
    <w:uiPriority w:val="0"/>
  </w:style>
  <w:style w:type="paragraph" w:customStyle="1" w:styleId="2529">
    <w:name w:val="表题3131"/>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530">
    <w:name w:val="表内文字小2131"/>
    <w:basedOn w:val="1"/>
    <w:autoRedefine/>
    <w:qFormat/>
    <w:uiPriority w:val="0"/>
    <w:pPr>
      <w:adjustRightInd w:val="0"/>
      <w:snapToGrid w:val="0"/>
      <w:jc w:val="center"/>
      <w:textAlignment w:val="baseline"/>
    </w:pPr>
    <w:rPr>
      <w:rFonts w:ascii="宋体" w:hAnsi="Times"/>
      <w:bCs/>
      <w:color w:val="000000"/>
      <w:szCs w:val="20"/>
    </w:rPr>
  </w:style>
  <w:style w:type="character" w:customStyle="1" w:styleId="2531">
    <w:name w:val="文档结构图 Char2"/>
    <w:autoRedefine/>
    <w:qFormat/>
    <w:uiPriority w:val="0"/>
    <w:rPr>
      <w:rFonts w:eastAsia="宋体"/>
      <w:kern w:val="2"/>
      <w:sz w:val="21"/>
      <w:szCs w:val="24"/>
      <w:shd w:val="clear" w:color="auto" w:fill="000080"/>
      <w:lang w:val="en-US" w:eastAsia="zh-CN" w:bidi="ar-SA"/>
    </w:rPr>
  </w:style>
  <w:style w:type="paragraph" w:customStyle="1" w:styleId="2532">
    <w:name w:val="燕山正文31"/>
    <w:basedOn w:val="1"/>
    <w:autoRedefine/>
    <w:qFormat/>
    <w:uiPriority w:val="0"/>
    <w:pPr>
      <w:tabs>
        <w:tab w:val="left" w:pos="4680"/>
      </w:tabs>
      <w:adjustRightInd w:val="0"/>
      <w:snapToGrid w:val="0"/>
      <w:spacing w:line="480" w:lineRule="exact"/>
    </w:pPr>
    <w:rPr>
      <w:rFonts w:ascii="宋体" w:cs="宋体"/>
      <w:sz w:val="24"/>
    </w:rPr>
  </w:style>
  <w:style w:type="paragraph" w:customStyle="1" w:styleId="2533">
    <w:name w:val="正文修改31"/>
    <w:basedOn w:val="2088"/>
    <w:autoRedefine/>
    <w:qFormat/>
    <w:uiPriority w:val="0"/>
    <w:rPr>
      <w:rFonts w:hAnsi="宋体"/>
      <w:color w:val="000000"/>
    </w:rPr>
  </w:style>
  <w:style w:type="character" w:customStyle="1" w:styleId="2534">
    <w:name w:val="正文修改 Char131"/>
    <w:autoRedefine/>
    <w:qFormat/>
    <w:uiPriority w:val="0"/>
    <w:rPr>
      <w:rFonts w:ascii="宋体" w:hAnsi="宋体" w:eastAsia="宋体" w:cs="宋体"/>
      <w:color w:val="000000"/>
      <w:sz w:val="24"/>
      <w:szCs w:val="24"/>
    </w:rPr>
  </w:style>
  <w:style w:type="paragraph" w:customStyle="1" w:styleId="2535">
    <w:name w:val="表题142"/>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536">
    <w:name w:val="表题1 Char41"/>
    <w:autoRedefine/>
    <w:qFormat/>
    <w:uiPriority w:val="0"/>
    <w:rPr>
      <w:rFonts w:ascii="黑体" w:hAnsi="Arial" w:eastAsia="黑体" w:cs="Arial"/>
      <w:b/>
      <w:kern w:val="2"/>
      <w:sz w:val="24"/>
      <w:szCs w:val="24"/>
      <w:lang w:val="en-US" w:eastAsia="zh-CN" w:bidi="ar-SA"/>
    </w:rPr>
  </w:style>
  <w:style w:type="paragraph" w:customStyle="1" w:styleId="2537">
    <w:name w:val="表中文字3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538">
    <w:name w:val="黑体三号31"/>
    <w:basedOn w:val="403"/>
    <w:autoRedefine/>
    <w:qFormat/>
    <w:uiPriority w:val="0"/>
    <w:pPr>
      <w:jc w:val="center"/>
    </w:pPr>
    <w:rPr>
      <w:rFonts w:ascii="黑体" w:hAnsi="宋体" w:eastAsia="黑体"/>
      <w:b/>
      <w:bCs/>
      <w:sz w:val="32"/>
      <w:szCs w:val="20"/>
    </w:rPr>
  </w:style>
  <w:style w:type="paragraph" w:customStyle="1" w:styleId="2539">
    <w:name w:val="默认段落字体 Para Char Char Char Char31"/>
    <w:basedOn w:val="1"/>
    <w:autoRedefine/>
    <w:qFormat/>
    <w:uiPriority w:val="0"/>
  </w:style>
  <w:style w:type="paragraph" w:customStyle="1" w:styleId="2540">
    <w:name w:val="表内54131"/>
    <w:basedOn w:val="1"/>
    <w:autoRedefine/>
    <w:qFormat/>
    <w:uiPriority w:val="0"/>
    <w:pPr>
      <w:adjustRightInd w:val="0"/>
      <w:snapToGrid w:val="0"/>
      <w:spacing w:line="300" w:lineRule="auto"/>
      <w:jc w:val="center"/>
    </w:pPr>
    <w:rPr>
      <w:rFonts w:ascii="宋体" w:hAnsi="宋体" w:cs="宋体"/>
      <w:szCs w:val="20"/>
    </w:rPr>
  </w:style>
  <w:style w:type="paragraph" w:customStyle="1" w:styleId="2541">
    <w:name w:val="Char61"/>
    <w:basedOn w:val="1"/>
    <w:autoRedefine/>
    <w:qFormat/>
    <w:uiPriority w:val="0"/>
    <w:pPr>
      <w:adjustRightInd w:val="0"/>
      <w:snapToGrid w:val="0"/>
      <w:spacing w:beforeLines="50" w:line="360" w:lineRule="auto"/>
    </w:pPr>
    <w:rPr>
      <w:rFonts w:ascii="黑体" w:eastAsia="黑体"/>
      <w:sz w:val="32"/>
      <w:szCs w:val="32"/>
    </w:rPr>
  </w:style>
  <w:style w:type="paragraph" w:customStyle="1" w:styleId="2542">
    <w:name w:val="表题2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543">
    <w:name w:val="表内宋5中1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544">
    <w:name w:val="表内宋5中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545">
    <w:name w:val="表内文字小111"/>
    <w:basedOn w:val="1"/>
    <w:autoRedefine/>
    <w:qFormat/>
    <w:uiPriority w:val="0"/>
    <w:pPr>
      <w:adjustRightInd w:val="0"/>
      <w:snapToGrid w:val="0"/>
    </w:pPr>
    <w:rPr>
      <w:rFonts w:ascii="宋体" w:hAnsi="Times" w:cs="宋体"/>
      <w:szCs w:val="20"/>
    </w:rPr>
  </w:style>
  <w:style w:type="paragraph" w:customStyle="1" w:styleId="2546">
    <w:name w:val="标题41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547">
    <w:name w:val="表题14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548">
    <w:name w:val="表内文字小81"/>
    <w:basedOn w:val="1"/>
    <w:autoRedefine/>
    <w:qFormat/>
    <w:uiPriority w:val="0"/>
    <w:pPr>
      <w:adjustRightInd w:val="0"/>
      <w:snapToGrid w:val="0"/>
      <w:jc w:val="center"/>
    </w:pPr>
    <w:rPr>
      <w:rFonts w:ascii="宋体" w:hAnsi="Times" w:cs="宋体"/>
      <w:szCs w:val="20"/>
    </w:rPr>
  </w:style>
  <w:style w:type="paragraph" w:customStyle="1" w:styleId="2549">
    <w:name w:val="默认段落字体 Para Char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550">
    <w:name w:val="正文格式61"/>
    <w:basedOn w:val="1"/>
    <w:autoRedefine/>
    <w:qFormat/>
    <w:uiPriority w:val="0"/>
    <w:pPr>
      <w:spacing w:line="360" w:lineRule="auto"/>
      <w:ind w:firstLine="482"/>
    </w:pPr>
    <w:rPr>
      <w:rFonts w:ascii="宋体" w:hAnsi="宋体"/>
      <w:sz w:val="24"/>
    </w:rPr>
  </w:style>
  <w:style w:type="paragraph" w:customStyle="1" w:styleId="2551">
    <w:name w:val="正文格式＝51"/>
    <w:basedOn w:val="403"/>
    <w:next w:val="403"/>
    <w:autoRedefine/>
    <w:qFormat/>
    <w:uiPriority w:val="0"/>
    <w:rPr>
      <w:rFonts w:hAnsi="宋体" w:cs="Times New Roman"/>
    </w:rPr>
  </w:style>
  <w:style w:type="character" w:customStyle="1" w:styleId="2552">
    <w:name w:val="河石1 Char21"/>
    <w:autoRedefine/>
    <w:qFormat/>
    <w:uiPriority w:val="0"/>
    <w:rPr>
      <w:rFonts w:ascii="黑体" w:hAnsi="宋体" w:eastAsia="黑体" w:cs="Times New Roman"/>
      <w:bCs/>
      <w:kern w:val="44"/>
      <w:sz w:val="32"/>
      <w:szCs w:val="32"/>
      <w:lang w:val="en-US" w:eastAsia="zh-CN" w:bidi="ar-SA"/>
    </w:rPr>
  </w:style>
  <w:style w:type="paragraph" w:customStyle="1" w:styleId="2553">
    <w:name w:val="附件31"/>
    <w:basedOn w:val="5"/>
    <w:next w:val="403"/>
    <w:autoRedefine/>
    <w:qFormat/>
    <w:uiPriority w:val="0"/>
    <w:pPr>
      <w:keepLines/>
      <w:overflowPunct/>
      <w:adjustRightInd w:val="0"/>
      <w:spacing w:before="0" w:after="0" w:line="360" w:lineRule="auto"/>
      <w:ind w:left="0" w:firstLine="0"/>
      <w:jc w:val="left"/>
    </w:pPr>
    <w:rPr>
      <w:rFonts w:ascii="黑体" w:hAnsi="宋体"/>
      <w:b w:val="0"/>
      <w:color w:val="auto"/>
      <w:sz w:val="32"/>
      <w:szCs w:val="32"/>
    </w:rPr>
  </w:style>
  <w:style w:type="paragraph" w:customStyle="1" w:styleId="2554">
    <w:name w:val="图题61"/>
    <w:basedOn w:val="403"/>
    <w:next w:val="403"/>
    <w:autoRedefine/>
    <w:qFormat/>
    <w:uiPriority w:val="0"/>
    <w:pPr>
      <w:ind w:firstLine="0"/>
      <w:jc w:val="center"/>
    </w:pPr>
    <w:rPr>
      <w:rFonts w:ascii="黑体" w:hAnsi="宋体" w:eastAsia="黑体"/>
      <w:b/>
      <w:bCs/>
      <w:kern w:val="0"/>
    </w:rPr>
  </w:style>
  <w:style w:type="character" w:customStyle="1" w:styleId="2555">
    <w:name w:val="图题 Char1"/>
    <w:autoRedefine/>
    <w:qFormat/>
    <w:uiPriority w:val="0"/>
    <w:rPr>
      <w:rFonts w:ascii="黑体" w:hAnsi="宋体" w:eastAsia="黑体" w:cs="宋体"/>
      <w:b/>
      <w:bCs/>
      <w:kern w:val="2"/>
      <w:sz w:val="24"/>
      <w:szCs w:val="24"/>
      <w:lang w:val="en-US" w:eastAsia="zh-CN" w:bidi="ar-SA"/>
    </w:rPr>
  </w:style>
  <w:style w:type="paragraph" w:customStyle="1" w:styleId="2556">
    <w:name w:val="表格内字体61"/>
    <w:basedOn w:val="403"/>
    <w:next w:val="403"/>
    <w:autoRedefine/>
    <w:qFormat/>
    <w:uiPriority w:val="0"/>
    <w:pPr>
      <w:spacing w:line="240" w:lineRule="auto"/>
      <w:ind w:firstLine="0"/>
      <w:jc w:val="center"/>
    </w:pPr>
    <w:rPr>
      <w:rFonts w:hAnsi="宋体" w:cs="Times New Roman"/>
      <w:sz w:val="21"/>
    </w:rPr>
  </w:style>
  <w:style w:type="paragraph" w:customStyle="1" w:styleId="2557">
    <w:name w:val="黑体三号41"/>
    <w:basedOn w:val="403"/>
    <w:autoRedefine/>
    <w:qFormat/>
    <w:uiPriority w:val="0"/>
    <w:pPr>
      <w:jc w:val="center"/>
    </w:pPr>
    <w:rPr>
      <w:rFonts w:ascii="黑体" w:hAnsi="宋体" w:eastAsia="黑体"/>
      <w:b/>
      <w:bCs/>
      <w:sz w:val="32"/>
      <w:szCs w:val="20"/>
    </w:rPr>
  </w:style>
  <w:style w:type="paragraph" w:customStyle="1" w:styleId="2558">
    <w:name w:val="默认段落字体 Para Char Char Char Char41"/>
    <w:basedOn w:val="1"/>
    <w:autoRedefine/>
    <w:qFormat/>
    <w:uiPriority w:val="0"/>
  </w:style>
  <w:style w:type="paragraph" w:customStyle="1" w:styleId="2559">
    <w:name w:val="图表题1"/>
    <w:basedOn w:val="403"/>
    <w:next w:val="403"/>
    <w:autoRedefine/>
    <w:qFormat/>
    <w:uiPriority w:val="0"/>
    <w:pPr>
      <w:ind w:firstLine="0"/>
      <w:jc w:val="center"/>
    </w:pPr>
    <w:rPr>
      <w:rFonts w:ascii="黑体" w:hAnsi="宋体" w:eastAsia="黑体"/>
      <w:b/>
      <w:bCs/>
    </w:rPr>
  </w:style>
  <w:style w:type="character" w:customStyle="1" w:styleId="2560">
    <w:name w:val="图表题 Char1"/>
    <w:autoRedefine/>
    <w:qFormat/>
    <w:uiPriority w:val="0"/>
    <w:rPr>
      <w:rFonts w:ascii="黑体" w:eastAsia="黑体" w:cs="宋体"/>
      <w:b/>
      <w:bCs/>
      <w:kern w:val="2"/>
      <w:sz w:val="24"/>
      <w:szCs w:val="24"/>
      <w:lang w:val="en-US" w:eastAsia="zh-CN" w:bidi="ar-SA"/>
    </w:rPr>
  </w:style>
  <w:style w:type="paragraph" w:customStyle="1" w:styleId="2561">
    <w:name w:val="样式 表格内字体 +1"/>
    <w:basedOn w:val="2085"/>
    <w:autoRedefine/>
    <w:qFormat/>
    <w:uiPriority w:val="0"/>
    <w:pPr>
      <w:spacing w:line="280" w:lineRule="exact"/>
      <w:ind w:firstLine="36"/>
      <w:jc w:val="both"/>
    </w:pPr>
    <w:rPr>
      <w:kern w:val="0"/>
    </w:rPr>
  </w:style>
  <w:style w:type="character" w:customStyle="1" w:styleId="2562">
    <w:name w:val="样式 表格内字体 + Char1"/>
    <w:autoRedefine/>
    <w:qFormat/>
    <w:uiPriority w:val="0"/>
  </w:style>
  <w:style w:type="paragraph" w:customStyle="1" w:styleId="2563">
    <w:name w:val="A正文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character" w:customStyle="1" w:styleId="2564">
    <w:name w:val="A正文 Char1"/>
    <w:autoRedefine/>
    <w:qFormat/>
    <w:uiPriority w:val="0"/>
    <w:rPr>
      <w:rFonts w:eastAsia="仿宋_GB2312"/>
      <w:kern w:val="2"/>
      <w:sz w:val="24"/>
      <w:szCs w:val="24"/>
      <w:lang w:val="en-US" w:eastAsia="zh-CN" w:bidi="ar-SA"/>
    </w:rPr>
  </w:style>
  <w:style w:type="paragraph" w:customStyle="1" w:styleId="2565">
    <w:name w:val="图题注1"/>
    <w:basedOn w:val="24"/>
    <w:autoRedefine/>
    <w:qFormat/>
    <w:uiPriority w:val="0"/>
    <w:pPr>
      <w:keepNext w:val="0"/>
      <w:widowControl w:val="0"/>
      <w:adjustRightInd/>
      <w:snapToGrid/>
      <w:spacing w:line="240" w:lineRule="auto"/>
    </w:pPr>
    <w:rPr>
      <w:rFonts w:ascii="黑体" w:hAnsi="Arial" w:eastAsia="黑体" w:cs="宋体"/>
      <w:bCs/>
      <w:kern w:val="2"/>
      <w:sz w:val="24"/>
      <w:szCs w:val="24"/>
      <w:lang w:val="en-US"/>
    </w:rPr>
  </w:style>
  <w:style w:type="character" w:customStyle="1" w:styleId="2566">
    <w:name w:val="图题注 Char1"/>
    <w:autoRedefine/>
    <w:qFormat/>
    <w:uiPriority w:val="0"/>
    <w:rPr>
      <w:rFonts w:ascii="黑体" w:hAnsi="Arial" w:eastAsia="黑体" w:cs="宋体"/>
      <w:b/>
      <w:bCs/>
      <w:kern w:val="2"/>
      <w:sz w:val="24"/>
      <w:szCs w:val="24"/>
      <w:lang w:val="en-US" w:eastAsia="zh-CN" w:bidi="ar-SA"/>
    </w:rPr>
  </w:style>
  <w:style w:type="paragraph" w:customStyle="1" w:styleId="2567">
    <w:name w:val="Char71"/>
    <w:basedOn w:val="1"/>
    <w:autoRedefine/>
    <w:qFormat/>
    <w:uiPriority w:val="0"/>
    <w:pPr>
      <w:ind w:left="-48"/>
    </w:pPr>
  </w:style>
  <w:style w:type="paragraph" w:customStyle="1" w:styleId="2568">
    <w:name w:val="表格内字体111"/>
    <w:basedOn w:val="403"/>
    <w:autoRedefine/>
    <w:qFormat/>
    <w:uiPriority w:val="0"/>
    <w:pPr>
      <w:spacing w:line="240" w:lineRule="auto"/>
      <w:ind w:firstLine="0"/>
      <w:jc w:val="center"/>
    </w:pPr>
    <w:rPr>
      <w:sz w:val="21"/>
      <w:szCs w:val="20"/>
    </w:rPr>
  </w:style>
  <w:style w:type="paragraph" w:customStyle="1" w:styleId="2569">
    <w:name w:val="Char Char2 Char Char Char Char31"/>
    <w:basedOn w:val="1"/>
    <w:autoRedefine/>
    <w:qFormat/>
    <w:uiPriority w:val="0"/>
  </w:style>
  <w:style w:type="paragraph" w:customStyle="1" w:styleId="2570">
    <w:name w:val="样式 正文缩进 + 宋体 黑色 首行缩进:  2 字符1"/>
    <w:basedOn w:val="8"/>
    <w:autoRedefine/>
    <w:qFormat/>
    <w:uiPriority w:val="0"/>
    <w:pPr>
      <w:spacing w:line="360" w:lineRule="auto"/>
      <w:ind w:firstLine="480"/>
      <w:jc w:val="left"/>
    </w:pPr>
    <w:rPr>
      <w:rFonts w:ascii="宋体" w:hAnsi="宋体" w:cs="宋体"/>
      <w:color w:val="FF00FF"/>
      <w:sz w:val="24"/>
    </w:rPr>
  </w:style>
  <w:style w:type="character" w:customStyle="1" w:styleId="2571">
    <w:name w:val="环评正文 Char1"/>
    <w:autoRedefine/>
    <w:qFormat/>
    <w:uiPriority w:val="0"/>
    <w:rPr>
      <w:rFonts w:eastAsia="宋体"/>
      <w:bCs/>
      <w:kern w:val="2"/>
      <w:sz w:val="24"/>
      <w:szCs w:val="24"/>
      <w:lang w:val="en-US" w:eastAsia="zh-CN" w:bidi="ar-SA"/>
    </w:rPr>
  </w:style>
  <w:style w:type="paragraph" w:customStyle="1" w:styleId="2572">
    <w:name w:val="注释1"/>
    <w:basedOn w:val="403"/>
    <w:next w:val="2"/>
    <w:autoRedefine/>
    <w:qFormat/>
    <w:uiPriority w:val="0"/>
    <w:pPr>
      <w:spacing w:before="120" w:after="120" w:line="240" w:lineRule="auto"/>
      <w:ind w:firstLine="200" w:firstLineChars="200"/>
    </w:pPr>
    <w:rPr>
      <w:sz w:val="21"/>
      <w:szCs w:val="20"/>
    </w:rPr>
  </w:style>
  <w:style w:type="paragraph" w:customStyle="1" w:styleId="2573">
    <w:name w:val="样式41"/>
    <w:basedOn w:val="2"/>
    <w:autoRedefine/>
    <w:qFormat/>
    <w:uiPriority w:val="0"/>
    <w:pPr>
      <w:widowControl w:val="0"/>
      <w:tabs>
        <w:tab w:val="left" w:pos="1820"/>
      </w:tabs>
      <w:spacing w:before="0" w:after="0" w:line="240" w:lineRule="atLeast"/>
      <w:ind w:right="0"/>
      <w:jc w:val="center"/>
    </w:pPr>
    <w:rPr>
      <w:rFonts w:eastAsia="幼圆"/>
      <w:sz w:val="21"/>
    </w:rPr>
  </w:style>
  <w:style w:type="paragraph" w:customStyle="1" w:styleId="2574">
    <w:name w:val="标题412"/>
    <w:basedOn w:val="9"/>
    <w:next w:val="1"/>
    <w:autoRedefine/>
    <w:qFormat/>
    <w:uiPriority w:val="0"/>
    <w:pPr>
      <w:spacing w:before="160" w:after="170" w:line="360" w:lineRule="auto"/>
    </w:pPr>
    <w:rPr>
      <w:rFonts w:ascii="黑体"/>
      <w:kern w:val="0"/>
      <w:sz w:val="24"/>
      <w:lang w:val="zh-CN"/>
    </w:rPr>
  </w:style>
  <w:style w:type="paragraph" w:customStyle="1" w:styleId="2575">
    <w:name w:val="表中文字41"/>
    <w:basedOn w:val="1"/>
    <w:autoRedefine/>
    <w:qFormat/>
    <w:uiPriority w:val="0"/>
    <w:pPr>
      <w:snapToGrid w:val="0"/>
      <w:spacing w:line="340" w:lineRule="exact"/>
      <w:ind w:firstLine="480" w:firstLineChars="200"/>
      <w:jc w:val="center"/>
    </w:pPr>
    <w:rPr>
      <w:rFonts w:ascii="Arial" w:hAnsi="Arial"/>
      <w:kern w:val="0"/>
      <w:sz w:val="20"/>
      <w:lang w:eastAsia="zh-TW"/>
    </w:rPr>
  </w:style>
  <w:style w:type="character" w:customStyle="1" w:styleId="2576">
    <w:name w:val="表中文字 Char1"/>
    <w:autoRedefine/>
    <w:qFormat/>
    <w:uiPriority w:val="0"/>
    <w:rPr>
      <w:rFonts w:ascii="Arial" w:hAnsi="Arial" w:eastAsia="宋体"/>
      <w:kern w:val="2"/>
      <w:sz w:val="24"/>
      <w:szCs w:val="24"/>
      <w:lang w:val="en-US" w:eastAsia="zh-TW" w:bidi="ar-SA"/>
    </w:rPr>
  </w:style>
  <w:style w:type="paragraph" w:customStyle="1" w:styleId="2577">
    <w:name w:val="样式 正文缩进 + 宋体 黑色1"/>
    <w:basedOn w:val="8"/>
    <w:autoRedefine/>
    <w:qFormat/>
    <w:uiPriority w:val="0"/>
    <w:pPr>
      <w:spacing w:line="360" w:lineRule="auto"/>
      <w:ind w:firstLine="200"/>
      <w:jc w:val="left"/>
    </w:pPr>
    <w:rPr>
      <w:rFonts w:ascii="宋体" w:hAnsi="宋体"/>
      <w:color w:val="000000"/>
      <w:sz w:val="24"/>
      <w:szCs w:val="24"/>
    </w:rPr>
  </w:style>
  <w:style w:type="character" w:customStyle="1" w:styleId="2578">
    <w:name w:val="样式 正文缩进 + 宋体 黑色 Char1"/>
    <w:autoRedefine/>
    <w:qFormat/>
    <w:uiPriority w:val="0"/>
    <w:rPr>
      <w:rFonts w:ascii="宋体" w:hAnsi="宋体" w:eastAsia="宋体"/>
      <w:color w:val="000000"/>
      <w:kern w:val="2"/>
      <w:sz w:val="24"/>
      <w:szCs w:val="24"/>
      <w:lang w:val="en-US" w:eastAsia="zh-CN" w:bidi="ar-SA"/>
    </w:rPr>
  </w:style>
  <w:style w:type="paragraph" w:customStyle="1" w:styleId="2579">
    <w:name w:val="表内511"/>
    <w:basedOn w:val="1"/>
    <w:autoRedefine/>
    <w:qFormat/>
    <w:uiPriority w:val="0"/>
    <w:pPr>
      <w:adjustRightInd w:val="0"/>
      <w:snapToGrid w:val="0"/>
      <w:jc w:val="center"/>
    </w:pPr>
    <w:rPr>
      <w:rFonts w:ascii="宋体" w:hAnsi="宋体"/>
      <w:kern w:val="0"/>
      <w:sz w:val="20"/>
      <w:szCs w:val="20"/>
    </w:rPr>
  </w:style>
  <w:style w:type="character" w:customStyle="1" w:styleId="2580">
    <w:name w:val="表内5 Char1"/>
    <w:autoRedefine/>
    <w:qFormat/>
    <w:uiPriority w:val="0"/>
    <w:rPr>
      <w:rFonts w:ascii="宋体" w:hAnsi="宋体" w:eastAsia="宋体" w:cs="Times New Roman"/>
      <w:kern w:val="2"/>
      <w:sz w:val="24"/>
      <w:szCs w:val="24"/>
      <w:lang w:val="en-US" w:eastAsia="zh-CN" w:bidi="ar-SA"/>
    </w:rPr>
  </w:style>
  <w:style w:type="paragraph" w:customStyle="1" w:styleId="2581">
    <w:name w:val="样式 样式 宋体 + 首行缩进:  2 字符11"/>
    <w:basedOn w:val="1"/>
    <w:autoRedefine/>
    <w:qFormat/>
    <w:uiPriority w:val="0"/>
    <w:pPr>
      <w:spacing w:line="360" w:lineRule="auto"/>
      <w:ind w:firstLine="480" w:firstLineChars="200"/>
      <w:jc w:val="left"/>
    </w:pPr>
    <w:rPr>
      <w:rFonts w:ascii="宋体" w:cs="宋体"/>
      <w:sz w:val="24"/>
    </w:rPr>
  </w:style>
  <w:style w:type="paragraph" w:customStyle="1" w:styleId="2582">
    <w:name w:val="表内宋5中21"/>
    <w:basedOn w:val="1"/>
    <w:autoRedefine/>
    <w:qFormat/>
    <w:uiPriority w:val="0"/>
    <w:pPr>
      <w:adjustRightInd w:val="0"/>
      <w:snapToGrid w:val="0"/>
      <w:jc w:val="center"/>
      <w:textAlignment w:val="baseline"/>
    </w:pPr>
    <w:rPr>
      <w:rFonts w:ascii="宋体" w:hAnsi="宋体"/>
      <w:kern w:val="0"/>
      <w:szCs w:val="20"/>
    </w:rPr>
  </w:style>
  <w:style w:type="paragraph" w:customStyle="1" w:styleId="2583">
    <w:name w:val="xl631"/>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2584">
    <w:name w:val="标准1"/>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2585">
    <w:name w:val="Fax Header1"/>
    <w:basedOn w:val="1"/>
    <w:autoRedefine/>
    <w:qFormat/>
    <w:uiPriority w:val="0"/>
    <w:pPr>
      <w:widowControl/>
      <w:spacing w:before="240" w:after="60"/>
      <w:jc w:val="left"/>
    </w:pPr>
    <w:rPr>
      <w:kern w:val="0"/>
      <w:sz w:val="20"/>
      <w:szCs w:val="20"/>
    </w:rPr>
  </w:style>
  <w:style w:type="paragraph" w:customStyle="1" w:styleId="2586">
    <w:name w:val="样式 表格内字体1 +1"/>
    <w:basedOn w:val="2173"/>
    <w:next w:val="2085"/>
    <w:autoRedefine/>
    <w:qFormat/>
    <w:uiPriority w:val="0"/>
    <w:rPr>
      <w:rFonts w:hAnsi="Times New Roman" w:cs="宋体"/>
      <w:szCs w:val="20"/>
    </w:rPr>
  </w:style>
  <w:style w:type="paragraph" w:customStyle="1" w:styleId="2587">
    <w:name w:val="默认段落字体 Para Char31"/>
    <w:basedOn w:val="1"/>
    <w:autoRedefine/>
    <w:qFormat/>
    <w:uiPriority w:val="0"/>
    <w:pPr>
      <w:spacing w:line="360" w:lineRule="auto"/>
      <w:ind w:firstLine="200" w:firstLineChars="200"/>
    </w:pPr>
    <w:rPr>
      <w:rFonts w:ascii="宋体" w:hAnsi="宋体" w:cs="宋体"/>
      <w:sz w:val="24"/>
    </w:rPr>
  </w:style>
  <w:style w:type="paragraph" w:customStyle="1" w:styleId="2588">
    <w:name w:val="正文斜体1"/>
    <w:basedOn w:val="403"/>
    <w:next w:val="403"/>
    <w:autoRedefine/>
    <w:qFormat/>
    <w:uiPriority w:val="0"/>
    <w:rPr>
      <w:rFonts w:hAnsi="宋体" w:cs="Times New Roman"/>
      <w:i/>
      <w:iCs/>
    </w:rPr>
  </w:style>
  <w:style w:type="character" w:customStyle="1" w:styleId="2589">
    <w:name w:val="正文斜体 Char1"/>
    <w:autoRedefine/>
    <w:qFormat/>
    <w:uiPriority w:val="0"/>
    <w:rPr>
      <w:rFonts w:ascii="宋体" w:eastAsia="宋体" w:cs="宋体"/>
      <w:i/>
      <w:iCs/>
      <w:kern w:val="2"/>
      <w:sz w:val="24"/>
      <w:szCs w:val="24"/>
      <w:lang w:val="en-US" w:eastAsia="zh-CN" w:bidi="ar-SA"/>
    </w:rPr>
  </w:style>
  <w:style w:type="paragraph" w:customStyle="1" w:styleId="2590">
    <w:name w:val="Char Char2 Char Char Char Char111"/>
    <w:basedOn w:val="1"/>
    <w:autoRedefine/>
    <w:qFormat/>
    <w:uiPriority w:val="0"/>
  </w:style>
  <w:style w:type="paragraph" w:customStyle="1" w:styleId="2591">
    <w:name w:val="Char81"/>
    <w:basedOn w:val="1"/>
    <w:autoRedefine/>
    <w:qFormat/>
    <w:uiPriority w:val="0"/>
    <w:pPr>
      <w:ind w:left="-48"/>
    </w:pPr>
  </w:style>
  <w:style w:type="paragraph" w:customStyle="1" w:styleId="2592">
    <w:name w:val="正文格式71"/>
    <w:basedOn w:val="1"/>
    <w:autoRedefine/>
    <w:qFormat/>
    <w:uiPriority w:val="0"/>
    <w:pPr>
      <w:spacing w:line="360" w:lineRule="auto"/>
      <w:ind w:firstLine="482"/>
    </w:pPr>
    <w:rPr>
      <w:rFonts w:ascii="宋体" w:hAnsi="宋体"/>
      <w:sz w:val="24"/>
    </w:rPr>
  </w:style>
  <w:style w:type="character" w:customStyle="1" w:styleId="2593">
    <w:name w:val="题注 Char51"/>
    <w:autoRedefine/>
    <w:qFormat/>
    <w:uiPriority w:val="0"/>
    <w:rPr>
      <w:rFonts w:ascii="黑体" w:hAnsi="Arial" w:eastAsia="黑体" w:cs="Arial"/>
      <w:b/>
      <w:kern w:val="2"/>
      <w:sz w:val="24"/>
      <w:szCs w:val="24"/>
      <w:lang w:val="en-US" w:eastAsia="zh-CN" w:bidi="ar-SA"/>
    </w:rPr>
  </w:style>
  <w:style w:type="paragraph" w:customStyle="1" w:styleId="2594">
    <w:name w:val="图题71"/>
    <w:basedOn w:val="403"/>
    <w:next w:val="403"/>
    <w:autoRedefine/>
    <w:qFormat/>
    <w:uiPriority w:val="0"/>
    <w:pPr>
      <w:ind w:firstLine="0"/>
      <w:jc w:val="center"/>
    </w:pPr>
    <w:rPr>
      <w:rFonts w:ascii="黑体" w:hAnsi="宋体" w:eastAsia="黑体"/>
      <w:b/>
      <w:bCs/>
    </w:rPr>
  </w:style>
  <w:style w:type="paragraph" w:customStyle="1" w:styleId="2595">
    <w:name w:val="表格内字体71"/>
    <w:basedOn w:val="403"/>
    <w:next w:val="403"/>
    <w:autoRedefine/>
    <w:qFormat/>
    <w:uiPriority w:val="0"/>
    <w:pPr>
      <w:spacing w:line="240" w:lineRule="auto"/>
      <w:ind w:firstLine="0"/>
      <w:jc w:val="center"/>
    </w:pPr>
    <w:rPr>
      <w:rFonts w:hAnsi="宋体" w:cs="Times New Roman"/>
      <w:sz w:val="21"/>
    </w:rPr>
  </w:style>
  <w:style w:type="paragraph" w:customStyle="1" w:styleId="2596">
    <w:name w:val="正文格式＝61"/>
    <w:basedOn w:val="403"/>
    <w:next w:val="403"/>
    <w:autoRedefine/>
    <w:qFormat/>
    <w:uiPriority w:val="0"/>
    <w:rPr>
      <w:rFonts w:hAnsi="宋体" w:cs="Times New Roman"/>
    </w:rPr>
  </w:style>
  <w:style w:type="character" w:customStyle="1" w:styleId="2597">
    <w:name w:val="表题1 Char61"/>
    <w:autoRedefine/>
    <w:qFormat/>
    <w:uiPriority w:val="0"/>
    <w:rPr>
      <w:rFonts w:ascii="黑体" w:hAnsi="Arial" w:eastAsia="黑体" w:cs="Arial"/>
      <w:b/>
      <w:kern w:val="2"/>
      <w:sz w:val="24"/>
      <w:szCs w:val="24"/>
      <w:lang w:val="en-US" w:eastAsia="zh-CN" w:bidi="ar-SA"/>
    </w:rPr>
  </w:style>
  <w:style w:type="paragraph" w:customStyle="1" w:styleId="2598">
    <w:name w:val="燕山正文41"/>
    <w:basedOn w:val="1"/>
    <w:autoRedefine/>
    <w:qFormat/>
    <w:uiPriority w:val="0"/>
    <w:pPr>
      <w:tabs>
        <w:tab w:val="left" w:pos="4680"/>
      </w:tabs>
      <w:adjustRightInd w:val="0"/>
      <w:snapToGrid w:val="0"/>
      <w:spacing w:line="480" w:lineRule="exact"/>
    </w:pPr>
    <w:rPr>
      <w:rFonts w:ascii="宋体" w:cs="宋体"/>
      <w:sz w:val="24"/>
    </w:rPr>
  </w:style>
  <w:style w:type="paragraph" w:customStyle="1" w:styleId="2599">
    <w:name w:val="正文修改41"/>
    <w:basedOn w:val="2088"/>
    <w:autoRedefine/>
    <w:qFormat/>
    <w:uiPriority w:val="0"/>
    <w:rPr>
      <w:rFonts w:hAnsi="宋体"/>
      <w:color w:val="000000"/>
    </w:rPr>
  </w:style>
  <w:style w:type="character" w:customStyle="1" w:styleId="2600">
    <w:name w:val="正文修改 Char141"/>
    <w:autoRedefine/>
    <w:qFormat/>
    <w:uiPriority w:val="0"/>
  </w:style>
  <w:style w:type="paragraph" w:customStyle="1" w:styleId="2601">
    <w:name w:val="表中文字5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602">
    <w:name w:val="默认段落字体 Para Char Char Char Char51"/>
    <w:basedOn w:val="1"/>
    <w:autoRedefine/>
    <w:qFormat/>
    <w:uiPriority w:val="0"/>
  </w:style>
  <w:style w:type="paragraph" w:customStyle="1" w:styleId="2603">
    <w:name w:val="Char101"/>
    <w:basedOn w:val="1"/>
    <w:autoRedefine/>
    <w:qFormat/>
    <w:uiPriority w:val="0"/>
    <w:pPr>
      <w:adjustRightInd w:val="0"/>
      <w:snapToGrid w:val="0"/>
      <w:spacing w:line="360" w:lineRule="auto"/>
    </w:pPr>
  </w:style>
  <w:style w:type="paragraph" w:customStyle="1" w:styleId="2604">
    <w:name w:val="表内5中11"/>
    <w:basedOn w:val="1"/>
    <w:autoRedefine/>
    <w:qFormat/>
    <w:uiPriority w:val="0"/>
    <w:pPr>
      <w:adjustRightInd w:val="0"/>
      <w:snapToGrid w:val="0"/>
      <w:jc w:val="center"/>
    </w:pPr>
    <w:rPr>
      <w:rFonts w:ascii="宋体" w:hAnsi="宋体" w:cs="Arial"/>
      <w:snapToGrid w:val="0"/>
      <w:color w:val="000000"/>
      <w:szCs w:val="21"/>
    </w:rPr>
  </w:style>
  <w:style w:type="paragraph" w:customStyle="1" w:styleId="2605">
    <w:name w:val="表内54141"/>
    <w:basedOn w:val="1"/>
    <w:autoRedefine/>
    <w:qFormat/>
    <w:uiPriority w:val="0"/>
    <w:pPr>
      <w:adjustRightInd w:val="0"/>
      <w:snapToGrid w:val="0"/>
      <w:spacing w:line="300" w:lineRule="auto"/>
      <w:jc w:val="center"/>
    </w:pPr>
    <w:rPr>
      <w:rFonts w:ascii="宋体" w:hAnsi="宋体" w:cs="宋体"/>
      <w:szCs w:val="20"/>
    </w:rPr>
  </w:style>
  <w:style w:type="paragraph" w:customStyle="1" w:styleId="2606">
    <w:name w:val="表内文字小12"/>
    <w:basedOn w:val="1"/>
    <w:autoRedefine/>
    <w:qFormat/>
    <w:uiPriority w:val="0"/>
    <w:pPr>
      <w:adjustRightInd w:val="0"/>
      <w:snapToGrid w:val="0"/>
      <w:jc w:val="center"/>
    </w:pPr>
    <w:rPr>
      <w:rFonts w:ascii="宋体" w:hAnsi="Times"/>
      <w:szCs w:val="20"/>
    </w:rPr>
  </w:style>
  <w:style w:type="paragraph" w:customStyle="1" w:styleId="2607">
    <w:name w:val="默认段落字体 Para Char4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08">
    <w:name w:val="正文格式81"/>
    <w:basedOn w:val="1"/>
    <w:autoRedefine/>
    <w:qFormat/>
    <w:uiPriority w:val="0"/>
    <w:pPr>
      <w:spacing w:line="360" w:lineRule="auto"/>
      <w:ind w:firstLine="482"/>
    </w:pPr>
    <w:rPr>
      <w:rFonts w:ascii="宋体" w:hAnsi="宋体"/>
      <w:sz w:val="24"/>
    </w:rPr>
  </w:style>
  <w:style w:type="paragraph" w:customStyle="1" w:styleId="2609">
    <w:name w:val="正文格式91"/>
    <w:basedOn w:val="1"/>
    <w:autoRedefine/>
    <w:qFormat/>
    <w:uiPriority w:val="0"/>
    <w:pPr>
      <w:spacing w:line="360" w:lineRule="auto"/>
      <w:ind w:firstLine="482"/>
    </w:pPr>
    <w:rPr>
      <w:rFonts w:ascii="宋体" w:hAnsi="宋体"/>
      <w:sz w:val="24"/>
    </w:rPr>
  </w:style>
  <w:style w:type="paragraph" w:customStyle="1" w:styleId="2610">
    <w:name w:val="Char421"/>
    <w:basedOn w:val="1"/>
    <w:autoRedefine/>
    <w:qFormat/>
    <w:uiPriority w:val="0"/>
    <w:pPr>
      <w:ind w:left="-48"/>
    </w:pPr>
  </w:style>
  <w:style w:type="paragraph" w:customStyle="1" w:styleId="2611">
    <w:name w:val="Char Char Char Char Char Char Char5"/>
    <w:basedOn w:val="1"/>
    <w:autoRedefine/>
    <w:qFormat/>
    <w:uiPriority w:val="0"/>
  </w:style>
  <w:style w:type="paragraph" w:customStyle="1" w:styleId="2612">
    <w:name w:val="Char Char2 Char Char Char Char4"/>
    <w:basedOn w:val="1"/>
    <w:autoRedefine/>
    <w:qFormat/>
    <w:uiPriority w:val="0"/>
  </w:style>
  <w:style w:type="paragraph" w:customStyle="1" w:styleId="2613">
    <w:name w:val="Char161"/>
    <w:basedOn w:val="1"/>
    <w:autoRedefine/>
    <w:qFormat/>
    <w:uiPriority w:val="0"/>
    <w:pPr>
      <w:ind w:left="-48"/>
    </w:pPr>
  </w:style>
  <w:style w:type="paragraph" w:customStyle="1" w:styleId="2614">
    <w:name w:val="Char Char Char Char1 Char Char Char21"/>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2615">
    <w:name w:val="Char Char1121"/>
    <w:autoRedefine/>
    <w:qFormat/>
    <w:uiPriority w:val="0"/>
    <w:rPr>
      <w:rFonts w:ascii="黑体" w:hAnsi="Arial" w:eastAsia="黑体"/>
      <w:bCs/>
      <w:kern w:val="2"/>
      <w:sz w:val="30"/>
      <w:szCs w:val="30"/>
      <w:lang w:val="en-US" w:eastAsia="zh-CN" w:bidi="ar-SA"/>
    </w:rPr>
  </w:style>
  <w:style w:type="paragraph" w:customStyle="1" w:styleId="2616">
    <w:name w:val="Char Char Char Char Char Char Char131"/>
    <w:basedOn w:val="1"/>
    <w:autoRedefine/>
    <w:qFormat/>
    <w:uiPriority w:val="0"/>
  </w:style>
  <w:style w:type="character" w:customStyle="1" w:styleId="2617">
    <w:name w:val="Char Char621"/>
    <w:autoRedefine/>
    <w:qFormat/>
    <w:uiPriority w:val="0"/>
    <w:rPr>
      <w:rFonts w:ascii="黑体" w:eastAsia="黑体"/>
      <w:b/>
      <w:bCs/>
      <w:kern w:val="2"/>
      <w:sz w:val="28"/>
      <w:szCs w:val="28"/>
      <w:lang w:val="en-US" w:eastAsia="zh-CN" w:bidi="ar-SA"/>
    </w:rPr>
  </w:style>
  <w:style w:type="paragraph" w:customStyle="1" w:styleId="2618">
    <w:name w:val="Char231"/>
    <w:basedOn w:val="1"/>
    <w:autoRedefine/>
    <w:qFormat/>
    <w:uiPriority w:val="0"/>
    <w:pPr>
      <w:ind w:left="-48"/>
    </w:pPr>
  </w:style>
  <w:style w:type="paragraph" w:customStyle="1" w:styleId="2619">
    <w:name w:val="Char331"/>
    <w:basedOn w:val="1"/>
    <w:autoRedefine/>
    <w:qFormat/>
    <w:uiPriority w:val="0"/>
    <w:pPr>
      <w:ind w:left="-48"/>
    </w:pPr>
  </w:style>
  <w:style w:type="paragraph" w:customStyle="1" w:styleId="2620">
    <w:name w:val="Char Char Char Char Char Char Char221"/>
    <w:basedOn w:val="1"/>
    <w:autoRedefine/>
    <w:qFormat/>
    <w:uiPriority w:val="0"/>
  </w:style>
  <w:style w:type="paragraph" w:customStyle="1" w:styleId="2621">
    <w:name w:val="Char431"/>
    <w:basedOn w:val="1"/>
    <w:autoRedefine/>
    <w:qFormat/>
    <w:uiPriority w:val="0"/>
    <w:pPr>
      <w:ind w:left="-48"/>
    </w:pPr>
  </w:style>
  <w:style w:type="character" w:customStyle="1" w:styleId="2622">
    <w:name w:val="表格内容 Char1"/>
    <w:autoRedefine/>
    <w:qFormat/>
    <w:uiPriority w:val="0"/>
    <w:rPr>
      <w:rFonts w:eastAsia="宋体"/>
      <w:kern w:val="2"/>
      <w:sz w:val="21"/>
      <w:szCs w:val="21"/>
      <w:lang w:val="en-US" w:eastAsia="zh-CN" w:bidi="ar-SA"/>
    </w:rPr>
  </w:style>
  <w:style w:type="character" w:customStyle="1" w:styleId="2623">
    <w:name w:val="标题 1 Char3"/>
    <w:autoRedefine/>
    <w:qFormat/>
    <w:uiPriority w:val="0"/>
    <w:rPr>
      <w:rFonts w:ascii="黑体" w:hAnsi="宋体" w:eastAsia="黑体" w:cs="Times New Roman"/>
      <w:bCs/>
      <w:kern w:val="44"/>
      <w:sz w:val="32"/>
      <w:szCs w:val="32"/>
      <w:lang w:val="en-US" w:eastAsia="zh-CN" w:bidi="ar-SA"/>
    </w:rPr>
  </w:style>
  <w:style w:type="character" w:customStyle="1" w:styleId="2624">
    <w:name w:val="页脚 Char2"/>
    <w:autoRedefine/>
    <w:qFormat/>
    <w:uiPriority w:val="0"/>
    <w:rPr>
      <w:rFonts w:ascii="Times New Roman" w:hAnsi="Times New Roman" w:eastAsia="宋体" w:cs="Times New Roman"/>
      <w:kern w:val="2"/>
      <w:sz w:val="18"/>
      <w:szCs w:val="18"/>
      <w:lang w:val="en-US" w:eastAsia="zh-CN" w:bidi="ar-SA"/>
    </w:rPr>
  </w:style>
  <w:style w:type="paragraph" w:customStyle="1" w:styleId="2625">
    <w:name w:val="正文格式82"/>
    <w:basedOn w:val="1"/>
    <w:autoRedefine/>
    <w:qFormat/>
    <w:uiPriority w:val="0"/>
    <w:pPr>
      <w:spacing w:line="360" w:lineRule="auto"/>
      <w:ind w:firstLine="482"/>
    </w:pPr>
    <w:rPr>
      <w:rFonts w:ascii="宋体" w:hAnsi="宋体"/>
      <w:sz w:val="24"/>
    </w:rPr>
  </w:style>
  <w:style w:type="paragraph" w:customStyle="1" w:styleId="2626">
    <w:name w:val="正文格式12"/>
    <w:basedOn w:val="1"/>
    <w:autoRedefine/>
    <w:qFormat/>
    <w:uiPriority w:val="0"/>
    <w:pPr>
      <w:spacing w:line="360" w:lineRule="auto"/>
      <w:ind w:firstLine="482"/>
    </w:pPr>
    <w:rPr>
      <w:rFonts w:ascii="宋体" w:hAnsi="宋体"/>
      <w:sz w:val="24"/>
    </w:rPr>
  </w:style>
  <w:style w:type="paragraph" w:customStyle="1" w:styleId="2627">
    <w:name w:val="图题9"/>
    <w:basedOn w:val="403"/>
    <w:next w:val="403"/>
    <w:autoRedefine/>
    <w:qFormat/>
    <w:uiPriority w:val="0"/>
    <w:pPr>
      <w:ind w:firstLine="0"/>
      <w:jc w:val="center"/>
    </w:pPr>
    <w:rPr>
      <w:rFonts w:ascii="黑体" w:hAnsi="宋体" w:eastAsia="黑体"/>
      <w:b/>
      <w:bCs/>
    </w:rPr>
  </w:style>
  <w:style w:type="paragraph" w:customStyle="1" w:styleId="2628">
    <w:name w:val="表格内字体9"/>
    <w:basedOn w:val="403"/>
    <w:next w:val="403"/>
    <w:autoRedefine/>
    <w:qFormat/>
    <w:uiPriority w:val="0"/>
    <w:pPr>
      <w:spacing w:line="240" w:lineRule="auto"/>
      <w:ind w:firstLine="0"/>
      <w:jc w:val="center"/>
    </w:pPr>
    <w:rPr>
      <w:rFonts w:hAnsi="宋体" w:cs="Times New Roman"/>
      <w:sz w:val="21"/>
    </w:rPr>
  </w:style>
  <w:style w:type="character" w:customStyle="1" w:styleId="2629">
    <w:name w:val="表格内字体 Char9"/>
    <w:autoRedefine/>
    <w:qFormat/>
    <w:uiPriority w:val="0"/>
    <w:rPr>
      <w:rFonts w:ascii="宋体" w:hAnsi="宋体" w:eastAsia="宋体"/>
      <w:kern w:val="2"/>
      <w:sz w:val="21"/>
      <w:szCs w:val="24"/>
      <w:lang w:val="en-US" w:eastAsia="zh-CN" w:bidi="ar-SA"/>
    </w:rPr>
  </w:style>
  <w:style w:type="character" w:customStyle="1" w:styleId="2630">
    <w:name w:val="正文格式 Char11"/>
    <w:autoRedefine/>
    <w:qFormat/>
    <w:uiPriority w:val="0"/>
    <w:rPr>
      <w:rFonts w:ascii="宋体" w:hAnsi="宋体" w:eastAsia="宋体"/>
      <w:kern w:val="2"/>
      <w:sz w:val="24"/>
      <w:szCs w:val="24"/>
      <w:lang w:val="en-US" w:eastAsia="zh-CN" w:bidi="ar-SA"/>
    </w:rPr>
  </w:style>
  <w:style w:type="character" w:customStyle="1" w:styleId="2631">
    <w:name w:val="标题 2 Char6"/>
    <w:autoRedefine/>
    <w:qFormat/>
    <w:uiPriority w:val="0"/>
    <w:rPr>
      <w:rFonts w:ascii="黑体" w:hAnsi="Arial" w:eastAsia="黑体"/>
      <w:b/>
      <w:bCs/>
      <w:kern w:val="2"/>
      <w:sz w:val="30"/>
      <w:szCs w:val="30"/>
      <w:lang w:val="en-US" w:eastAsia="zh-CN" w:bidi="ar-SA"/>
    </w:rPr>
  </w:style>
  <w:style w:type="character" w:customStyle="1" w:styleId="2632">
    <w:name w:val="标题 3 Char13"/>
    <w:autoRedefine/>
    <w:qFormat/>
    <w:uiPriority w:val="0"/>
    <w:rPr>
      <w:rFonts w:ascii="黑体" w:hAnsi="宋体" w:eastAsia="黑体"/>
      <w:b/>
      <w:bCs/>
      <w:kern w:val="2"/>
      <w:sz w:val="28"/>
      <w:szCs w:val="28"/>
      <w:lang w:val="en-US" w:eastAsia="zh-CN" w:bidi="ar-SA"/>
    </w:rPr>
  </w:style>
  <w:style w:type="paragraph" w:customStyle="1" w:styleId="2633">
    <w:name w:val="正文格式＝8"/>
    <w:basedOn w:val="403"/>
    <w:next w:val="403"/>
    <w:autoRedefine/>
    <w:qFormat/>
    <w:uiPriority w:val="0"/>
    <w:rPr>
      <w:rFonts w:hAnsi="宋体" w:cs="Times New Roman"/>
    </w:rPr>
  </w:style>
  <w:style w:type="paragraph" w:customStyle="1" w:styleId="2634">
    <w:name w:val="表题17"/>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635">
    <w:name w:val="表题1 Char8"/>
    <w:autoRedefine/>
    <w:qFormat/>
    <w:uiPriority w:val="0"/>
    <w:rPr>
      <w:rFonts w:ascii="黑体" w:hAnsi="Arial" w:eastAsia="黑体" w:cs="Arial"/>
      <w:b/>
      <w:kern w:val="2"/>
      <w:sz w:val="24"/>
      <w:szCs w:val="24"/>
      <w:lang w:val="en-US" w:eastAsia="zh-CN" w:bidi="ar-SA"/>
    </w:rPr>
  </w:style>
  <w:style w:type="paragraph" w:customStyle="1" w:styleId="2636">
    <w:name w:val="默认段落字体 Para Char6"/>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37">
    <w:name w:val="23-47表名2"/>
    <w:basedOn w:val="1"/>
    <w:autoRedefine/>
    <w:qFormat/>
    <w:uiPriority w:val="0"/>
    <w:pPr>
      <w:spacing w:afterLines="50" w:line="440" w:lineRule="exact"/>
      <w:jc w:val="center"/>
    </w:pPr>
    <w:rPr>
      <w:rFonts w:ascii="宋体" w:hAnsi="宋体"/>
      <w:b/>
      <w:sz w:val="24"/>
    </w:rPr>
  </w:style>
  <w:style w:type="paragraph" w:customStyle="1" w:styleId="2638">
    <w:name w:val="xl242"/>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639">
    <w:name w:val="Char Char Char Char Char Char Char6"/>
    <w:basedOn w:val="1"/>
    <w:autoRedefine/>
    <w:qFormat/>
    <w:uiPriority w:val="0"/>
    <w:rPr>
      <w:szCs w:val="20"/>
    </w:rPr>
  </w:style>
  <w:style w:type="paragraph" w:customStyle="1" w:styleId="2640">
    <w:name w:val="燕山正文115"/>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2641">
    <w:name w:val="批注框文本 Char6"/>
    <w:autoRedefine/>
    <w:qFormat/>
    <w:uiPriority w:val="0"/>
    <w:rPr>
      <w:rFonts w:eastAsia="宋体"/>
      <w:kern w:val="2"/>
      <w:sz w:val="18"/>
      <w:szCs w:val="18"/>
      <w:lang w:val="en-US" w:eastAsia="zh-CN" w:bidi="ar-SA"/>
    </w:rPr>
  </w:style>
  <w:style w:type="paragraph" w:customStyle="1" w:styleId="2642">
    <w:name w:val="附件5"/>
    <w:basedOn w:val="5"/>
    <w:next w:val="403"/>
    <w:autoRedefine/>
    <w:qFormat/>
    <w:uiPriority w:val="0"/>
    <w:pPr>
      <w:keepLines/>
      <w:overflowPunct/>
      <w:snapToGrid/>
      <w:spacing w:before="0" w:after="0" w:line="360" w:lineRule="auto"/>
      <w:ind w:left="0" w:firstLine="0"/>
      <w:jc w:val="left"/>
    </w:pPr>
    <w:rPr>
      <w:rFonts w:ascii="黑体" w:hAnsi="宋体"/>
      <w:color w:val="auto"/>
      <w:sz w:val="32"/>
      <w:szCs w:val="32"/>
    </w:rPr>
  </w:style>
  <w:style w:type="character" w:customStyle="1" w:styleId="2643">
    <w:name w:val="正文缩进 Char31"/>
    <w:autoRedefine/>
    <w:qFormat/>
    <w:uiPriority w:val="0"/>
    <w:rPr>
      <w:rFonts w:ascii="宋体" w:hAnsi="宋体" w:eastAsia="宋体" w:cs="宋体"/>
      <w:color w:val="000000"/>
      <w:kern w:val="2"/>
      <w:sz w:val="24"/>
      <w:szCs w:val="24"/>
      <w:lang w:val="en-US" w:eastAsia="zh-CN" w:bidi="ar-SA"/>
    </w:rPr>
  </w:style>
  <w:style w:type="paragraph" w:customStyle="1" w:styleId="2644">
    <w:name w:val="标题4314"/>
    <w:basedOn w:val="1"/>
    <w:autoRedefine/>
    <w:qFormat/>
    <w:uiPriority w:val="0"/>
    <w:pPr>
      <w:adjustRightInd w:val="0"/>
      <w:snapToGrid w:val="0"/>
      <w:spacing w:line="480" w:lineRule="exact"/>
      <w:jc w:val="center"/>
    </w:pPr>
    <w:rPr>
      <w:rFonts w:ascii="宋体" w:hAnsi="宋体" w:cs="宋体"/>
      <w:sz w:val="24"/>
    </w:rPr>
  </w:style>
  <w:style w:type="paragraph" w:customStyle="1" w:styleId="2645">
    <w:name w:val="表题412"/>
    <w:basedOn w:val="36"/>
    <w:autoRedefine/>
    <w:qFormat/>
    <w:uiPriority w:val="0"/>
    <w:pPr>
      <w:tabs>
        <w:tab w:val="left" w:pos="4305"/>
      </w:tabs>
      <w:adjustRightInd w:val="0"/>
      <w:snapToGrid w:val="0"/>
      <w:spacing w:after="0" w:line="360" w:lineRule="auto"/>
      <w:ind w:left="0" w:leftChars="0" w:firstLine="561"/>
    </w:pPr>
    <w:rPr>
      <w:rFonts w:ascii="宋体" w:hAnsi="宋体" w:cs="宋体"/>
      <w:color w:val="000000"/>
      <w:kern w:val="2"/>
      <w:szCs w:val="24"/>
    </w:rPr>
  </w:style>
  <w:style w:type="paragraph" w:customStyle="1" w:styleId="2646">
    <w:name w:val="表内5416"/>
    <w:basedOn w:val="1"/>
    <w:autoRedefine/>
    <w:qFormat/>
    <w:uiPriority w:val="0"/>
    <w:pPr>
      <w:adjustRightInd w:val="0"/>
      <w:snapToGrid w:val="0"/>
      <w:spacing w:line="300" w:lineRule="auto"/>
      <w:jc w:val="center"/>
    </w:pPr>
    <w:rPr>
      <w:rFonts w:ascii="宋体" w:hAnsi="宋体" w:cs="宋体"/>
      <w:szCs w:val="20"/>
    </w:rPr>
  </w:style>
  <w:style w:type="paragraph" w:customStyle="1" w:styleId="2647">
    <w:name w:val="表内文字小215"/>
    <w:basedOn w:val="1"/>
    <w:autoRedefine/>
    <w:qFormat/>
    <w:uiPriority w:val="0"/>
    <w:pPr>
      <w:adjustRightInd w:val="0"/>
      <w:snapToGrid w:val="0"/>
      <w:jc w:val="center"/>
    </w:pPr>
    <w:rPr>
      <w:rFonts w:ascii="宋体" w:hAnsi="Times"/>
      <w:bCs/>
      <w:color w:val="000000"/>
      <w:szCs w:val="20"/>
    </w:rPr>
  </w:style>
  <w:style w:type="paragraph" w:customStyle="1" w:styleId="2648">
    <w:name w:val="表题315"/>
    <w:basedOn w:val="36"/>
    <w:autoRedefine/>
    <w:qFormat/>
    <w:uiPriority w:val="0"/>
    <w:pPr>
      <w:tabs>
        <w:tab w:val="left" w:pos="4305"/>
      </w:tabs>
      <w:adjustRightInd w:val="0"/>
      <w:snapToGrid w:val="0"/>
      <w:spacing w:after="0" w:line="360" w:lineRule="auto"/>
      <w:ind w:left="0" w:leftChars="0" w:firstLine="561"/>
    </w:pPr>
    <w:rPr>
      <w:rFonts w:ascii="宋体" w:hAnsi="宋体" w:cs="宋体"/>
      <w:color w:val="000000"/>
      <w:kern w:val="2"/>
      <w:szCs w:val="24"/>
    </w:rPr>
  </w:style>
  <w:style w:type="paragraph" w:customStyle="1" w:styleId="2649">
    <w:name w:val="Char Char Char Char Char Char Char7"/>
    <w:basedOn w:val="1"/>
    <w:autoRedefine/>
    <w:qFormat/>
    <w:uiPriority w:val="0"/>
  </w:style>
  <w:style w:type="character" w:customStyle="1" w:styleId="2650">
    <w:name w:val="正文文本缩进 2 Char2"/>
    <w:autoRedefine/>
    <w:qFormat/>
    <w:uiPriority w:val="0"/>
    <w:rPr>
      <w:rFonts w:eastAsia="宋体"/>
      <w:kern w:val="2"/>
      <w:sz w:val="21"/>
      <w:szCs w:val="24"/>
      <w:lang w:val="en-US" w:eastAsia="zh-CN" w:bidi="ar-SA"/>
    </w:rPr>
  </w:style>
  <w:style w:type="paragraph" w:customStyle="1" w:styleId="2651">
    <w:name w:val="正文23"/>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652">
    <w:name w:val="表文字55"/>
    <w:basedOn w:val="1"/>
    <w:autoRedefine/>
    <w:qFormat/>
    <w:uiPriority w:val="0"/>
    <w:pPr>
      <w:adjustRightInd w:val="0"/>
      <w:jc w:val="left"/>
      <w:textAlignment w:val="baseline"/>
    </w:pPr>
    <w:rPr>
      <w:rFonts w:ascii="宋体"/>
      <w:kern w:val="0"/>
      <w:szCs w:val="20"/>
    </w:rPr>
  </w:style>
  <w:style w:type="paragraph" w:customStyle="1" w:styleId="2653">
    <w:name w:val="表内文字小315"/>
    <w:basedOn w:val="1"/>
    <w:autoRedefine/>
    <w:qFormat/>
    <w:uiPriority w:val="0"/>
    <w:pPr>
      <w:adjustRightInd w:val="0"/>
      <w:snapToGrid w:val="0"/>
      <w:jc w:val="center"/>
    </w:pPr>
    <w:rPr>
      <w:rFonts w:ascii="宋体" w:hAnsi="Times" w:cs="宋体"/>
      <w:bCs/>
      <w:color w:val="003366"/>
      <w:szCs w:val="20"/>
    </w:rPr>
  </w:style>
  <w:style w:type="paragraph" w:customStyle="1" w:styleId="2654">
    <w:name w:val="表内宋5113"/>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character" w:customStyle="1" w:styleId="2655">
    <w:name w:val="正文首行缩进 Char2"/>
    <w:autoRedefine/>
    <w:qFormat/>
    <w:uiPriority w:val="0"/>
    <w:rPr>
      <w:rFonts w:eastAsia="宋体"/>
      <w:kern w:val="2"/>
      <w:sz w:val="24"/>
      <w:szCs w:val="24"/>
      <w:lang w:val="en-US" w:eastAsia="zh-CN" w:bidi="ar-SA"/>
    </w:rPr>
  </w:style>
  <w:style w:type="paragraph" w:customStyle="1" w:styleId="2656">
    <w:name w:val="文本框3"/>
    <w:basedOn w:val="1"/>
    <w:autoRedefine/>
    <w:qFormat/>
    <w:uiPriority w:val="0"/>
    <w:pPr>
      <w:adjustRightInd w:val="0"/>
      <w:snapToGrid w:val="0"/>
      <w:spacing w:after="6"/>
      <w:jc w:val="center"/>
    </w:pPr>
    <w:rPr>
      <w:rFonts w:eastAsia="仿宋_GB2312"/>
    </w:rPr>
  </w:style>
  <w:style w:type="paragraph" w:customStyle="1" w:styleId="2657">
    <w:name w:val="正文.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658">
    <w:name w:val="表5"/>
    <w:basedOn w:val="1"/>
    <w:autoRedefine/>
    <w:qFormat/>
    <w:uiPriority w:val="0"/>
    <w:pPr>
      <w:adjustRightInd w:val="0"/>
      <w:snapToGrid w:val="0"/>
      <w:jc w:val="center"/>
    </w:pPr>
    <w:rPr>
      <w:rFonts w:eastAsia="仿宋_GB2312"/>
      <w:sz w:val="24"/>
    </w:rPr>
  </w:style>
  <w:style w:type="paragraph" w:customStyle="1" w:styleId="2659">
    <w:name w:val="默认段落字体 Para Char Char Char Char7"/>
    <w:basedOn w:val="1"/>
    <w:autoRedefine/>
    <w:qFormat/>
    <w:uiPriority w:val="0"/>
  </w:style>
  <w:style w:type="paragraph" w:customStyle="1" w:styleId="2660">
    <w:name w:val="黑体三号6"/>
    <w:basedOn w:val="403"/>
    <w:autoRedefine/>
    <w:qFormat/>
    <w:uiPriority w:val="0"/>
    <w:pPr>
      <w:jc w:val="center"/>
    </w:pPr>
    <w:rPr>
      <w:rFonts w:ascii="黑体" w:hAnsi="宋体" w:eastAsia="黑体"/>
      <w:b/>
      <w:bCs/>
      <w:sz w:val="32"/>
      <w:szCs w:val="20"/>
    </w:rPr>
  </w:style>
  <w:style w:type="paragraph" w:customStyle="1" w:styleId="2661">
    <w:name w:val="Char Char2 Char Char Char Char5"/>
    <w:basedOn w:val="1"/>
    <w:autoRedefine/>
    <w:qFormat/>
    <w:uiPriority w:val="0"/>
  </w:style>
  <w:style w:type="character" w:customStyle="1" w:styleId="2662">
    <w:name w:val="正文文本缩进 3 Char4"/>
    <w:autoRedefine/>
    <w:qFormat/>
    <w:uiPriority w:val="0"/>
    <w:rPr>
      <w:rFonts w:eastAsia="宋体"/>
      <w:kern w:val="2"/>
      <w:sz w:val="16"/>
      <w:szCs w:val="16"/>
      <w:lang w:val="en-US" w:eastAsia="zh-CN" w:bidi="ar-SA"/>
    </w:rPr>
  </w:style>
  <w:style w:type="paragraph" w:customStyle="1" w:styleId="2663">
    <w:name w:val="燕山正文6"/>
    <w:basedOn w:val="1"/>
    <w:autoRedefine/>
    <w:qFormat/>
    <w:uiPriority w:val="0"/>
    <w:pPr>
      <w:tabs>
        <w:tab w:val="left" w:pos="4680"/>
      </w:tabs>
      <w:adjustRightInd w:val="0"/>
      <w:snapToGrid w:val="0"/>
      <w:spacing w:line="480" w:lineRule="exact"/>
    </w:pPr>
    <w:rPr>
      <w:rFonts w:ascii="宋体" w:cs="宋体"/>
      <w:sz w:val="24"/>
    </w:rPr>
  </w:style>
  <w:style w:type="character" w:customStyle="1" w:styleId="2664">
    <w:name w:val="燕山正文 Char16"/>
    <w:autoRedefine/>
    <w:qFormat/>
    <w:uiPriority w:val="0"/>
    <w:rPr>
      <w:rFonts w:ascii="宋体" w:eastAsia="宋体" w:cs="宋体"/>
      <w:kern w:val="2"/>
      <w:sz w:val="24"/>
      <w:szCs w:val="24"/>
      <w:lang w:val="en-US" w:eastAsia="zh-CN" w:bidi="ar-SA"/>
    </w:rPr>
  </w:style>
  <w:style w:type="paragraph" w:customStyle="1" w:styleId="2665">
    <w:name w:val="正文修改6"/>
    <w:basedOn w:val="2088"/>
    <w:autoRedefine/>
    <w:qFormat/>
    <w:uiPriority w:val="0"/>
    <w:rPr>
      <w:rFonts w:hAnsi="宋体"/>
      <w:color w:val="000000"/>
    </w:rPr>
  </w:style>
  <w:style w:type="character" w:customStyle="1" w:styleId="2666">
    <w:name w:val="正文修改 Char16"/>
    <w:autoRedefine/>
    <w:qFormat/>
    <w:uiPriority w:val="0"/>
    <w:rPr>
      <w:rFonts w:ascii="宋体" w:hAnsi="宋体" w:eastAsia="宋体" w:cs="宋体"/>
      <w:color w:val="000000"/>
      <w:sz w:val="24"/>
      <w:szCs w:val="24"/>
    </w:rPr>
  </w:style>
  <w:style w:type="character" w:customStyle="1" w:styleId="2667">
    <w:name w:val="题注 Char7"/>
    <w:autoRedefine/>
    <w:qFormat/>
    <w:uiPriority w:val="0"/>
    <w:rPr>
      <w:rFonts w:ascii="黑体" w:hAnsi="Arial" w:eastAsia="黑体" w:cs="Arial"/>
      <w:b/>
      <w:kern w:val="2"/>
      <w:sz w:val="24"/>
      <w:szCs w:val="24"/>
      <w:lang w:val="en-US" w:eastAsia="zh-CN" w:bidi="ar-SA"/>
    </w:rPr>
  </w:style>
  <w:style w:type="paragraph" w:customStyle="1" w:styleId="2668">
    <w:name w:val="首行缩进:  0.99 厘米 + 首行缩进:  2 字符2"/>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character" w:customStyle="1" w:styleId="2669">
    <w:name w:val="正文文本 3 Char2"/>
    <w:autoRedefine/>
    <w:qFormat/>
    <w:uiPriority w:val="0"/>
    <w:rPr>
      <w:rFonts w:eastAsia="宋体"/>
      <w:kern w:val="2"/>
      <w:sz w:val="16"/>
      <w:szCs w:val="16"/>
      <w:lang w:val="en-US" w:eastAsia="zh-CN" w:bidi="ar-SA"/>
    </w:rPr>
  </w:style>
  <w:style w:type="paragraph" w:customStyle="1" w:styleId="2670">
    <w:name w:val="图表名称2"/>
    <w:basedOn w:val="316"/>
    <w:autoRedefine/>
    <w:qFormat/>
    <w:uiPriority w:val="0"/>
    <w:pPr>
      <w:adjustRightInd w:val="0"/>
      <w:snapToGrid w:val="0"/>
      <w:spacing w:after="0" w:line="480" w:lineRule="exact"/>
      <w:ind w:firstLine="0" w:firstLineChars="0"/>
      <w:jc w:val="center"/>
    </w:pPr>
    <w:rPr>
      <w:bCs/>
      <w:kern w:val="2"/>
      <w:lang w:val="zh-CN"/>
    </w:rPr>
  </w:style>
  <w:style w:type="paragraph" w:customStyle="1" w:styleId="2671">
    <w:name w:val="表内文字边2"/>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672">
    <w:name w:val="正文缩2"/>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673">
    <w:name w:val="样式22"/>
    <w:basedOn w:val="1"/>
    <w:autoRedefine/>
    <w:qFormat/>
    <w:uiPriority w:val="0"/>
    <w:pPr>
      <w:adjustRightInd w:val="0"/>
      <w:spacing w:line="360" w:lineRule="auto"/>
      <w:jc w:val="center"/>
      <w:textAlignment w:val="baseline"/>
      <w:outlineLvl w:val="0"/>
    </w:pPr>
    <w:rPr>
      <w:kern w:val="0"/>
      <w:szCs w:val="20"/>
    </w:rPr>
  </w:style>
  <w:style w:type="paragraph" w:customStyle="1" w:styleId="2674">
    <w:name w:val="默认段落字体 Para Char Char Char Char Char2"/>
    <w:basedOn w:val="1"/>
    <w:autoRedefine/>
    <w:qFormat/>
    <w:uiPriority w:val="0"/>
  </w:style>
  <w:style w:type="paragraph" w:customStyle="1" w:styleId="2675">
    <w:name w:val="表中文字7"/>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676">
    <w:name w:val="表内宋5中4"/>
    <w:basedOn w:val="1"/>
    <w:autoRedefine/>
    <w:qFormat/>
    <w:uiPriority w:val="0"/>
    <w:pPr>
      <w:adjustRightInd w:val="0"/>
      <w:snapToGrid w:val="0"/>
      <w:textAlignment w:val="baseline"/>
    </w:pPr>
    <w:rPr>
      <w:color w:val="000000"/>
      <w:kern w:val="0"/>
      <w:szCs w:val="20"/>
    </w:rPr>
  </w:style>
  <w:style w:type="character" w:customStyle="1" w:styleId="2677">
    <w:name w:val="表中文字 Char26"/>
    <w:autoRedefine/>
    <w:qFormat/>
    <w:uiPriority w:val="0"/>
    <w:rPr>
      <w:rFonts w:ascii="宋体" w:eastAsia="宋体"/>
      <w:kern w:val="2"/>
      <w:sz w:val="21"/>
      <w:szCs w:val="21"/>
      <w:lang w:val="en-US" w:eastAsia="zh-CN" w:bidi="ar-SA"/>
    </w:rPr>
  </w:style>
  <w:style w:type="paragraph" w:customStyle="1" w:styleId="2678">
    <w:name w:val="样式 标题 3 + 段前: 12 磅2"/>
    <w:basedOn w:val="7"/>
    <w:autoRedefine/>
    <w:qFormat/>
    <w:uiPriority w:val="0"/>
    <w:pPr>
      <w:keepNext w:val="0"/>
      <w:keepLines w:val="0"/>
      <w:widowControl/>
      <w:autoSpaceDE w:val="0"/>
      <w:autoSpaceDN w:val="0"/>
      <w:snapToGrid w:val="0"/>
      <w:spacing w:before="0" w:line="360" w:lineRule="auto"/>
      <w:jc w:val="both"/>
      <w:textAlignment w:val="auto"/>
    </w:pPr>
    <w:rPr>
      <w:rFonts w:ascii="黑体" w:hAnsi="宋体" w:cs="宋体"/>
      <w:color w:val="000000"/>
      <w:kern w:val="21"/>
      <w:sz w:val="24"/>
      <w:szCs w:val="20"/>
    </w:rPr>
  </w:style>
  <w:style w:type="paragraph" w:customStyle="1" w:styleId="2679">
    <w:name w:val="表内文字小4"/>
    <w:basedOn w:val="1"/>
    <w:autoRedefine/>
    <w:qFormat/>
    <w:uiPriority w:val="0"/>
    <w:pPr>
      <w:adjustRightInd w:val="0"/>
      <w:snapToGrid w:val="0"/>
      <w:jc w:val="center"/>
    </w:pPr>
    <w:rPr>
      <w:rFonts w:ascii="宋体" w:hAnsi="Times"/>
      <w:szCs w:val="20"/>
    </w:rPr>
  </w:style>
  <w:style w:type="paragraph" w:customStyle="1" w:styleId="2680">
    <w:name w:val="表内54"/>
    <w:basedOn w:val="1"/>
    <w:autoRedefine/>
    <w:qFormat/>
    <w:uiPriority w:val="0"/>
    <w:pPr>
      <w:adjustRightInd w:val="0"/>
      <w:snapToGrid w:val="0"/>
      <w:spacing w:line="300" w:lineRule="auto"/>
      <w:jc w:val="left"/>
    </w:pPr>
    <w:rPr>
      <w:rFonts w:ascii="宋体"/>
      <w:sz w:val="18"/>
      <w:szCs w:val="20"/>
    </w:rPr>
  </w:style>
  <w:style w:type="paragraph" w:customStyle="1" w:styleId="2681">
    <w:name w:val="表内宋52"/>
    <w:basedOn w:val="2165"/>
    <w:autoRedefine/>
    <w:qFormat/>
    <w:uiPriority w:val="0"/>
    <w:pPr>
      <w:widowControl/>
      <w:autoSpaceDE w:val="0"/>
      <w:autoSpaceDN w:val="0"/>
      <w:jc w:val="left"/>
      <w:textAlignment w:val="auto"/>
    </w:pPr>
    <w:rPr>
      <w:color w:val="auto"/>
      <w:w w:val="90"/>
    </w:rPr>
  </w:style>
  <w:style w:type="paragraph" w:customStyle="1" w:styleId="2682">
    <w:name w:val="Char Char Char Char1 Char Char 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683">
    <w:name w:val="正文格式13"/>
    <w:basedOn w:val="1"/>
    <w:autoRedefine/>
    <w:qFormat/>
    <w:uiPriority w:val="0"/>
    <w:pPr>
      <w:spacing w:line="360" w:lineRule="auto"/>
      <w:ind w:firstLine="482"/>
    </w:pPr>
    <w:rPr>
      <w:rFonts w:ascii="宋体" w:hAnsi="宋体"/>
      <w:sz w:val="24"/>
    </w:rPr>
  </w:style>
  <w:style w:type="paragraph" w:customStyle="1" w:styleId="2684">
    <w:name w:val="图题12"/>
    <w:basedOn w:val="403"/>
    <w:next w:val="403"/>
    <w:autoRedefine/>
    <w:qFormat/>
    <w:uiPriority w:val="0"/>
    <w:pPr>
      <w:ind w:firstLine="0"/>
      <w:jc w:val="center"/>
    </w:pPr>
    <w:rPr>
      <w:rFonts w:ascii="黑体" w:hAnsi="宋体" w:eastAsia="黑体"/>
      <w:b/>
      <w:bCs/>
    </w:rPr>
  </w:style>
  <w:style w:type="paragraph" w:customStyle="1" w:styleId="2685">
    <w:name w:val="表格内字体13"/>
    <w:basedOn w:val="403"/>
    <w:next w:val="403"/>
    <w:autoRedefine/>
    <w:qFormat/>
    <w:uiPriority w:val="0"/>
    <w:pPr>
      <w:spacing w:line="240" w:lineRule="auto"/>
      <w:ind w:firstLine="0"/>
      <w:jc w:val="center"/>
    </w:pPr>
    <w:rPr>
      <w:rFonts w:hAnsi="宋体" w:cs="Times New Roman"/>
      <w:sz w:val="21"/>
    </w:rPr>
  </w:style>
  <w:style w:type="character" w:customStyle="1" w:styleId="2686">
    <w:name w:val="Char Char1131"/>
    <w:autoRedefine/>
    <w:qFormat/>
    <w:uiPriority w:val="0"/>
    <w:rPr>
      <w:rFonts w:ascii="黑体" w:hAnsi="Arial" w:eastAsia="黑体"/>
      <w:bCs/>
      <w:kern w:val="2"/>
      <w:sz w:val="30"/>
      <w:szCs w:val="30"/>
      <w:lang w:val="en-US" w:eastAsia="zh-CN" w:bidi="ar-SA"/>
    </w:rPr>
  </w:style>
  <w:style w:type="paragraph" w:customStyle="1" w:styleId="2687">
    <w:name w:val="正文格式＝12"/>
    <w:basedOn w:val="403"/>
    <w:next w:val="403"/>
    <w:autoRedefine/>
    <w:qFormat/>
    <w:uiPriority w:val="0"/>
    <w:rPr>
      <w:rFonts w:hAnsi="宋体" w:cs="Times New Roman"/>
    </w:rPr>
  </w:style>
  <w:style w:type="paragraph" w:customStyle="1" w:styleId="2688">
    <w:name w:val="正文格式23"/>
    <w:basedOn w:val="1"/>
    <w:autoRedefine/>
    <w:qFormat/>
    <w:uiPriority w:val="0"/>
    <w:pPr>
      <w:spacing w:line="360" w:lineRule="auto"/>
      <w:ind w:firstLine="482"/>
    </w:pPr>
    <w:rPr>
      <w:rFonts w:ascii="宋体" w:hAnsi="宋体"/>
      <w:sz w:val="24"/>
    </w:rPr>
  </w:style>
  <w:style w:type="paragraph" w:customStyle="1" w:styleId="2689">
    <w:name w:val="Char1111"/>
    <w:basedOn w:val="1"/>
    <w:autoRedefine/>
    <w:qFormat/>
    <w:uiPriority w:val="0"/>
    <w:pPr>
      <w:adjustRightInd w:val="0"/>
      <w:snapToGrid w:val="0"/>
      <w:spacing w:beforeLines="50" w:line="360" w:lineRule="auto"/>
    </w:pPr>
    <w:rPr>
      <w:rFonts w:ascii="黑体" w:eastAsia="黑体"/>
      <w:sz w:val="32"/>
      <w:szCs w:val="32"/>
    </w:rPr>
  </w:style>
  <w:style w:type="character" w:customStyle="1" w:styleId="2690">
    <w:name w:val="题注 Char12"/>
    <w:autoRedefine/>
    <w:qFormat/>
    <w:uiPriority w:val="0"/>
    <w:rPr>
      <w:rFonts w:ascii="黑体" w:hAnsi="Arial" w:eastAsia="黑体" w:cs="Arial"/>
      <w:b/>
      <w:kern w:val="2"/>
      <w:sz w:val="24"/>
      <w:szCs w:val="24"/>
      <w:lang w:val="en-US" w:eastAsia="zh-CN" w:bidi="ar-SA"/>
    </w:rPr>
  </w:style>
  <w:style w:type="paragraph" w:customStyle="1" w:styleId="2691">
    <w:name w:val="图题23"/>
    <w:basedOn w:val="403"/>
    <w:next w:val="403"/>
    <w:autoRedefine/>
    <w:qFormat/>
    <w:uiPriority w:val="0"/>
    <w:pPr>
      <w:ind w:firstLine="0"/>
      <w:jc w:val="center"/>
    </w:pPr>
    <w:rPr>
      <w:rFonts w:ascii="黑体" w:hAnsi="宋体" w:eastAsia="黑体"/>
      <w:b/>
      <w:bCs/>
    </w:rPr>
  </w:style>
  <w:style w:type="paragraph" w:customStyle="1" w:styleId="2692">
    <w:name w:val="表格内字体23"/>
    <w:basedOn w:val="403"/>
    <w:next w:val="403"/>
    <w:autoRedefine/>
    <w:qFormat/>
    <w:uiPriority w:val="0"/>
    <w:pPr>
      <w:spacing w:line="240" w:lineRule="auto"/>
      <w:ind w:firstLine="0"/>
      <w:jc w:val="center"/>
    </w:pPr>
    <w:rPr>
      <w:rFonts w:hAnsi="宋体" w:cs="Times New Roman"/>
      <w:sz w:val="21"/>
    </w:rPr>
  </w:style>
  <w:style w:type="paragraph" w:customStyle="1" w:styleId="2693">
    <w:name w:val="表内54112"/>
    <w:basedOn w:val="1"/>
    <w:autoRedefine/>
    <w:qFormat/>
    <w:uiPriority w:val="0"/>
    <w:pPr>
      <w:adjustRightInd w:val="0"/>
      <w:snapToGrid w:val="0"/>
      <w:spacing w:line="300" w:lineRule="auto"/>
      <w:jc w:val="center"/>
    </w:pPr>
    <w:rPr>
      <w:rFonts w:ascii="宋体" w:hAnsi="宋体" w:cs="宋体"/>
      <w:szCs w:val="20"/>
    </w:rPr>
  </w:style>
  <w:style w:type="paragraph" w:customStyle="1" w:styleId="2694">
    <w:name w:val="表内文字小2112"/>
    <w:basedOn w:val="1"/>
    <w:autoRedefine/>
    <w:qFormat/>
    <w:uiPriority w:val="0"/>
    <w:pPr>
      <w:adjustRightInd w:val="0"/>
      <w:snapToGrid w:val="0"/>
      <w:jc w:val="center"/>
    </w:pPr>
    <w:rPr>
      <w:rFonts w:ascii="宋体" w:hAnsi="Times"/>
      <w:bCs/>
      <w:color w:val="000000"/>
      <w:szCs w:val="20"/>
    </w:rPr>
  </w:style>
  <w:style w:type="paragraph" w:customStyle="1" w:styleId="2695">
    <w:name w:val="表题3112"/>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696">
    <w:name w:val="Char Char Char Char Char Char Char141"/>
    <w:basedOn w:val="1"/>
    <w:autoRedefine/>
    <w:qFormat/>
    <w:uiPriority w:val="0"/>
  </w:style>
  <w:style w:type="paragraph" w:customStyle="1" w:styleId="2697">
    <w:name w:val="标题43112"/>
    <w:basedOn w:val="1"/>
    <w:autoRedefine/>
    <w:qFormat/>
    <w:uiPriority w:val="0"/>
    <w:pPr>
      <w:adjustRightInd w:val="0"/>
      <w:snapToGrid w:val="0"/>
      <w:spacing w:line="480" w:lineRule="exact"/>
      <w:jc w:val="center"/>
    </w:pPr>
    <w:rPr>
      <w:rFonts w:ascii="宋体" w:hAnsi="宋体" w:cs="宋体"/>
      <w:sz w:val="24"/>
    </w:rPr>
  </w:style>
  <w:style w:type="paragraph" w:customStyle="1" w:styleId="2698">
    <w:name w:val="燕山正文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99">
    <w:name w:val="默认段落字体 Para Char Char Char Char12"/>
    <w:basedOn w:val="1"/>
    <w:autoRedefine/>
    <w:qFormat/>
    <w:uiPriority w:val="0"/>
  </w:style>
  <w:style w:type="paragraph" w:customStyle="1" w:styleId="2700">
    <w:name w:val="附件12"/>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2701">
    <w:name w:val="黑体三号12"/>
    <w:basedOn w:val="403"/>
    <w:autoRedefine/>
    <w:qFormat/>
    <w:uiPriority w:val="0"/>
    <w:pPr>
      <w:jc w:val="center"/>
    </w:pPr>
    <w:rPr>
      <w:rFonts w:ascii="黑体" w:hAnsi="宋体" w:eastAsia="黑体"/>
      <w:b/>
      <w:bCs/>
      <w:sz w:val="32"/>
      <w:szCs w:val="20"/>
    </w:rPr>
  </w:style>
  <w:style w:type="paragraph" w:customStyle="1" w:styleId="2702">
    <w:name w:val="表12"/>
    <w:basedOn w:val="1"/>
    <w:autoRedefine/>
    <w:qFormat/>
    <w:uiPriority w:val="0"/>
    <w:pPr>
      <w:adjustRightInd w:val="0"/>
      <w:snapToGrid w:val="0"/>
      <w:jc w:val="center"/>
    </w:pPr>
    <w:rPr>
      <w:rFonts w:eastAsia="仿宋_GB2312"/>
      <w:sz w:val="24"/>
    </w:rPr>
  </w:style>
  <w:style w:type="character" w:customStyle="1" w:styleId="2703">
    <w:name w:val="Char Char631"/>
    <w:autoRedefine/>
    <w:qFormat/>
    <w:uiPriority w:val="0"/>
    <w:rPr>
      <w:rFonts w:ascii="黑体" w:eastAsia="黑体"/>
      <w:b/>
      <w:bCs/>
      <w:kern w:val="2"/>
      <w:sz w:val="28"/>
      <w:szCs w:val="28"/>
      <w:lang w:val="en-US" w:eastAsia="zh-CN" w:bidi="ar-SA"/>
    </w:rPr>
  </w:style>
  <w:style w:type="paragraph" w:customStyle="1" w:styleId="2704">
    <w:name w:val="表题113"/>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2705">
    <w:name w:val="燕山正文14"/>
    <w:basedOn w:val="1"/>
    <w:autoRedefine/>
    <w:qFormat/>
    <w:uiPriority w:val="0"/>
    <w:pPr>
      <w:tabs>
        <w:tab w:val="left" w:pos="4680"/>
      </w:tabs>
      <w:adjustRightInd w:val="0"/>
      <w:snapToGrid w:val="0"/>
      <w:spacing w:line="480" w:lineRule="exact"/>
    </w:pPr>
    <w:rPr>
      <w:rFonts w:ascii="宋体" w:cs="宋体"/>
      <w:sz w:val="24"/>
    </w:rPr>
  </w:style>
  <w:style w:type="paragraph" w:customStyle="1" w:styleId="2706">
    <w:name w:val="正文修改12"/>
    <w:basedOn w:val="2088"/>
    <w:autoRedefine/>
    <w:qFormat/>
    <w:uiPriority w:val="0"/>
    <w:rPr>
      <w:rFonts w:hAnsi="宋体"/>
      <w:color w:val="000000"/>
    </w:rPr>
  </w:style>
  <w:style w:type="character" w:customStyle="1" w:styleId="2707">
    <w:name w:val="正文修改 Char112"/>
    <w:autoRedefine/>
    <w:qFormat/>
    <w:uiPriority w:val="0"/>
    <w:rPr>
      <w:rFonts w:ascii="宋体" w:hAnsi="宋体" w:eastAsia="宋体" w:cs="宋体"/>
      <w:color w:val="000000"/>
      <w:sz w:val="24"/>
      <w:szCs w:val="24"/>
    </w:rPr>
  </w:style>
  <w:style w:type="paragraph" w:customStyle="1" w:styleId="2708">
    <w:name w:val="表中文字1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709">
    <w:name w:val="表文字513"/>
    <w:basedOn w:val="1"/>
    <w:autoRedefine/>
    <w:qFormat/>
    <w:uiPriority w:val="0"/>
    <w:pPr>
      <w:adjustRightInd w:val="0"/>
      <w:jc w:val="left"/>
      <w:textAlignment w:val="baseline"/>
    </w:pPr>
    <w:rPr>
      <w:rFonts w:ascii="宋体"/>
      <w:kern w:val="0"/>
      <w:szCs w:val="20"/>
    </w:rPr>
  </w:style>
  <w:style w:type="paragraph" w:customStyle="1" w:styleId="2710">
    <w:name w:val="表内文字小3112"/>
    <w:basedOn w:val="1"/>
    <w:autoRedefine/>
    <w:qFormat/>
    <w:uiPriority w:val="0"/>
    <w:pPr>
      <w:adjustRightInd w:val="0"/>
      <w:snapToGrid w:val="0"/>
      <w:jc w:val="center"/>
    </w:pPr>
    <w:rPr>
      <w:rFonts w:ascii="宋体" w:hAnsi="Times" w:cs="宋体"/>
      <w:bCs/>
      <w:color w:val="003366"/>
      <w:szCs w:val="20"/>
    </w:rPr>
  </w:style>
  <w:style w:type="paragraph" w:customStyle="1" w:styleId="2711">
    <w:name w:val="样式112"/>
    <w:basedOn w:val="2137"/>
    <w:autoRedefine/>
    <w:qFormat/>
    <w:uiPriority w:val="0"/>
    <w:pPr>
      <w:spacing w:line="240" w:lineRule="auto"/>
      <w:ind w:firstLine="0"/>
      <w:jc w:val="center"/>
    </w:pPr>
    <w:rPr>
      <w:rFonts w:cs="Times New Roman"/>
      <w:b/>
      <w:color w:val="auto"/>
      <w:szCs w:val="20"/>
    </w:rPr>
  </w:style>
  <w:style w:type="paragraph" w:customStyle="1" w:styleId="2712">
    <w:name w:val="正文格式＝22"/>
    <w:basedOn w:val="403"/>
    <w:next w:val="403"/>
    <w:autoRedefine/>
    <w:qFormat/>
    <w:uiPriority w:val="0"/>
    <w:rPr>
      <w:rFonts w:hAnsi="宋体" w:cs="Times New Roman"/>
    </w:rPr>
  </w:style>
  <w:style w:type="paragraph" w:customStyle="1" w:styleId="2713">
    <w:name w:val="Char241"/>
    <w:basedOn w:val="1"/>
    <w:autoRedefine/>
    <w:qFormat/>
    <w:uiPriority w:val="0"/>
    <w:pPr>
      <w:ind w:left="-48"/>
    </w:pPr>
  </w:style>
  <w:style w:type="paragraph" w:customStyle="1" w:styleId="2714">
    <w:name w:val="表内文字小24"/>
    <w:basedOn w:val="1"/>
    <w:autoRedefine/>
    <w:qFormat/>
    <w:uiPriority w:val="0"/>
    <w:pPr>
      <w:adjustRightInd w:val="0"/>
      <w:snapToGrid w:val="0"/>
      <w:jc w:val="center"/>
    </w:pPr>
    <w:rPr>
      <w:rFonts w:ascii="宋体" w:hAnsi="Times"/>
      <w:bCs/>
      <w:color w:val="000000"/>
      <w:szCs w:val="20"/>
    </w:rPr>
  </w:style>
  <w:style w:type="paragraph" w:customStyle="1" w:styleId="2715">
    <w:name w:val="表内533"/>
    <w:basedOn w:val="1"/>
    <w:autoRedefine/>
    <w:qFormat/>
    <w:uiPriority w:val="0"/>
    <w:pPr>
      <w:adjustRightInd w:val="0"/>
      <w:snapToGrid w:val="0"/>
      <w:spacing w:line="300" w:lineRule="auto"/>
      <w:jc w:val="left"/>
    </w:pPr>
    <w:rPr>
      <w:rFonts w:ascii="宋体"/>
      <w:szCs w:val="20"/>
    </w:rPr>
  </w:style>
  <w:style w:type="paragraph" w:customStyle="1" w:styleId="2716">
    <w:name w:val="正文格式32"/>
    <w:basedOn w:val="1"/>
    <w:autoRedefine/>
    <w:qFormat/>
    <w:uiPriority w:val="0"/>
    <w:pPr>
      <w:spacing w:line="360" w:lineRule="auto"/>
      <w:ind w:firstLine="482"/>
    </w:pPr>
    <w:rPr>
      <w:rFonts w:ascii="宋体" w:hAnsi="宋体"/>
      <w:sz w:val="24"/>
    </w:rPr>
  </w:style>
  <w:style w:type="paragraph" w:customStyle="1" w:styleId="2717">
    <w:name w:val="Char25"/>
    <w:basedOn w:val="1"/>
    <w:autoRedefine/>
    <w:qFormat/>
    <w:uiPriority w:val="0"/>
    <w:pPr>
      <w:adjustRightInd w:val="0"/>
      <w:snapToGrid w:val="0"/>
      <w:spacing w:beforeLines="50" w:line="360" w:lineRule="auto"/>
    </w:pPr>
    <w:rPr>
      <w:rFonts w:ascii="黑体" w:eastAsia="黑体"/>
      <w:sz w:val="32"/>
      <w:szCs w:val="32"/>
    </w:rPr>
  </w:style>
  <w:style w:type="character" w:customStyle="1" w:styleId="2718">
    <w:name w:val="题注 Char22"/>
    <w:autoRedefine/>
    <w:qFormat/>
    <w:uiPriority w:val="0"/>
    <w:rPr>
      <w:rFonts w:ascii="黑体" w:hAnsi="Arial" w:eastAsia="黑体" w:cs="Arial"/>
      <w:b/>
      <w:kern w:val="2"/>
      <w:sz w:val="24"/>
      <w:szCs w:val="24"/>
      <w:lang w:val="en-US" w:eastAsia="zh-CN" w:bidi="ar-SA"/>
    </w:rPr>
  </w:style>
  <w:style w:type="paragraph" w:customStyle="1" w:styleId="2719">
    <w:name w:val="图题32"/>
    <w:basedOn w:val="403"/>
    <w:next w:val="403"/>
    <w:autoRedefine/>
    <w:qFormat/>
    <w:uiPriority w:val="0"/>
    <w:pPr>
      <w:ind w:firstLine="0"/>
      <w:jc w:val="center"/>
    </w:pPr>
    <w:rPr>
      <w:rFonts w:ascii="黑体" w:hAnsi="宋体" w:eastAsia="黑体"/>
      <w:b/>
      <w:bCs/>
    </w:rPr>
  </w:style>
  <w:style w:type="paragraph" w:customStyle="1" w:styleId="2720">
    <w:name w:val="表格内字体32"/>
    <w:basedOn w:val="403"/>
    <w:next w:val="403"/>
    <w:autoRedefine/>
    <w:qFormat/>
    <w:uiPriority w:val="0"/>
    <w:pPr>
      <w:spacing w:line="240" w:lineRule="auto"/>
      <w:ind w:firstLine="0"/>
      <w:jc w:val="center"/>
    </w:pPr>
    <w:rPr>
      <w:rFonts w:hAnsi="宋体" w:cs="Times New Roman"/>
      <w:sz w:val="21"/>
    </w:rPr>
  </w:style>
  <w:style w:type="paragraph" w:customStyle="1" w:styleId="2721">
    <w:name w:val="表内54122"/>
    <w:basedOn w:val="1"/>
    <w:autoRedefine/>
    <w:qFormat/>
    <w:uiPriority w:val="0"/>
    <w:pPr>
      <w:adjustRightInd w:val="0"/>
      <w:snapToGrid w:val="0"/>
      <w:spacing w:line="300" w:lineRule="auto"/>
      <w:jc w:val="center"/>
    </w:pPr>
    <w:rPr>
      <w:rFonts w:ascii="宋体" w:hAnsi="宋体" w:cs="宋体"/>
      <w:szCs w:val="20"/>
    </w:rPr>
  </w:style>
  <w:style w:type="paragraph" w:customStyle="1" w:styleId="2722">
    <w:name w:val="表内文字小2122"/>
    <w:basedOn w:val="1"/>
    <w:autoRedefine/>
    <w:qFormat/>
    <w:uiPriority w:val="0"/>
    <w:pPr>
      <w:adjustRightInd w:val="0"/>
      <w:snapToGrid w:val="0"/>
      <w:jc w:val="center"/>
    </w:pPr>
    <w:rPr>
      <w:rFonts w:ascii="宋体" w:hAnsi="Times"/>
      <w:bCs/>
      <w:color w:val="000000"/>
      <w:szCs w:val="20"/>
    </w:rPr>
  </w:style>
  <w:style w:type="paragraph" w:customStyle="1" w:styleId="2723">
    <w:name w:val="表题3122"/>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724">
    <w:name w:val="标题43122"/>
    <w:basedOn w:val="1"/>
    <w:autoRedefine/>
    <w:qFormat/>
    <w:uiPriority w:val="0"/>
    <w:pPr>
      <w:adjustRightInd w:val="0"/>
      <w:snapToGrid w:val="0"/>
      <w:spacing w:line="480" w:lineRule="exact"/>
      <w:jc w:val="center"/>
    </w:pPr>
    <w:rPr>
      <w:rFonts w:ascii="宋体" w:hAnsi="宋体" w:cs="宋体"/>
      <w:sz w:val="24"/>
    </w:rPr>
  </w:style>
  <w:style w:type="paragraph" w:customStyle="1" w:styleId="2725">
    <w:name w:val="燕山正文112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726">
    <w:name w:val="默认段落字体 Para Char Char Char Char22"/>
    <w:basedOn w:val="1"/>
    <w:autoRedefine/>
    <w:qFormat/>
    <w:uiPriority w:val="0"/>
  </w:style>
  <w:style w:type="paragraph" w:customStyle="1" w:styleId="2727">
    <w:name w:val="附件22"/>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2728">
    <w:name w:val="黑体三号22"/>
    <w:basedOn w:val="403"/>
    <w:autoRedefine/>
    <w:qFormat/>
    <w:uiPriority w:val="0"/>
    <w:pPr>
      <w:jc w:val="center"/>
    </w:pPr>
    <w:rPr>
      <w:rFonts w:ascii="黑体" w:hAnsi="宋体" w:eastAsia="黑体"/>
      <w:b/>
      <w:bCs/>
      <w:sz w:val="32"/>
      <w:szCs w:val="20"/>
    </w:rPr>
  </w:style>
  <w:style w:type="paragraph" w:customStyle="1" w:styleId="2729">
    <w:name w:val="表22"/>
    <w:basedOn w:val="1"/>
    <w:autoRedefine/>
    <w:qFormat/>
    <w:uiPriority w:val="0"/>
    <w:pPr>
      <w:adjustRightInd w:val="0"/>
      <w:snapToGrid w:val="0"/>
      <w:jc w:val="center"/>
    </w:pPr>
    <w:rPr>
      <w:rFonts w:eastAsia="仿宋_GB2312"/>
      <w:sz w:val="24"/>
    </w:rPr>
  </w:style>
  <w:style w:type="paragraph" w:customStyle="1" w:styleId="2730">
    <w:name w:val="表题122"/>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2731">
    <w:name w:val="燕山正文2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732">
    <w:name w:val="正文修改22"/>
    <w:basedOn w:val="2088"/>
    <w:autoRedefine/>
    <w:qFormat/>
    <w:uiPriority w:val="0"/>
    <w:rPr>
      <w:rFonts w:hAnsi="宋体"/>
      <w:color w:val="000000"/>
    </w:rPr>
  </w:style>
  <w:style w:type="character" w:customStyle="1" w:styleId="2733">
    <w:name w:val="正文修改 Char122"/>
    <w:autoRedefine/>
    <w:qFormat/>
    <w:uiPriority w:val="0"/>
    <w:rPr>
      <w:rFonts w:ascii="宋体" w:hAnsi="宋体" w:eastAsia="宋体" w:cs="宋体"/>
      <w:color w:val="000000"/>
      <w:sz w:val="24"/>
      <w:szCs w:val="24"/>
    </w:rPr>
  </w:style>
  <w:style w:type="paragraph" w:customStyle="1" w:styleId="2734">
    <w:name w:val="表中文字2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735">
    <w:name w:val="表文字522"/>
    <w:basedOn w:val="1"/>
    <w:autoRedefine/>
    <w:qFormat/>
    <w:uiPriority w:val="0"/>
    <w:pPr>
      <w:adjustRightInd w:val="0"/>
      <w:jc w:val="left"/>
      <w:textAlignment w:val="baseline"/>
    </w:pPr>
    <w:rPr>
      <w:rFonts w:ascii="宋体"/>
      <w:kern w:val="0"/>
      <w:szCs w:val="20"/>
    </w:rPr>
  </w:style>
  <w:style w:type="paragraph" w:customStyle="1" w:styleId="2736">
    <w:name w:val="表内文字小3122"/>
    <w:basedOn w:val="1"/>
    <w:autoRedefine/>
    <w:qFormat/>
    <w:uiPriority w:val="0"/>
    <w:pPr>
      <w:adjustRightInd w:val="0"/>
      <w:snapToGrid w:val="0"/>
      <w:jc w:val="center"/>
    </w:pPr>
    <w:rPr>
      <w:rFonts w:ascii="宋体" w:hAnsi="Times" w:cs="宋体"/>
      <w:bCs/>
      <w:color w:val="003366"/>
      <w:szCs w:val="20"/>
    </w:rPr>
  </w:style>
  <w:style w:type="paragraph" w:customStyle="1" w:styleId="2737">
    <w:name w:val="样式122"/>
    <w:basedOn w:val="2137"/>
    <w:autoRedefine/>
    <w:qFormat/>
    <w:uiPriority w:val="0"/>
    <w:pPr>
      <w:spacing w:line="240" w:lineRule="auto"/>
      <w:ind w:firstLine="0"/>
      <w:jc w:val="center"/>
    </w:pPr>
    <w:rPr>
      <w:rFonts w:cs="Times New Roman"/>
      <w:b/>
      <w:color w:val="auto"/>
      <w:szCs w:val="20"/>
    </w:rPr>
  </w:style>
  <w:style w:type="paragraph" w:customStyle="1" w:styleId="2738">
    <w:name w:val="正文格式＝32"/>
    <w:basedOn w:val="403"/>
    <w:next w:val="403"/>
    <w:autoRedefine/>
    <w:qFormat/>
    <w:uiPriority w:val="0"/>
    <w:rPr>
      <w:rFonts w:hAnsi="宋体" w:cs="Times New Roman"/>
    </w:rPr>
  </w:style>
  <w:style w:type="paragraph" w:customStyle="1" w:styleId="2739">
    <w:name w:val="表内文字小222"/>
    <w:basedOn w:val="1"/>
    <w:autoRedefine/>
    <w:qFormat/>
    <w:uiPriority w:val="0"/>
    <w:pPr>
      <w:adjustRightInd w:val="0"/>
      <w:snapToGrid w:val="0"/>
      <w:jc w:val="center"/>
    </w:pPr>
    <w:rPr>
      <w:rFonts w:ascii="宋体" w:hAnsi="Times"/>
      <w:bCs/>
      <w:color w:val="000000"/>
      <w:szCs w:val="20"/>
    </w:rPr>
  </w:style>
  <w:style w:type="paragraph" w:customStyle="1" w:styleId="2740">
    <w:name w:val="表内5312"/>
    <w:basedOn w:val="1"/>
    <w:autoRedefine/>
    <w:qFormat/>
    <w:uiPriority w:val="0"/>
    <w:pPr>
      <w:adjustRightInd w:val="0"/>
      <w:snapToGrid w:val="0"/>
      <w:spacing w:line="300" w:lineRule="auto"/>
      <w:jc w:val="left"/>
    </w:pPr>
    <w:rPr>
      <w:rFonts w:ascii="宋体"/>
      <w:szCs w:val="20"/>
    </w:rPr>
  </w:style>
  <w:style w:type="paragraph" w:customStyle="1" w:styleId="2741">
    <w:name w:val="正文格式212"/>
    <w:basedOn w:val="1"/>
    <w:autoRedefine/>
    <w:qFormat/>
    <w:uiPriority w:val="0"/>
    <w:pPr>
      <w:spacing w:line="360" w:lineRule="auto"/>
      <w:ind w:firstLine="482"/>
    </w:pPr>
    <w:rPr>
      <w:rFonts w:ascii="宋体" w:hAnsi="宋体"/>
      <w:sz w:val="24"/>
    </w:rPr>
  </w:style>
  <w:style w:type="paragraph" w:customStyle="1" w:styleId="2742">
    <w:name w:val="图题212"/>
    <w:basedOn w:val="403"/>
    <w:next w:val="403"/>
    <w:autoRedefine/>
    <w:qFormat/>
    <w:uiPriority w:val="0"/>
    <w:pPr>
      <w:ind w:firstLine="0"/>
      <w:jc w:val="center"/>
    </w:pPr>
    <w:rPr>
      <w:rFonts w:ascii="黑体" w:hAnsi="宋体" w:eastAsia="黑体"/>
      <w:b/>
      <w:bCs/>
    </w:rPr>
  </w:style>
  <w:style w:type="paragraph" w:customStyle="1" w:styleId="2743">
    <w:name w:val="表格内字体212"/>
    <w:basedOn w:val="403"/>
    <w:next w:val="403"/>
    <w:autoRedefine/>
    <w:qFormat/>
    <w:uiPriority w:val="0"/>
    <w:pPr>
      <w:spacing w:line="240" w:lineRule="auto"/>
      <w:ind w:firstLine="0"/>
      <w:jc w:val="center"/>
    </w:pPr>
    <w:rPr>
      <w:rFonts w:hAnsi="宋体" w:cs="Times New Roman"/>
      <w:sz w:val="21"/>
    </w:rPr>
  </w:style>
  <w:style w:type="paragraph" w:customStyle="1" w:styleId="2744">
    <w:name w:val="表题1112"/>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2745">
    <w:name w:val="表中文字1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746">
    <w:name w:val="表文字5112"/>
    <w:basedOn w:val="1"/>
    <w:autoRedefine/>
    <w:qFormat/>
    <w:uiPriority w:val="0"/>
    <w:pPr>
      <w:adjustRightInd w:val="0"/>
      <w:jc w:val="left"/>
      <w:textAlignment w:val="baseline"/>
    </w:pPr>
    <w:rPr>
      <w:rFonts w:ascii="宋体"/>
      <w:kern w:val="0"/>
      <w:szCs w:val="20"/>
    </w:rPr>
  </w:style>
  <w:style w:type="paragraph" w:customStyle="1" w:styleId="2747">
    <w:name w:val="图题42"/>
    <w:basedOn w:val="403"/>
    <w:next w:val="403"/>
    <w:autoRedefine/>
    <w:qFormat/>
    <w:uiPriority w:val="0"/>
    <w:pPr>
      <w:ind w:firstLine="0"/>
      <w:jc w:val="center"/>
    </w:pPr>
    <w:rPr>
      <w:rFonts w:ascii="黑体" w:hAnsi="宋体" w:eastAsia="黑体"/>
      <w:b/>
      <w:bCs/>
    </w:rPr>
  </w:style>
  <w:style w:type="paragraph" w:customStyle="1" w:styleId="2748">
    <w:name w:val="表格内字体42"/>
    <w:basedOn w:val="403"/>
    <w:next w:val="403"/>
    <w:autoRedefine/>
    <w:qFormat/>
    <w:uiPriority w:val="0"/>
    <w:pPr>
      <w:spacing w:line="240" w:lineRule="auto"/>
      <w:ind w:firstLine="0"/>
      <w:jc w:val="center"/>
    </w:pPr>
    <w:rPr>
      <w:rFonts w:hAnsi="宋体" w:cs="Times New Roman"/>
      <w:sz w:val="21"/>
    </w:rPr>
  </w:style>
  <w:style w:type="paragraph" w:customStyle="1" w:styleId="2749">
    <w:name w:val="Char44"/>
    <w:basedOn w:val="1"/>
    <w:autoRedefine/>
    <w:qFormat/>
    <w:uiPriority w:val="0"/>
    <w:pPr>
      <w:ind w:left="-48"/>
    </w:pPr>
  </w:style>
  <w:style w:type="paragraph" w:customStyle="1" w:styleId="2750">
    <w:name w:val="正文格式＝42"/>
    <w:basedOn w:val="403"/>
    <w:next w:val="403"/>
    <w:autoRedefine/>
    <w:qFormat/>
    <w:uiPriority w:val="0"/>
    <w:rPr>
      <w:rFonts w:hAnsi="宋体" w:cs="Times New Roman"/>
    </w:rPr>
  </w:style>
  <w:style w:type="paragraph" w:customStyle="1" w:styleId="2751">
    <w:name w:val="表题132"/>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2752">
    <w:name w:val="默认段落字体 Para Char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753">
    <w:name w:val="Char Char Char Char Char Char Char15"/>
    <w:basedOn w:val="1"/>
    <w:autoRedefine/>
    <w:qFormat/>
    <w:uiPriority w:val="0"/>
    <w:rPr>
      <w:szCs w:val="20"/>
    </w:rPr>
  </w:style>
  <w:style w:type="paragraph" w:customStyle="1" w:styleId="2754">
    <w:name w:val="Char52"/>
    <w:basedOn w:val="1"/>
    <w:autoRedefine/>
    <w:qFormat/>
    <w:uiPriority w:val="0"/>
    <w:pPr>
      <w:adjustRightInd w:val="0"/>
      <w:snapToGrid w:val="0"/>
      <w:ind w:left="-45"/>
    </w:pPr>
  </w:style>
  <w:style w:type="paragraph" w:customStyle="1" w:styleId="2755">
    <w:name w:val="燕山正文113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756">
    <w:name w:val="正文格式52"/>
    <w:basedOn w:val="1"/>
    <w:autoRedefine/>
    <w:qFormat/>
    <w:uiPriority w:val="0"/>
    <w:pPr>
      <w:spacing w:line="360" w:lineRule="auto"/>
      <w:ind w:firstLine="482"/>
    </w:pPr>
    <w:rPr>
      <w:rFonts w:ascii="宋体" w:hAnsi="宋体"/>
      <w:sz w:val="24"/>
    </w:rPr>
  </w:style>
  <w:style w:type="character" w:customStyle="1" w:styleId="2757">
    <w:name w:val="题注 Char32"/>
    <w:autoRedefine/>
    <w:qFormat/>
    <w:uiPriority w:val="0"/>
    <w:rPr>
      <w:rFonts w:ascii="黑体" w:hAnsi="Arial" w:eastAsia="黑体" w:cs="Arial"/>
      <w:b/>
      <w:kern w:val="2"/>
      <w:sz w:val="24"/>
      <w:szCs w:val="24"/>
      <w:lang w:val="en-US" w:eastAsia="zh-CN" w:bidi="ar-SA"/>
    </w:rPr>
  </w:style>
  <w:style w:type="paragraph" w:customStyle="1" w:styleId="2758">
    <w:name w:val="图题52"/>
    <w:basedOn w:val="403"/>
    <w:next w:val="403"/>
    <w:autoRedefine/>
    <w:qFormat/>
    <w:uiPriority w:val="0"/>
    <w:pPr>
      <w:ind w:firstLine="0"/>
      <w:jc w:val="center"/>
    </w:pPr>
    <w:rPr>
      <w:rFonts w:ascii="黑体" w:hAnsi="宋体" w:eastAsia="黑体"/>
      <w:b/>
      <w:bCs/>
    </w:rPr>
  </w:style>
  <w:style w:type="paragraph" w:customStyle="1" w:styleId="2759">
    <w:name w:val="表格内字体52"/>
    <w:basedOn w:val="403"/>
    <w:next w:val="403"/>
    <w:autoRedefine/>
    <w:qFormat/>
    <w:uiPriority w:val="0"/>
    <w:pPr>
      <w:adjustRightInd w:val="0"/>
      <w:snapToGrid w:val="0"/>
      <w:spacing w:line="240" w:lineRule="auto"/>
      <w:ind w:firstLine="0"/>
    </w:pPr>
    <w:rPr>
      <w:rFonts w:hAnsi="宋体" w:cs="Times New Roman"/>
      <w:sz w:val="21"/>
    </w:rPr>
  </w:style>
  <w:style w:type="paragraph" w:customStyle="1" w:styleId="2760">
    <w:name w:val="表32"/>
    <w:basedOn w:val="1"/>
    <w:autoRedefine/>
    <w:qFormat/>
    <w:uiPriority w:val="0"/>
    <w:pPr>
      <w:adjustRightInd w:val="0"/>
      <w:snapToGrid w:val="0"/>
      <w:jc w:val="center"/>
    </w:pPr>
    <w:rPr>
      <w:rFonts w:eastAsia="仿宋_GB2312"/>
      <w:sz w:val="24"/>
    </w:rPr>
  </w:style>
  <w:style w:type="paragraph" w:customStyle="1" w:styleId="2761">
    <w:name w:val="正文.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62">
    <w:name w:val="文本框12"/>
    <w:basedOn w:val="1"/>
    <w:autoRedefine/>
    <w:qFormat/>
    <w:uiPriority w:val="0"/>
    <w:pPr>
      <w:adjustRightInd w:val="0"/>
      <w:snapToGrid w:val="0"/>
      <w:spacing w:after="6"/>
      <w:jc w:val="center"/>
    </w:pPr>
    <w:rPr>
      <w:rFonts w:eastAsia="仿宋_GB2312"/>
    </w:rPr>
  </w:style>
  <w:style w:type="paragraph" w:customStyle="1" w:styleId="2763">
    <w:name w:val="表内宋51112"/>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2764">
    <w:name w:val="表内文字小3132"/>
    <w:basedOn w:val="1"/>
    <w:autoRedefine/>
    <w:qFormat/>
    <w:uiPriority w:val="0"/>
    <w:pPr>
      <w:adjustRightInd w:val="0"/>
      <w:snapToGrid w:val="0"/>
      <w:jc w:val="center"/>
    </w:pPr>
    <w:rPr>
      <w:rFonts w:ascii="宋体" w:hAnsi="Times" w:cs="宋体"/>
      <w:bCs/>
      <w:color w:val="003366"/>
      <w:szCs w:val="20"/>
    </w:rPr>
  </w:style>
  <w:style w:type="paragraph" w:customStyle="1" w:styleId="2765">
    <w:name w:val="表文字532"/>
    <w:basedOn w:val="1"/>
    <w:autoRedefine/>
    <w:qFormat/>
    <w:uiPriority w:val="0"/>
    <w:pPr>
      <w:adjustRightInd w:val="0"/>
      <w:jc w:val="left"/>
      <w:textAlignment w:val="baseline"/>
    </w:pPr>
    <w:rPr>
      <w:rFonts w:ascii="宋体"/>
      <w:kern w:val="0"/>
      <w:szCs w:val="20"/>
    </w:rPr>
  </w:style>
  <w:style w:type="paragraph" w:customStyle="1" w:styleId="2766">
    <w:name w:val="正文21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767">
    <w:name w:val="Char Char Char Char Char Char Char23"/>
    <w:basedOn w:val="1"/>
    <w:autoRedefine/>
    <w:qFormat/>
    <w:uiPriority w:val="0"/>
  </w:style>
  <w:style w:type="paragraph" w:customStyle="1" w:styleId="2768">
    <w:name w:val="表题3132"/>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769">
    <w:name w:val="表内文字小2132"/>
    <w:basedOn w:val="1"/>
    <w:autoRedefine/>
    <w:qFormat/>
    <w:uiPriority w:val="0"/>
    <w:pPr>
      <w:adjustRightInd w:val="0"/>
      <w:snapToGrid w:val="0"/>
      <w:jc w:val="center"/>
      <w:textAlignment w:val="baseline"/>
    </w:pPr>
    <w:rPr>
      <w:rFonts w:ascii="宋体" w:hAnsi="Times"/>
      <w:bCs/>
      <w:color w:val="000000"/>
      <w:szCs w:val="20"/>
    </w:rPr>
  </w:style>
  <w:style w:type="character" w:customStyle="1" w:styleId="2770">
    <w:name w:val="文档结构图 Char3"/>
    <w:autoRedefine/>
    <w:qFormat/>
    <w:uiPriority w:val="0"/>
    <w:rPr>
      <w:rFonts w:eastAsia="宋体"/>
      <w:kern w:val="2"/>
      <w:sz w:val="21"/>
      <w:szCs w:val="24"/>
      <w:shd w:val="clear" w:color="auto" w:fill="000080"/>
      <w:lang w:val="en-US" w:eastAsia="zh-CN" w:bidi="ar-SA"/>
    </w:rPr>
  </w:style>
  <w:style w:type="paragraph" w:customStyle="1" w:styleId="2771">
    <w:name w:val="燕山正文3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772">
    <w:name w:val="正文修改32"/>
    <w:basedOn w:val="2088"/>
    <w:autoRedefine/>
    <w:qFormat/>
    <w:uiPriority w:val="0"/>
    <w:rPr>
      <w:rFonts w:hAnsi="宋体"/>
      <w:color w:val="000000"/>
    </w:rPr>
  </w:style>
  <w:style w:type="paragraph" w:customStyle="1" w:styleId="2773">
    <w:name w:val="表题143"/>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774">
    <w:name w:val="表题1 Char42"/>
    <w:autoRedefine/>
    <w:qFormat/>
    <w:uiPriority w:val="0"/>
    <w:rPr>
      <w:rFonts w:ascii="黑体" w:hAnsi="Arial" w:eastAsia="黑体" w:cs="Arial"/>
      <w:b/>
      <w:kern w:val="2"/>
      <w:sz w:val="24"/>
      <w:szCs w:val="24"/>
      <w:lang w:val="en-US" w:eastAsia="zh-CN" w:bidi="ar-SA"/>
    </w:rPr>
  </w:style>
  <w:style w:type="paragraph" w:customStyle="1" w:styleId="2775">
    <w:name w:val="表中文字3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776">
    <w:name w:val="黑体三号32"/>
    <w:basedOn w:val="403"/>
    <w:autoRedefine/>
    <w:qFormat/>
    <w:uiPriority w:val="0"/>
    <w:pPr>
      <w:jc w:val="center"/>
    </w:pPr>
    <w:rPr>
      <w:rFonts w:ascii="黑体" w:hAnsi="宋体" w:eastAsia="黑体"/>
      <w:b/>
      <w:bCs/>
      <w:sz w:val="32"/>
      <w:szCs w:val="20"/>
    </w:rPr>
  </w:style>
  <w:style w:type="paragraph" w:customStyle="1" w:styleId="2777">
    <w:name w:val="默认段落字体 Para Char Char Char Char32"/>
    <w:basedOn w:val="1"/>
    <w:autoRedefine/>
    <w:qFormat/>
    <w:uiPriority w:val="0"/>
  </w:style>
  <w:style w:type="paragraph" w:customStyle="1" w:styleId="2778">
    <w:name w:val="表内54132"/>
    <w:basedOn w:val="1"/>
    <w:autoRedefine/>
    <w:qFormat/>
    <w:uiPriority w:val="0"/>
    <w:pPr>
      <w:adjustRightInd w:val="0"/>
      <w:snapToGrid w:val="0"/>
      <w:spacing w:line="300" w:lineRule="auto"/>
      <w:jc w:val="center"/>
    </w:pPr>
    <w:rPr>
      <w:rFonts w:ascii="宋体" w:hAnsi="宋体" w:cs="宋体"/>
      <w:szCs w:val="20"/>
    </w:rPr>
  </w:style>
  <w:style w:type="paragraph" w:customStyle="1" w:styleId="2779">
    <w:name w:val="标题43"/>
    <w:basedOn w:val="1"/>
    <w:autoRedefine/>
    <w:qFormat/>
    <w:uiPriority w:val="0"/>
    <w:pPr>
      <w:adjustRightInd w:val="0"/>
      <w:snapToGrid w:val="0"/>
      <w:spacing w:line="300" w:lineRule="auto"/>
      <w:jc w:val="left"/>
    </w:pPr>
    <w:rPr>
      <w:rFonts w:ascii="黑体" w:eastAsia="黑体"/>
      <w:bCs/>
      <w:sz w:val="24"/>
    </w:rPr>
  </w:style>
  <w:style w:type="paragraph" w:customStyle="1" w:styleId="2780">
    <w:name w:val="Char62"/>
    <w:basedOn w:val="1"/>
    <w:autoRedefine/>
    <w:qFormat/>
    <w:uiPriority w:val="0"/>
    <w:pPr>
      <w:adjustRightInd w:val="0"/>
      <w:snapToGrid w:val="0"/>
      <w:spacing w:beforeLines="50" w:line="360" w:lineRule="auto"/>
    </w:pPr>
    <w:rPr>
      <w:rFonts w:ascii="黑体" w:eastAsia="黑体"/>
      <w:sz w:val="32"/>
      <w:szCs w:val="32"/>
    </w:rPr>
  </w:style>
  <w:style w:type="paragraph" w:customStyle="1" w:styleId="2781">
    <w:name w:val="表题2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782">
    <w:name w:val="表内宋5中1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783">
    <w:name w:val="表内宋5中13"/>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2784">
    <w:name w:val="表内文字小112"/>
    <w:basedOn w:val="1"/>
    <w:autoRedefine/>
    <w:qFormat/>
    <w:uiPriority w:val="0"/>
    <w:pPr>
      <w:adjustRightInd w:val="0"/>
      <w:snapToGrid w:val="0"/>
    </w:pPr>
    <w:rPr>
      <w:rFonts w:ascii="宋体" w:hAnsi="Times" w:cs="宋体"/>
      <w:szCs w:val="20"/>
    </w:rPr>
  </w:style>
  <w:style w:type="paragraph" w:customStyle="1" w:styleId="2785">
    <w:name w:val="标题4112"/>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2786">
    <w:name w:val="表题14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787">
    <w:name w:val="表内文字小82"/>
    <w:basedOn w:val="1"/>
    <w:autoRedefine/>
    <w:qFormat/>
    <w:uiPriority w:val="0"/>
    <w:pPr>
      <w:adjustRightInd w:val="0"/>
      <w:snapToGrid w:val="0"/>
      <w:jc w:val="center"/>
    </w:pPr>
    <w:rPr>
      <w:rFonts w:ascii="宋体" w:hAnsi="Times" w:cs="宋体"/>
      <w:szCs w:val="20"/>
    </w:rPr>
  </w:style>
  <w:style w:type="paragraph" w:customStyle="1" w:styleId="2788">
    <w:name w:val="默认段落字体 Para Char2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789">
    <w:name w:val="表内5中3"/>
    <w:basedOn w:val="1"/>
    <w:autoRedefine/>
    <w:qFormat/>
    <w:uiPriority w:val="0"/>
    <w:pPr>
      <w:adjustRightInd w:val="0"/>
      <w:snapToGrid w:val="0"/>
      <w:jc w:val="center"/>
    </w:pPr>
    <w:rPr>
      <w:rFonts w:ascii="宋体" w:hAnsi="宋体" w:cs="Arial"/>
      <w:snapToGrid w:val="0"/>
      <w:color w:val="000000"/>
      <w:szCs w:val="21"/>
    </w:rPr>
  </w:style>
  <w:style w:type="paragraph" w:customStyle="1" w:styleId="2790">
    <w:name w:val="Default2"/>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2791">
    <w:name w:val="标题 1 Char4"/>
    <w:autoRedefine/>
    <w:qFormat/>
    <w:uiPriority w:val="0"/>
    <w:rPr>
      <w:rFonts w:ascii="黑体" w:hAnsi="宋体" w:eastAsia="黑体"/>
      <w:b/>
      <w:bCs/>
      <w:kern w:val="44"/>
      <w:sz w:val="32"/>
      <w:szCs w:val="32"/>
      <w:lang w:val="en-US" w:eastAsia="zh-CN" w:bidi="ar-SA"/>
    </w:rPr>
  </w:style>
  <w:style w:type="paragraph" w:customStyle="1" w:styleId="2792">
    <w:name w:val="正文格式62"/>
    <w:basedOn w:val="1"/>
    <w:autoRedefine/>
    <w:qFormat/>
    <w:uiPriority w:val="0"/>
    <w:pPr>
      <w:spacing w:line="360" w:lineRule="auto"/>
      <w:ind w:firstLine="482"/>
    </w:pPr>
    <w:rPr>
      <w:rFonts w:ascii="宋体" w:hAnsi="宋体"/>
      <w:sz w:val="24"/>
    </w:rPr>
  </w:style>
  <w:style w:type="paragraph" w:customStyle="1" w:styleId="2793">
    <w:name w:val="正文格式＝52"/>
    <w:basedOn w:val="403"/>
    <w:next w:val="403"/>
    <w:autoRedefine/>
    <w:qFormat/>
    <w:uiPriority w:val="0"/>
    <w:rPr>
      <w:rFonts w:hAnsi="宋体" w:cs="Times New Roman"/>
    </w:rPr>
  </w:style>
  <w:style w:type="paragraph" w:customStyle="1" w:styleId="2794">
    <w:name w:val="附件32"/>
    <w:basedOn w:val="5"/>
    <w:next w:val="403"/>
    <w:autoRedefine/>
    <w:qFormat/>
    <w:uiPriority w:val="0"/>
    <w:pPr>
      <w:keepLines/>
      <w:overflowPunct/>
      <w:adjustRightInd w:val="0"/>
      <w:spacing w:before="0" w:after="0" w:line="360" w:lineRule="auto"/>
      <w:ind w:left="0" w:firstLine="0"/>
      <w:jc w:val="left"/>
    </w:pPr>
    <w:rPr>
      <w:rFonts w:ascii="黑体" w:hAnsi="宋体"/>
      <w:b w:val="0"/>
      <w:color w:val="auto"/>
      <w:sz w:val="32"/>
      <w:szCs w:val="32"/>
    </w:rPr>
  </w:style>
  <w:style w:type="paragraph" w:customStyle="1" w:styleId="2795">
    <w:name w:val="图题62"/>
    <w:basedOn w:val="403"/>
    <w:next w:val="403"/>
    <w:autoRedefine/>
    <w:qFormat/>
    <w:uiPriority w:val="0"/>
    <w:pPr>
      <w:ind w:firstLine="0"/>
      <w:jc w:val="center"/>
    </w:pPr>
    <w:rPr>
      <w:rFonts w:ascii="黑体" w:hAnsi="宋体" w:eastAsia="黑体"/>
      <w:b/>
      <w:bCs/>
      <w:kern w:val="0"/>
    </w:rPr>
  </w:style>
  <w:style w:type="character" w:customStyle="1" w:styleId="2796">
    <w:name w:val="图题 Char2"/>
    <w:autoRedefine/>
    <w:qFormat/>
    <w:uiPriority w:val="0"/>
    <w:rPr>
      <w:rFonts w:ascii="黑体" w:hAnsi="宋体" w:eastAsia="黑体" w:cs="宋体"/>
      <w:b/>
      <w:bCs/>
      <w:kern w:val="2"/>
      <w:sz w:val="24"/>
      <w:szCs w:val="24"/>
      <w:lang w:val="en-US" w:eastAsia="zh-CN" w:bidi="ar-SA"/>
    </w:rPr>
  </w:style>
  <w:style w:type="paragraph" w:customStyle="1" w:styleId="2797">
    <w:name w:val="表格内字体62"/>
    <w:basedOn w:val="403"/>
    <w:next w:val="403"/>
    <w:autoRedefine/>
    <w:qFormat/>
    <w:uiPriority w:val="0"/>
    <w:pPr>
      <w:spacing w:line="240" w:lineRule="auto"/>
      <w:ind w:firstLine="0"/>
      <w:jc w:val="center"/>
    </w:pPr>
    <w:rPr>
      <w:rFonts w:hAnsi="宋体" w:cs="Times New Roman"/>
      <w:sz w:val="21"/>
    </w:rPr>
  </w:style>
  <w:style w:type="character" w:customStyle="1" w:styleId="2798">
    <w:name w:val="页眉 Char3"/>
    <w:autoRedefine/>
    <w:qFormat/>
    <w:uiPriority w:val="0"/>
    <w:rPr>
      <w:rFonts w:eastAsia="宋体"/>
      <w:kern w:val="2"/>
      <w:sz w:val="18"/>
      <w:szCs w:val="18"/>
      <w:lang w:val="en-US" w:eastAsia="zh-CN" w:bidi="ar-SA"/>
    </w:rPr>
  </w:style>
  <w:style w:type="character" w:customStyle="1" w:styleId="2799">
    <w:name w:val="页脚 Char3"/>
    <w:autoRedefine/>
    <w:qFormat/>
    <w:uiPriority w:val="0"/>
    <w:rPr>
      <w:rFonts w:eastAsia="宋体"/>
      <w:kern w:val="2"/>
      <w:sz w:val="18"/>
      <w:szCs w:val="18"/>
      <w:lang w:val="en-US" w:eastAsia="zh-CN" w:bidi="ar-SA"/>
    </w:rPr>
  </w:style>
  <w:style w:type="paragraph" w:customStyle="1" w:styleId="2800">
    <w:name w:val="黑体三号42"/>
    <w:basedOn w:val="403"/>
    <w:autoRedefine/>
    <w:qFormat/>
    <w:uiPriority w:val="0"/>
    <w:pPr>
      <w:jc w:val="center"/>
    </w:pPr>
    <w:rPr>
      <w:rFonts w:ascii="黑体" w:hAnsi="宋体" w:eastAsia="黑体"/>
      <w:b/>
      <w:bCs/>
      <w:sz w:val="32"/>
      <w:szCs w:val="20"/>
    </w:rPr>
  </w:style>
  <w:style w:type="paragraph" w:customStyle="1" w:styleId="2801">
    <w:name w:val="默认段落字体 Para Char Char Char Char42"/>
    <w:basedOn w:val="1"/>
    <w:autoRedefine/>
    <w:qFormat/>
    <w:uiPriority w:val="0"/>
  </w:style>
  <w:style w:type="paragraph" w:customStyle="1" w:styleId="2802">
    <w:name w:val="图表题2"/>
    <w:basedOn w:val="403"/>
    <w:next w:val="403"/>
    <w:autoRedefine/>
    <w:qFormat/>
    <w:uiPriority w:val="0"/>
    <w:pPr>
      <w:ind w:firstLine="0"/>
      <w:jc w:val="center"/>
    </w:pPr>
    <w:rPr>
      <w:rFonts w:ascii="黑体" w:hAnsi="宋体" w:eastAsia="黑体"/>
      <w:b/>
      <w:bCs/>
    </w:rPr>
  </w:style>
  <w:style w:type="character" w:customStyle="1" w:styleId="2803">
    <w:name w:val="图表题 Char2"/>
    <w:autoRedefine/>
    <w:qFormat/>
    <w:uiPriority w:val="0"/>
    <w:rPr>
      <w:rFonts w:ascii="黑体" w:eastAsia="黑体" w:cs="宋体"/>
      <w:b/>
      <w:bCs/>
      <w:kern w:val="2"/>
      <w:sz w:val="24"/>
      <w:szCs w:val="24"/>
      <w:lang w:val="en-US" w:eastAsia="zh-CN" w:bidi="ar-SA"/>
    </w:rPr>
  </w:style>
  <w:style w:type="paragraph" w:customStyle="1" w:styleId="2804">
    <w:name w:val="样式 表格内字体 +2"/>
    <w:basedOn w:val="2085"/>
    <w:autoRedefine/>
    <w:qFormat/>
    <w:uiPriority w:val="0"/>
    <w:pPr>
      <w:spacing w:line="280" w:lineRule="exact"/>
      <w:ind w:firstLine="36"/>
      <w:jc w:val="both"/>
    </w:pPr>
    <w:rPr>
      <w:kern w:val="0"/>
    </w:rPr>
  </w:style>
  <w:style w:type="character" w:customStyle="1" w:styleId="2805">
    <w:name w:val="样式 表格内字体 + Char2"/>
    <w:autoRedefine/>
    <w:qFormat/>
    <w:uiPriority w:val="0"/>
  </w:style>
  <w:style w:type="paragraph" w:customStyle="1" w:styleId="2806">
    <w:name w:val="A正文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character" w:customStyle="1" w:styleId="2807">
    <w:name w:val="A正文 Char2"/>
    <w:autoRedefine/>
    <w:qFormat/>
    <w:uiPriority w:val="0"/>
    <w:rPr>
      <w:rFonts w:eastAsia="仿宋_GB2312"/>
      <w:kern w:val="2"/>
      <w:sz w:val="24"/>
      <w:szCs w:val="24"/>
      <w:lang w:val="en-US" w:eastAsia="zh-CN" w:bidi="ar-SA"/>
    </w:rPr>
  </w:style>
  <w:style w:type="paragraph" w:customStyle="1" w:styleId="2808">
    <w:name w:val="图题注2"/>
    <w:basedOn w:val="24"/>
    <w:autoRedefine/>
    <w:qFormat/>
    <w:uiPriority w:val="0"/>
    <w:pPr>
      <w:keepNext w:val="0"/>
      <w:widowControl w:val="0"/>
      <w:adjustRightInd/>
      <w:snapToGrid/>
      <w:spacing w:line="240" w:lineRule="auto"/>
    </w:pPr>
    <w:rPr>
      <w:rFonts w:ascii="黑体" w:hAnsi="Arial" w:eastAsia="黑体" w:cs="宋体"/>
      <w:bCs/>
      <w:kern w:val="2"/>
      <w:sz w:val="24"/>
      <w:szCs w:val="24"/>
      <w:lang w:val="en-US"/>
    </w:rPr>
  </w:style>
  <w:style w:type="character" w:customStyle="1" w:styleId="2809">
    <w:name w:val="图题注 Char2"/>
    <w:autoRedefine/>
    <w:qFormat/>
    <w:uiPriority w:val="0"/>
    <w:rPr>
      <w:rFonts w:ascii="黑体" w:hAnsi="Arial" w:eastAsia="黑体" w:cs="宋体"/>
      <w:b/>
      <w:bCs/>
      <w:kern w:val="2"/>
      <w:sz w:val="24"/>
      <w:szCs w:val="24"/>
      <w:lang w:val="en-US" w:eastAsia="zh-CN" w:bidi="ar-SA"/>
    </w:rPr>
  </w:style>
  <w:style w:type="paragraph" w:customStyle="1" w:styleId="2810">
    <w:name w:val="Char72"/>
    <w:basedOn w:val="1"/>
    <w:autoRedefine/>
    <w:qFormat/>
    <w:uiPriority w:val="0"/>
    <w:pPr>
      <w:ind w:left="-48"/>
    </w:pPr>
  </w:style>
  <w:style w:type="paragraph" w:customStyle="1" w:styleId="2811">
    <w:name w:val="表格内字体112"/>
    <w:basedOn w:val="403"/>
    <w:autoRedefine/>
    <w:qFormat/>
    <w:uiPriority w:val="0"/>
    <w:pPr>
      <w:spacing w:line="240" w:lineRule="auto"/>
      <w:ind w:firstLine="0"/>
      <w:jc w:val="center"/>
    </w:pPr>
    <w:rPr>
      <w:sz w:val="21"/>
      <w:szCs w:val="20"/>
    </w:rPr>
  </w:style>
  <w:style w:type="paragraph" w:customStyle="1" w:styleId="2812">
    <w:name w:val="Char Char2 Char Char Char Char6"/>
    <w:basedOn w:val="1"/>
    <w:autoRedefine/>
    <w:qFormat/>
    <w:uiPriority w:val="0"/>
  </w:style>
  <w:style w:type="paragraph" w:customStyle="1" w:styleId="2813">
    <w:name w:val="样式 正文缩进 + 宋体 黑色 首行缩进:  2 字符2"/>
    <w:basedOn w:val="8"/>
    <w:autoRedefine/>
    <w:qFormat/>
    <w:uiPriority w:val="0"/>
    <w:pPr>
      <w:spacing w:line="360" w:lineRule="auto"/>
      <w:ind w:firstLine="480"/>
      <w:jc w:val="left"/>
    </w:pPr>
    <w:rPr>
      <w:rFonts w:ascii="宋体" w:hAnsi="宋体" w:cs="宋体"/>
      <w:color w:val="FF00FF"/>
      <w:sz w:val="24"/>
    </w:rPr>
  </w:style>
  <w:style w:type="paragraph" w:customStyle="1" w:styleId="2814">
    <w:name w:val="环评正文2"/>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2815">
    <w:name w:val="环评正文 Char2"/>
    <w:autoRedefine/>
    <w:qFormat/>
    <w:uiPriority w:val="0"/>
    <w:rPr>
      <w:rFonts w:eastAsia="宋体"/>
      <w:bCs/>
      <w:kern w:val="2"/>
      <w:sz w:val="24"/>
      <w:szCs w:val="24"/>
      <w:lang w:val="en-US" w:eastAsia="zh-CN" w:bidi="ar-SA"/>
    </w:rPr>
  </w:style>
  <w:style w:type="paragraph" w:customStyle="1" w:styleId="2816">
    <w:name w:val="注释2"/>
    <w:basedOn w:val="403"/>
    <w:next w:val="2"/>
    <w:autoRedefine/>
    <w:qFormat/>
    <w:uiPriority w:val="0"/>
    <w:pPr>
      <w:spacing w:before="120" w:after="120" w:line="240" w:lineRule="auto"/>
      <w:ind w:firstLine="200" w:firstLineChars="200"/>
    </w:pPr>
    <w:rPr>
      <w:sz w:val="21"/>
      <w:szCs w:val="20"/>
    </w:rPr>
  </w:style>
  <w:style w:type="paragraph" w:customStyle="1" w:styleId="2817">
    <w:name w:val="样式42"/>
    <w:basedOn w:val="2"/>
    <w:autoRedefine/>
    <w:qFormat/>
    <w:uiPriority w:val="0"/>
    <w:pPr>
      <w:widowControl w:val="0"/>
      <w:tabs>
        <w:tab w:val="left" w:pos="1820"/>
      </w:tabs>
      <w:spacing w:before="0" w:after="0" w:line="240" w:lineRule="atLeast"/>
      <w:ind w:right="0"/>
      <w:jc w:val="center"/>
    </w:pPr>
    <w:rPr>
      <w:rFonts w:eastAsia="幼圆"/>
      <w:sz w:val="21"/>
    </w:rPr>
  </w:style>
  <w:style w:type="paragraph" w:customStyle="1" w:styleId="2818">
    <w:name w:val="标题413"/>
    <w:basedOn w:val="9"/>
    <w:next w:val="1"/>
    <w:autoRedefine/>
    <w:qFormat/>
    <w:uiPriority w:val="0"/>
    <w:pPr>
      <w:spacing w:before="160" w:after="170" w:line="360" w:lineRule="auto"/>
    </w:pPr>
    <w:rPr>
      <w:rFonts w:ascii="黑体"/>
      <w:kern w:val="0"/>
      <w:sz w:val="24"/>
      <w:lang w:val="zh-CN"/>
    </w:rPr>
  </w:style>
  <w:style w:type="paragraph" w:customStyle="1" w:styleId="2819">
    <w:name w:val="表中文字42"/>
    <w:basedOn w:val="1"/>
    <w:autoRedefine/>
    <w:qFormat/>
    <w:uiPriority w:val="0"/>
    <w:pPr>
      <w:snapToGrid w:val="0"/>
      <w:spacing w:line="340" w:lineRule="exact"/>
      <w:ind w:firstLine="480" w:firstLineChars="200"/>
      <w:jc w:val="center"/>
    </w:pPr>
    <w:rPr>
      <w:rFonts w:ascii="Arial" w:hAnsi="Arial"/>
      <w:kern w:val="0"/>
      <w:sz w:val="20"/>
      <w:lang w:eastAsia="zh-TW"/>
    </w:rPr>
  </w:style>
  <w:style w:type="character" w:customStyle="1" w:styleId="2820">
    <w:name w:val="表中文字 Char3"/>
    <w:autoRedefine/>
    <w:qFormat/>
    <w:uiPriority w:val="0"/>
    <w:rPr>
      <w:rFonts w:ascii="Arial" w:hAnsi="Arial" w:eastAsia="宋体"/>
      <w:kern w:val="2"/>
      <w:sz w:val="24"/>
      <w:szCs w:val="24"/>
      <w:lang w:val="en-US" w:eastAsia="zh-TW" w:bidi="ar-SA"/>
    </w:rPr>
  </w:style>
  <w:style w:type="paragraph" w:customStyle="1" w:styleId="2821">
    <w:name w:val="样式 正文缩进 + 宋体 黑色2"/>
    <w:basedOn w:val="8"/>
    <w:autoRedefine/>
    <w:qFormat/>
    <w:uiPriority w:val="0"/>
    <w:pPr>
      <w:spacing w:line="360" w:lineRule="auto"/>
      <w:ind w:firstLine="200"/>
      <w:jc w:val="left"/>
    </w:pPr>
    <w:rPr>
      <w:rFonts w:ascii="宋体" w:hAnsi="宋体"/>
      <w:color w:val="000000"/>
      <w:sz w:val="24"/>
      <w:szCs w:val="24"/>
    </w:rPr>
  </w:style>
  <w:style w:type="character" w:customStyle="1" w:styleId="2822">
    <w:name w:val="样式 正文缩进 + 宋体 黑色 Char2"/>
    <w:autoRedefine/>
    <w:qFormat/>
    <w:uiPriority w:val="0"/>
    <w:rPr>
      <w:rFonts w:ascii="宋体" w:hAnsi="宋体" w:eastAsia="宋体"/>
      <w:color w:val="000000"/>
      <w:kern w:val="2"/>
      <w:sz w:val="24"/>
      <w:szCs w:val="24"/>
      <w:lang w:val="en-US" w:eastAsia="zh-CN" w:bidi="ar-SA"/>
    </w:rPr>
  </w:style>
  <w:style w:type="paragraph" w:customStyle="1" w:styleId="2823">
    <w:name w:val="表内512"/>
    <w:basedOn w:val="1"/>
    <w:autoRedefine/>
    <w:qFormat/>
    <w:uiPriority w:val="0"/>
    <w:pPr>
      <w:adjustRightInd w:val="0"/>
      <w:snapToGrid w:val="0"/>
      <w:jc w:val="center"/>
    </w:pPr>
    <w:rPr>
      <w:rFonts w:ascii="宋体" w:hAnsi="宋体"/>
      <w:kern w:val="0"/>
      <w:sz w:val="20"/>
      <w:szCs w:val="20"/>
    </w:rPr>
  </w:style>
  <w:style w:type="character" w:customStyle="1" w:styleId="2824">
    <w:name w:val="表内5 Char3"/>
    <w:autoRedefine/>
    <w:qFormat/>
    <w:uiPriority w:val="0"/>
    <w:rPr>
      <w:rFonts w:ascii="宋体" w:hAnsi="宋体" w:eastAsia="宋体" w:cs="Times New Roman"/>
      <w:kern w:val="2"/>
      <w:sz w:val="24"/>
      <w:szCs w:val="24"/>
      <w:lang w:val="en-US" w:eastAsia="zh-CN" w:bidi="ar-SA"/>
    </w:rPr>
  </w:style>
  <w:style w:type="paragraph" w:customStyle="1" w:styleId="2825">
    <w:name w:val="样式 样式 宋体 + 首行缩进:  2 字符12"/>
    <w:basedOn w:val="1"/>
    <w:autoRedefine/>
    <w:qFormat/>
    <w:uiPriority w:val="0"/>
    <w:pPr>
      <w:spacing w:line="360" w:lineRule="auto"/>
      <w:ind w:firstLine="480" w:firstLineChars="200"/>
      <w:jc w:val="left"/>
    </w:pPr>
    <w:rPr>
      <w:rFonts w:ascii="宋体" w:cs="宋体"/>
      <w:sz w:val="24"/>
    </w:rPr>
  </w:style>
  <w:style w:type="paragraph" w:customStyle="1" w:styleId="2826">
    <w:name w:val="表内宋5中22"/>
    <w:basedOn w:val="1"/>
    <w:autoRedefine/>
    <w:qFormat/>
    <w:uiPriority w:val="0"/>
    <w:pPr>
      <w:adjustRightInd w:val="0"/>
      <w:snapToGrid w:val="0"/>
      <w:jc w:val="center"/>
      <w:textAlignment w:val="baseline"/>
    </w:pPr>
    <w:rPr>
      <w:rFonts w:ascii="宋体" w:hAnsi="宋体"/>
      <w:kern w:val="0"/>
      <w:szCs w:val="20"/>
    </w:rPr>
  </w:style>
  <w:style w:type="paragraph" w:customStyle="1" w:styleId="2827">
    <w:name w:val="xl632"/>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2828">
    <w:name w:val="标准2"/>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2829">
    <w:name w:val="Fax Header2"/>
    <w:basedOn w:val="1"/>
    <w:autoRedefine/>
    <w:qFormat/>
    <w:uiPriority w:val="0"/>
    <w:pPr>
      <w:widowControl/>
      <w:spacing w:before="240" w:after="60"/>
      <w:jc w:val="left"/>
    </w:pPr>
    <w:rPr>
      <w:kern w:val="0"/>
      <w:sz w:val="20"/>
      <w:szCs w:val="20"/>
    </w:rPr>
  </w:style>
  <w:style w:type="paragraph" w:customStyle="1" w:styleId="2830">
    <w:name w:val="样式 表格内字体1 +2"/>
    <w:basedOn w:val="2173"/>
    <w:next w:val="2085"/>
    <w:autoRedefine/>
    <w:qFormat/>
    <w:uiPriority w:val="0"/>
    <w:rPr>
      <w:rFonts w:hAnsi="Times New Roman" w:cs="宋体"/>
      <w:szCs w:val="20"/>
    </w:rPr>
  </w:style>
  <w:style w:type="paragraph" w:customStyle="1" w:styleId="2831">
    <w:name w:val="默认段落字体 Para Char32"/>
    <w:basedOn w:val="1"/>
    <w:autoRedefine/>
    <w:qFormat/>
    <w:uiPriority w:val="0"/>
    <w:pPr>
      <w:spacing w:line="360" w:lineRule="auto"/>
      <w:ind w:firstLine="200" w:firstLineChars="200"/>
    </w:pPr>
    <w:rPr>
      <w:rFonts w:ascii="宋体" w:hAnsi="宋体" w:cs="宋体"/>
      <w:sz w:val="24"/>
    </w:rPr>
  </w:style>
  <w:style w:type="paragraph" w:customStyle="1" w:styleId="2832">
    <w:name w:val="正文斜体2"/>
    <w:basedOn w:val="403"/>
    <w:next w:val="403"/>
    <w:autoRedefine/>
    <w:qFormat/>
    <w:uiPriority w:val="0"/>
    <w:rPr>
      <w:rFonts w:hAnsi="宋体" w:cs="Times New Roman"/>
      <w:i/>
      <w:iCs/>
    </w:rPr>
  </w:style>
  <w:style w:type="character" w:customStyle="1" w:styleId="2833">
    <w:name w:val="正文斜体 Char2"/>
    <w:autoRedefine/>
    <w:qFormat/>
    <w:uiPriority w:val="0"/>
    <w:rPr>
      <w:rFonts w:ascii="宋体" w:eastAsia="宋体" w:cs="宋体"/>
      <w:i/>
      <w:iCs/>
      <w:kern w:val="2"/>
      <w:sz w:val="24"/>
      <w:szCs w:val="24"/>
      <w:lang w:val="en-US" w:eastAsia="zh-CN" w:bidi="ar-SA"/>
    </w:rPr>
  </w:style>
  <w:style w:type="paragraph" w:customStyle="1" w:styleId="2834">
    <w:name w:val="Char Char2 Char Char Char Char12"/>
    <w:basedOn w:val="1"/>
    <w:autoRedefine/>
    <w:qFormat/>
    <w:uiPriority w:val="0"/>
  </w:style>
  <w:style w:type="paragraph" w:customStyle="1" w:styleId="2835">
    <w:name w:val="Char82"/>
    <w:basedOn w:val="1"/>
    <w:autoRedefine/>
    <w:qFormat/>
    <w:uiPriority w:val="0"/>
    <w:pPr>
      <w:ind w:left="-48"/>
    </w:pPr>
  </w:style>
  <w:style w:type="paragraph" w:customStyle="1" w:styleId="2836">
    <w:name w:val="正文格式72"/>
    <w:basedOn w:val="1"/>
    <w:autoRedefine/>
    <w:qFormat/>
    <w:uiPriority w:val="0"/>
    <w:pPr>
      <w:spacing w:line="360" w:lineRule="auto"/>
      <w:ind w:firstLine="482"/>
    </w:pPr>
    <w:rPr>
      <w:rFonts w:ascii="宋体" w:hAnsi="宋体"/>
      <w:sz w:val="24"/>
    </w:rPr>
  </w:style>
  <w:style w:type="character" w:customStyle="1" w:styleId="2837">
    <w:name w:val="题注 Char52"/>
    <w:autoRedefine/>
    <w:qFormat/>
    <w:uiPriority w:val="0"/>
    <w:rPr>
      <w:rFonts w:ascii="黑体" w:hAnsi="Arial" w:eastAsia="黑体" w:cs="Arial"/>
      <w:b/>
      <w:kern w:val="2"/>
      <w:sz w:val="24"/>
      <w:szCs w:val="24"/>
      <w:lang w:val="en-US" w:eastAsia="zh-CN" w:bidi="ar-SA"/>
    </w:rPr>
  </w:style>
  <w:style w:type="paragraph" w:customStyle="1" w:styleId="2838">
    <w:name w:val="图题72"/>
    <w:basedOn w:val="403"/>
    <w:next w:val="403"/>
    <w:autoRedefine/>
    <w:qFormat/>
    <w:uiPriority w:val="0"/>
    <w:pPr>
      <w:ind w:firstLine="0"/>
      <w:jc w:val="center"/>
    </w:pPr>
    <w:rPr>
      <w:rFonts w:ascii="黑体" w:hAnsi="宋体" w:eastAsia="黑体"/>
      <w:b/>
      <w:bCs/>
    </w:rPr>
  </w:style>
  <w:style w:type="paragraph" w:customStyle="1" w:styleId="2839">
    <w:name w:val="表格内字体72"/>
    <w:basedOn w:val="403"/>
    <w:next w:val="403"/>
    <w:autoRedefine/>
    <w:qFormat/>
    <w:uiPriority w:val="0"/>
    <w:pPr>
      <w:spacing w:line="240" w:lineRule="auto"/>
      <w:ind w:firstLine="0"/>
      <w:jc w:val="center"/>
    </w:pPr>
    <w:rPr>
      <w:rFonts w:hAnsi="宋体" w:cs="Times New Roman"/>
      <w:sz w:val="21"/>
    </w:rPr>
  </w:style>
  <w:style w:type="paragraph" w:customStyle="1" w:styleId="2840">
    <w:name w:val="正文格式＝62"/>
    <w:basedOn w:val="403"/>
    <w:next w:val="403"/>
    <w:autoRedefine/>
    <w:qFormat/>
    <w:uiPriority w:val="0"/>
    <w:rPr>
      <w:rFonts w:hAnsi="宋体" w:cs="Times New Roman"/>
    </w:rPr>
  </w:style>
  <w:style w:type="paragraph" w:customStyle="1" w:styleId="2841">
    <w:name w:val="表题152"/>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842">
    <w:name w:val="表题1 Char62"/>
    <w:autoRedefine/>
    <w:qFormat/>
    <w:uiPriority w:val="0"/>
    <w:rPr>
      <w:rFonts w:ascii="黑体" w:hAnsi="Arial" w:eastAsia="黑体" w:cs="Arial"/>
      <w:b/>
      <w:kern w:val="2"/>
      <w:sz w:val="24"/>
      <w:szCs w:val="24"/>
      <w:lang w:val="en-US" w:eastAsia="zh-CN" w:bidi="ar-SA"/>
    </w:rPr>
  </w:style>
  <w:style w:type="paragraph" w:customStyle="1" w:styleId="2843">
    <w:name w:val="燕山正文42"/>
    <w:basedOn w:val="1"/>
    <w:autoRedefine/>
    <w:qFormat/>
    <w:uiPriority w:val="0"/>
    <w:pPr>
      <w:tabs>
        <w:tab w:val="left" w:pos="4680"/>
      </w:tabs>
      <w:adjustRightInd w:val="0"/>
      <w:snapToGrid w:val="0"/>
      <w:spacing w:line="480" w:lineRule="exact"/>
    </w:pPr>
    <w:rPr>
      <w:rFonts w:ascii="宋体" w:cs="宋体"/>
      <w:sz w:val="24"/>
    </w:rPr>
  </w:style>
  <w:style w:type="paragraph" w:customStyle="1" w:styleId="2844">
    <w:name w:val="正文修改42"/>
    <w:basedOn w:val="2088"/>
    <w:autoRedefine/>
    <w:qFormat/>
    <w:uiPriority w:val="0"/>
    <w:rPr>
      <w:rFonts w:hAnsi="宋体"/>
      <w:color w:val="000000"/>
    </w:rPr>
  </w:style>
  <w:style w:type="character" w:customStyle="1" w:styleId="2845">
    <w:name w:val="正文修改 Char142"/>
    <w:autoRedefine/>
    <w:qFormat/>
    <w:uiPriority w:val="0"/>
  </w:style>
  <w:style w:type="paragraph" w:customStyle="1" w:styleId="2846">
    <w:name w:val="表中文字5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847">
    <w:name w:val="默认段落字体 Para Char Char Char Char52"/>
    <w:basedOn w:val="1"/>
    <w:autoRedefine/>
    <w:qFormat/>
    <w:uiPriority w:val="0"/>
  </w:style>
  <w:style w:type="paragraph" w:customStyle="1" w:styleId="2848">
    <w:name w:val="Char102"/>
    <w:basedOn w:val="1"/>
    <w:autoRedefine/>
    <w:qFormat/>
    <w:uiPriority w:val="0"/>
    <w:pPr>
      <w:adjustRightInd w:val="0"/>
      <w:snapToGrid w:val="0"/>
      <w:spacing w:line="360" w:lineRule="auto"/>
    </w:pPr>
  </w:style>
  <w:style w:type="paragraph" w:customStyle="1" w:styleId="2849">
    <w:name w:val="封面标准文稿编辑信息2"/>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850">
    <w:name w:val="样式 表内小5 + 黑体 加粗 倾斜 下划线2"/>
    <w:basedOn w:val="1"/>
    <w:autoRedefine/>
    <w:qFormat/>
    <w:uiPriority w:val="0"/>
    <w:pPr>
      <w:adjustRightInd w:val="0"/>
      <w:snapToGrid w:val="0"/>
      <w:spacing w:line="300" w:lineRule="auto"/>
      <w:jc w:val="left"/>
    </w:pPr>
    <w:rPr>
      <w:rFonts w:ascii="黑体" w:hAnsi="黑体" w:eastAsia="黑体"/>
      <w:b/>
      <w:bCs/>
      <w:i/>
      <w:iCs/>
      <w:sz w:val="18"/>
      <w:u w:val="single"/>
    </w:rPr>
  </w:style>
  <w:style w:type="character" w:customStyle="1" w:styleId="2851">
    <w:name w:val="样式 表内小5 + 黑体 加粗 倾斜 下划线 Char2"/>
    <w:autoRedefine/>
    <w:qFormat/>
    <w:uiPriority w:val="0"/>
    <w:rPr>
      <w:rFonts w:ascii="黑体" w:hAnsi="黑体" w:eastAsia="黑体"/>
      <w:b/>
      <w:bCs/>
      <w:i/>
      <w:iCs/>
      <w:kern w:val="2"/>
      <w:sz w:val="18"/>
      <w:szCs w:val="24"/>
      <w:u w:val="single"/>
      <w:lang w:val="en-US" w:eastAsia="zh-CN" w:bidi="ar-SA"/>
    </w:rPr>
  </w:style>
  <w:style w:type="paragraph" w:customStyle="1" w:styleId="2852">
    <w:name w:val="表内5中12"/>
    <w:basedOn w:val="1"/>
    <w:autoRedefine/>
    <w:qFormat/>
    <w:uiPriority w:val="0"/>
    <w:pPr>
      <w:adjustRightInd w:val="0"/>
      <w:snapToGrid w:val="0"/>
      <w:jc w:val="center"/>
    </w:pPr>
    <w:rPr>
      <w:rFonts w:ascii="宋体" w:hAnsi="宋体" w:cs="Arial"/>
      <w:snapToGrid w:val="0"/>
      <w:color w:val="000000"/>
      <w:szCs w:val="21"/>
    </w:rPr>
  </w:style>
  <w:style w:type="paragraph" w:customStyle="1" w:styleId="2853">
    <w:name w:val="表内54142"/>
    <w:basedOn w:val="1"/>
    <w:autoRedefine/>
    <w:qFormat/>
    <w:uiPriority w:val="0"/>
    <w:pPr>
      <w:adjustRightInd w:val="0"/>
      <w:snapToGrid w:val="0"/>
      <w:spacing w:line="300" w:lineRule="auto"/>
      <w:jc w:val="center"/>
    </w:pPr>
    <w:rPr>
      <w:rFonts w:ascii="宋体" w:hAnsi="宋体" w:cs="宋体"/>
      <w:szCs w:val="20"/>
    </w:rPr>
  </w:style>
  <w:style w:type="paragraph" w:customStyle="1" w:styleId="2854">
    <w:name w:val="表格12"/>
    <w:basedOn w:val="1"/>
    <w:autoRedefine/>
    <w:qFormat/>
    <w:uiPriority w:val="0"/>
    <w:pPr>
      <w:adjustRightInd w:val="0"/>
      <w:jc w:val="center"/>
      <w:textAlignment w:val="baseline"/>
    </w:pPr>
    <w:rPr>
      <w:rFonts w:ascii="宋体"/>
      <w:kern w:val="0"/>
      <w:sz w:val="24"/>
      <w:szCs w:val="20"/>
    </w:rPr>
  </w:style>
  <w:style w:type="paragraph" w:customStyle="1" w:styleId="2855">
    <w:name w:val="c2"/>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856">
    <w:name w:val="表题92"/>
    <w:basedOn w:val="46"/>
    <w:autoRedefine/>
    <w:qFormat/>
    <w:uiPriority w:val="0"/>
    <w:pPr>
      <w:adjustRightInd w:val="0"/>
      <w:snapToGrid w:val="0"/>
      <w:spacing w:line="300" w:lineRule="auto"/>
      <w:jc w:val="center"/>
    </w:pPr>
    <w:rPr>
      <w:rFonts w:ascii="黑体" w:eastAsia="黑体" w:cs="Times New Roman"/>
      <w:sz w:val="24"/>
      <w:szCs w:val="20"/>
    </w:rPr>
  </w:style>
  <w:style w:type="paragraph" w:customStyle="1" w:styleId="2857">
    <w:name w:val="福建正文缩进2"/>
    <w:basedOn w:val="8"/>
    <w:autoRedefine/>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szCs w:val="24"/>
    </w:rPr>
  </w:style>
  <w:style w:type="character" w:customStyle="1" w:styleId="2858">
    <w:name w:val="福建正文缩进 Char2"/>
    <w:autoRedefine/>
    <w:qFormat/>
    <w:uiPriority w:val="0"/>
    <w:rPr>
      <w:rFonts w:ascii="宋体" w:hAnsi="宋体" w:eastAsia="宋体" w:cs="宋体"/>
      <w:color w:val="000000"/>
      <w:kern w:val="2"/>
      <w:sz w:val="24"/>
      <w:szCs w:val="24"/>
      <w:lang w:val="en-US" w:eastAsia="zh-CN" w:bidi="ar-SA"/>
    </w:rPr>
  </w:style>
  <w:style w:type="paragraph" w:customStyle="1" w:styleId="2859">
    <w:name w:val="表内文字小13"/>
    <w:basedOn w:val="1"/>
    <w:autoRedefine/>
    <w:qFormat/>
    <w:uiPriority w:val="0"/>
    <w:pPr>
      <w:adjustRightInd w:val="0"/>
      <w:snapToGrid w:val="0"/>
      <w:jc w:val="center"/>
    </w:pPr>
    <w:rPr>
      <w:rFonts w:ascii="宋体" w:hAnsi="Times"/>
      <w:szCs w:val="20"/>
    </w:rPr>
  </w:style>
  <w:style w:type="paragraph" w:customStyle="1" w:styleId="2860">
    <w:name w:val="表内592"/>
    <w:basedOn w:val="1"/>
    <w:autoRedefine/>
    <w:qFormat/>
    <w:uiPriority w:val="0"/>
    <w:pPr>
      <w:adjustRightInd w:val="0"/>
      <w:snapToGrid w:val="0"/>
      <w:spacing w:line="300" w:lineRule="auto"/>
      <w:jc w:val="center"/>
    </w:pPr>
    <w:rPr>
      <w:rFonts w:ascii="宋体"/>
      <w:snapToGrid w:val="0"/>
      <w:szCs w:val="21"/>
    </w:rPr>
  </w:style>
  <w:style w:type="character" w:customStyle="1" w:styleId="2861">
    <w:name w:val="正文首行缩进 2 Char2"/>
    <w:autoRedefine/>
    <w:qFormat/>
    <w:uiPriority w:val="0"/>
    <w:rPr>
      <w:rFonts w:ascii="Times New Roman" w:hAnsi="Times New Roman" w:eastAsia="宋体"/>
      <w:kern w:val="2"/>
      <w:sz w:val="21"/>
      <w:lang w:val="en-US" w:eastAsia="zh-CN" w:bidi="ar-SA"/>
    </w:rPr>
  </w:style>
  <w:style w:type="paragraph" w:customStyle="1" w:styleId="2862">
    <w:name w:val="表内小5中2"/>
    <w:basedOn w:val="1"/>
    <w:autoRedefine/>
    <w:qFormat/>
    <w:uiPriority w:val="0"/>
    <w:pPr>
      <w:adjustRightInd w:val="0"/>
      <w:snapToGrid w:val="0"/>
      <w:jc w:val="center"/>
    </w:pPr>
    <w:rPr>
      <w:rFonts w:ascii="宋体" w:hAnsi="宋体"/>
      <w:sz w:val="18"/>
      <w:szCs w:val="20"/>
    </w:rPr>
  </w:style>
  <w:style w:type="paragraph" w:customStyle="1" w:styleId="2863">
    <w:name w:val="表内5中42"/>
    <w:basedOn w:val="1"/>
    <w:autoRedefine/>
    <w:qFormat/>
    <w:uiPriority w:val="0"/>
    <w:pPr>
      <w:adjustRightInd w:val="0"/>
      <w:snapToGrid w:val="0"/>
      <w:jc w:val="center"/>
    </w:pPr>
    <w:rPr>
      <w:rFonts w:ascii="宋体"/>
      <w:bCs/>
      <w:szCs w:val="20"/>
    </w:rPr>
  </w:style>
  <w:style w:type="paragraph" w:customStyle="1" w:styleId="2864">
    <w:name w:val="默认段落字体 Para Char4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865">
    <w:name w:val="燕山正文13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866">
    <w:name w:val="样式 标题 4无效格式无效格式1河石管道4H4H41小小节河石管道41H42H411小小节1河石管道42...3"/>
    <w:basedOn w:val="9"/>
    <w:autoRedefine/>
    <w:qFormat/>
    <w:uiPriority w:val="0"/>
    <w:pPr>
      <w:adjustRightInd w:val="0"/>
      <w:snapToGrid w:val="0"/>
      <w:spacing w:before="0" w:after="0" w:line="360" w:lineRule="auto"/>
      <w:ind w:left="664" w:hanging="864"/>
    </w:pPr>
    <w:rPr>
      <w:rFonts w:ascii="黑体"/>
      <w:b w:val="0"/>
      <w:bCs w:val="0"/>
      <w:sz w:val="24"/>
      <w:szCs w:val="24"/>
      <w:lang w:val="zh-CN"/>
    </w:rPr>
  </w:style>
  <w:style w:type="paragraph" w:customStyle="1" w:styleId="2867">
    <w:name w:val="样式 标题 4无效格式无效格式1河石管道4H4H41小小节河石管道41H42H411小小节1河石管道42...12"/>
    <w:basedOn w:val="9"/>
    <w:autoRedefine/>
    <w:qFormat/>
    <w:uiPriority w:val="0"/>
    <w:pPr>
      <w:adjustRightInd w:val="0"/>
      <w:snapToGrid w:val="0"/>
      <w:spacing w:before="0" w:after="0" w:line="360" w:lineRule="auto"/>
      <w:ind w:left="664" w:hanging="864"/>
      <w:jc w:val="left"/>
    </w:pPr>
    <w:rPr>
      <w:rFonts w:ascii="黑体" w:cs="宋体"/>
      <w:b w:val="0"/>
      <w:bCs w:val="0"/>
      <w:sz w:val="24"/>
      <w:szCs w:val="20"/>
      <w:lang w:val="zh-CN"/>
    </w:rPr>
  </w:style>
  <w:style w:type="paragraph" w:customStyle="1" w:styleId="2868">
    <w:name w:val="正文格式83"/>
    <w:basedOn w:val="1"/>
    <w:autoRedefine/>
    <w:qFormat/>
    <w:uiPriority w:val="0"/>
    <w:pPr>
      <w:spacing w:line="360" w:lineRule="auto"/>
      <w:ind w:firstLine="482"/>
    </w:pPr>
    <w:rPr>
      <w:rFonts w:ascii="宋体" w:hAnsi="宋体"/>
      <w:sz w:val="24"/>
    </w:rPr>
  </w:style>
  <w:style w:type="paragraph" w:customStyle="1" w:styleId="2869">
    <w:name w:val="正文格式92"/>
    <w:basedOn w:val="1"/>
    <w:autoRedefine/>
    <w:qFormat/>
    <w:uiPriority w:val="0"/>
    <w:pPr>
      <w:spacing w:line="360" w:lineRule="auto"/>
      <w:ind w:firstLine="482"/>
    </w:pPr>
    <w:rPr>
      <w:rFonts w:ascii="宋体" w:hAnsi="宋体"/>
      <w:sz w:val="24"/>
    </w:rPr>
  </w:style>
  <w:style w:type="paragraph" w:customStyle="1" w:styleId="2870">
    <w:name w:val="Char45"/>
    <w:basedOn w:val="1"/>
    <w:autoRedefine/>
    <w:qFormat/>
    <w:uiPriority w:val="0"/>
    <w:pPr>
      <w:ind w:left="-48"/>
    </w:pPr>
  </w:style>
  <w:style w:type="paragraph" w:customStyle="1" w:styleId="2871">
    <w:name w:val="Char Char Char Char Char Char Char8"/>
    <w:basedOn w:val="1"/>
    <w:autoRedefine/>
    <w:qFormat/>
    <w:uiPriority w:val="0"/>
  </w:style>
  <w:style w:type="paragraph" w:customStyle="1" w:styleId="2872">
    <w:name w:val="Char Char2 Char Char Char Char7"/>
    <w:basedOn w:val="1"/>
    <w:autoRedefine/>
    <w:qFormat/>
    <w:uiPriority w:val="0"/>
  </w:style>
  <w:style w:type="paragraph" w:customStyle="1" w:styleId="2873">
    <w:name w:val="Char26"/>
    <w:basedOn w:val="1"/>
    <w:autoRedefine/>
    <w:qFormat/>
    <w:uiPriority w:val="0"/>
    <w:pPr>
      <w:ind w:left="-48"/>
    </w:pPr>
  </w:style>
  <w:style w:type="paragraph" w:customStyle="1" w:styleId="2874">
    <w:name w:val="Char Char Char Char1 Char Char Char4"/>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2875">
    <w:name w:val="Char Char114"/>
    <w:autoRedefine/>
    <w:qFormat/>
    <w:uiPriority w:val="0"/>
    <w:rPr>
      <w:rFonts w:ascii="黑体" w:hAnsi="Arial" w:eastAsia="黑体"/>
      <w:bCs/>
      <w:kern w:val="2"/>
      <w:sz w:val="30"/>
      <w:szCs w:val="30"/>
      <w:lang w:val="en-US" w:eastAsia="zh-CN" w:bidi="ar-SA"/>
    </w:rPr>
  </w:style>
  <w:style w:type="paragraph" w:customStyle="1" w:styleId="2876">
    <w:name w:val="Char112"/>
    <w:basedOn w:val="1"/>
    <w:autoRedefine/>
    <w:qFormat/>
    <w:uiPriority w:val="0"/>
    <w:pPr>
      <w:ind w:left="-48"/>
    </w:pPr>
  </w:style>
  <w:style w:type="paragraph" w:customStyle="1" w:styleId="2877">
    <w:name w:val="Char Char Char Char Char Char Char16"/>
    <w:basedOn w:val="1"/>
    <w:autoRedefine/>
    <w:qFormat/>
    <w:uiPriority w:val="0"/>
  </w:style>
  <w:style w:type="character" w:customStyle="1" w:styleId="2878">
    <w:name w:val="Char Char64"/>
    <w:autoRedefine/>
    <w:qFormat/>
    <w:uiPriority w:val="0"/>
    <w:rPr>
      <w:rFonts w:ascii="黑体" w:eastAsia="黑体"/>
      <w:b/>
      <w:bCs/>
      <w:kern w:val="2"/>
      <w:sz w:val="28"/>
      <w:szCs w:val="28"/>
      <w:lang w:val="en-US" w:eastAsia="zh-CN" w:bidi="ar-SA"/>
    </w:rPr>
  </w:style>
  <w:style w:type="paragraph" w:customStyle="1" w:styleId="2879">
    <w:name w:val="Char27"/>
    <w:basedOn w:val="1"/>
    <w:autoRedefine/>
    <w:qFormat/>
    <w:uiPriority w:val="0"/>
    <w:pPr>
      <w:ind w:left="-48"/>
    </w:pPr>
  </w:style>
  <w:style w:type="paragraph" w:customStyle="1" w:styleId="2880">
    <w:name w:val="Char Char Char Char Char Char Char24"/>
    <w:basedOn w:val="1"/>
    <w:autoRedefine/>
    <w:qFormat/>
    <w:uiPriority w:val="0"/>
  </w:style>
  <w:style w:type="paragraph" w:customStyle="1" w:styleId="2881">
    <w:name w:val="Char46"/>
    <w:basedOn w:val="1"/>
    <w:autoRedefine/>
    <w:qFormat/>
    <w:uiPriority w:val="0"/>
    <w:pPr>
      <w:ind w:left="-48"/>
    </w:pPr>
  </w:style>
  <w:style w:type="paragraph" w:customStyle="1" w:styleId="2882">
    <w:name w:val="Char Char Char Char Char Char Char9"/>
    <w:basedOn w:val="1"/>
    <w:autoRedefine/>
    <w:qFormat/>
    <w:uiPriority w:val="0"/>
  </w:style>
  <w:style w:type="paragraph" w:customStyle="1" w:styleId="2883">
    <w:name w:val="Char Char2 Char Char Char Char8"/>
    <w:basedOn w:val="1"/>
    <w:autoRedefine/>
    <w:qFormat/>
    <w:uiPriority w:val="0"/>
  </w:style>
  <w:style w:type="paragraph" w:customStyle="1" w:styleId="2884">
    <w:name w:val="Char28"/>
    <w:basedOn w:val="1"/>
    <w:autoRedefine/>
    <w:qFormat/>
    <w:uiPriority w:val="0"/>
    <w:pPr>
      <w:ind w:left="-48"/>
    </w:pPr>
  </w:style>
  <w:style w:type="paragraph" w:customStyle="1" w:styleId="2885">
    <w:name w:val="Char Char Char Char1 Char Char Char5"/>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2886">
    <w:name w:val="Char Char115"/>
    <w:autoRedefine/>
    <w:qFormat/>
    <w:uiPriority w:val="0"/>
    <w:rPr>
      <w:rFonts w:ascii="黑体" w:hAnsi="Arial" w:eastAsia="黑体"/>
      <w:bCs/>
      <w:kern w:val="2"/>
      <w:sz w:val="30"/>
      <w:szCs w:val="30"/>
      <w:lang w:val="en-US" w:eastAsia="zh-CN" w:bidi="ar-SA"/>
    </w:rPr>
  </w:style>
  <w:style w:type="paragraph" w:customStyle="1" w:styleId="2887">
    <w:name w:val="Char113"/>
    <w:basedOn w:val="1"/>
    <w:autoRedefine/>
    <w:qFormat/>
    <w:uiPriority w:val="0"/>
    <w:pPr>
      <w:ind w:left="-48"/>
    </w:pPr>
  </w:style>
  <w:style w:type="paragraph" w:customStyle="1" w:styleId="2888">
    <w:name w:val="Char Char Char Char Char Char Char17"/>
    <w:basedOn w:val="1"/>
    <w:autoRedefine/>
    <w:qFormat/>
    <w:uiPriority w:val="0"/>
  </w:style>
  <w:style w:type="character" w:customStyle="1" w:styleId="2889">
    <w:name w:val="Char Char65"/>
    <w:autoRedefine/>
    <w:qFormat/>
    <w:uiPriority w:val="0"/>
    <w:rPr>
      <w:rFonts w:ascii="黑体" w:eastAsia="黑体"/>
      <w:b/>
      <w:bCs/>
      <w:kern w:val="2"/>
      <w:sz w:val="28"/>
      <w:szCs w:val="28"/>
      <w:lang w:val="en-US" w:eastAsia="zh-CN" w:bidi="ar-SA"/>
    </w:rPr>
  </w:style>
  <w:style w:type="paragraph" w:customStyle="1" w:styleId="2890">
    <w:name w:val="Char29"/>
    <w:basedOn w:val="1"/>
    <w:autoRedefine/>
    <w:qFormat/>
    <w:uiPriority w:val="0"/>
    <w:pPr>
      <w:ind w:left="-48"/>
    </w:pPr>
  </w:style>
  <w:style w:type="paragraph" w:customStyle="1" w:styleId="2891">
    <w:name w:val="Char Char Char Char Char Char Char25"/>
    <w:basedOn w:val="1"/>
    <w:autoRedefine/>
    <w:qFormat/>
    <w:uiPriority w:val="0"/>
  </w:style>
  <w:style w:type="paragraph" w:customStyle="1" w:styleId="2892">
    <w:name w:val="Char47"/>
    <w:basedOn w:val="1"/>
    <w:autoRedefine/>
    <w:qFormat/>
    <w:uiPriority w:val="0"/>
    <w:pPr>
      <w:ind w:left="-48"/>
    </w:pPr>
  </w:style>
  <w:style w:type="character" w:customStyle="1" w:styleId="2893">
    <w:name w:val="表格内容 Char2"/>
    <w:autoRedefine/>
    <w:qFormat/>
    <w:uiPriority w:val="0"/>
    <w:rPr>
      <w:rFonts w:eastAsia="宋体"/>
      <w:kern w:val="2"/>
      <w:sz w:val="21"/>
      <w:szCs w:val="21"/>
      <w:lang w:val="en-US" w:eastAsia="zh-CN" w:bidi="ar-SA"/>
    </w:rPr>
  </w:style>
  <w:style w:type="paragraph" w:customStyle="1" w:styleId="2894">
    <w:name w:val="正文格式101"/>
    <w:basedOn w:val="1"/>
    <w:autoRedefine/>
    <w:qFormat/>
    <w:uiPriority w:val="0"/>
    <w:pPr>
      <w:spacing w:line="360" w:lineRule="auto"/>
      <w:ind w:firstLine="482"/>
    </w:pPr>
    <w:rPr>
      <w:rFonts w:ascii="宋体" w:hAnsi="宋体"/>
      <w:sz w:val="24"/>
    </w:rPr>
  </w:style>
  <w:style w:type="character" w:customStyle="1" w:styleId="2895">
    <w:name w:val="题注 Char61"/>
    <w:autoRedefine/>
    <w:qFormat/>
    <w:uiPriority w:val="0"/>
    <w:rPr>
      <w:rFonts w:ascii="黑体" w:hAnsi="Arial" w:eastAsia="黑体" w:cs="Arial"/>
      <w:b/>
      <w:kern w:val="2"/>
      <w:sz w:val="24"/>
      <w:szCs w:val="24"/>
      <w:lang w:val="en-US" w:eastAsia="zh-CN" w:bidi="ar-SA"/>
    </w:rPr>
  </w:style>
  <w:style w:type="paragraph" w:customStyle="1" w:styleId="2896">
    <w:name w:val="图题81"/>
    <w:basedOn w:val="403"/>
    <w:next w:val="403"/>
    <w:autoRedefine/>
    <w:qFormat/>
    <w:uiPriority w:val="0"/>
    <w:pPr>
      <w:ind w:firstLine="0"/>
      <w:jc w:val="center"/>
    </w:pPr>
    <w:rPr>
      <w:rFonts w:ascii="黑体" w:hAnsi="宋体" w:eastAsia="黑体"/>
      <w:b/>
      <w:bCs/>
    </w:rPr>
  </w:style>
  <w:style w:type="paragraph" w:customStyle="1" w:styleId="2897">
    <w:name w:val="表格内字体81"/>
    <w:basedOn w:val="403"/>
    <w:next w:val="403"/>
    <w:autoRedefine/>
    <w:qFormat/>
    <w:uiPriority w:val="0"/>
    <w:pPr>
      <w:spacing w:line="240" w:lineRule="auto"/>
      <w:ind w:firstLine="0"/>
      <w:jc w:val="center"/>
    </w:pPr>
    <w:rPr>
      <w:rFonts w:hAnsi="宋体" w:cs="Times New Roman"/>
      <w:sz w:val="21"/>
    </w:rPr>
  </w:style>
  <w:style w:type="paragraph" w:customStyle="1" w:styleId="2898">
    <w:name w:val="Char114"/>
    <w:basedOn w:val="1"/>
    <w:autoRedefine/>
    <w:qFormat/>
    <w:uiPriority w:val="0"/>
    <w:pPr>
      <w:ind w:left="-48"/>
    </w:pPr>
  </w:style>
  <w:style w:type="paragraph" w:customStyle="1" w:styleId="2899">
    <w:name w:val="正文格式＝71"/>
    <w:basedOn w:val="403"/>
    <w:next w:val="403"/>
    <w:autoRedefine/>
    <w:qFormat/>
    <w:uiPriority w:val="0"/>
    <w:rPr>
      <w:rFonts w:hAnsi="宋体" w:cs="Times New Roman"/>
    </w:rPr>
  </w:style>
  <w:style w:type="paragraph" w:customStyle="1" w:styleId="2900">
    <w:name w:val="表题161"/>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2901">
    <w:name w:val="表题1 Char71"/>
    <w:autoRedefine/>
    <w:qFormat/>
    <w:uiPriority w:val="0"/>
    <w:rPr>
      <w:rFonts w:ascii="黑体" w:hAnsi="Arial" w:eastAsia="黑体" w:cs="Arial"/>
      <w:b/>
      <w:kern w:val="2"/>
      <w:sz w:val="24"/>
      <w:szCs w:val="24"/>
      <w:lang w:val="en-US" w:eastAsia="zh-CN" w:bidi="ar-SA"/>
    </w:rPr>
  </w:style>
  <w:style w:type="paragraph" w:customStyle="1" w:styleId="2902">
    <w:name w:val="燕山正文51"/>
    <w:basedOn w:val="1"/>
    <w:autoRedefine/>
    <w:qFormat/>
    <w:uiPriority w:val="0"/>
    <w:pPr>
      <w:tabs>
        <w:tab w:val="left" w:pos="4680"/>
      </w:tabs>
      <w:adjustRightInd w:val="0"/>
      <w:snapToGrid w:val="0"/>
      <w:spacing w:line="480" w:lineRule="exact"/>
    </w:pPr>
    <w:rPr>
      <w:rFonts w:ascii="宋体" w:cs="宋体"/>
      <w:sz w:val="24"/>
    </w:rPr>
  </w:style>
  <w:style w:type="paragraph" w:customStyle="1" w:styleId="2903">
    <w:name w:val="正文修改51"/>
    <w:basedOn w:val="2088"/>
    <w:autoRedefine/>
    <w:qFormat/>
    <w:uiPriority w:val="0"/>
    <w:rPr>
      <w:rFonts w:hAnsi="宋体"/>
      <w:color w:val="000000"/>
    </w:rPr>
  </w:style>
  <w:style w:type="character" w:customStyle="1" w:styleId="2904">
    <w:name w:val="正文修改 Char151"/>
    <w:autoRedefine/>
    <w:qFormat/>
    <w:uiPriority w:val="0"/>
    <w:rPr>
      <w:rFonts w:ascii="宋体" w:hAnsi="宋体" w:eastAsia="宋体" w:cs="宋体"/>
      <w:color w:val="000000"/>
      <w:sz w:val="24"/>
      <w:szCs w:val="24"/>
    </w:rPr>
  </w:style>
  <w:style w:type="paragraph" w:customStyle="1" w:styleId="2905">
    <w:name w:val="表中文字6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906">
    <w:name w:val="默认段落字体 Para Char Char Char Char61"/>
    <w:basedOn w:val="1"/>
    <w:autoRedefine/>
    <w:qFormat/>
    <w:uiPriority w:val="0"/>
  </w:style>
  <w:style w:type="paragraph" w:customStyle="1" w:styleId="2907">
    <w:name w:val="Char1211"/>
    <w:basedOn w:val="1"/>
    <w:autoRedefine/>
    <w:qFormat/>
    <w:uiPriority w:val="0"/>
    <w:pPr>
      <w:adjustRightInd w:val="0"/>
      <w:snapToGrid w:val="0"/>
      <w:spacing w:line="360" w:lineRule="auto"/>
    </w:pPr>
  </w:style>
  <w:style w:type="paragraph" w:customStyle="1" w:styleId="2908">
    <w:name w:val="封面标准文稿编辑信息11"/>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909">
    <w:name w:val="样式 表内小5 + 黑体 加粗 倾斜 下划线11"/>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2910">
    <w:name w:val="表内5中21"/>
    <w:basedOn w:val="1"/>
    <w:autoRedefine/>
    <w:qFormat/>
    <w:uiPriority w:val="0"/>
    <w:pPr>
      <w:adjustRightInd w:val="0"/>
      <w:snapToGrid w:val="0"/>
      <w:jc w:val="center"/>
    </w:pPr>
    <w:rPr>
      <w:rFonts w:ascii="宋体" w:hAnsi="宋体" w:cs="Arial"/>
      <w:snapToGrid w:val="0"/>
      <w:color w:val="000000"/>
      <w:szCs w:val="21"/>
    </w:rPr>
  </w:style>
  <w:style w:type="paragraph" w:customStyle="1" w:styleId="2911">
    <w:name w:val="表内54151"/>
    <w:basedOn w:val="1"/>
    <w:autoRedefine/>
    <w:qFormat/>
    <w:uiPriority w:val="0"/>
    <w:pPr>
      <w:adjustRightInd w:val="0"/>
      <w:snapToGrid w:val="0"/>
      <w:spacing w:line="300" w:lineRule="auto"/>
      <w:jc w:val="center"/>
    </w:pPr>
    <w:rPr>
      <w:rFonts w:ascii="宋体" w:hAnsi="宋体" w:cs="宋体"/>
      <w:szCs w:val="20"/>
    </w:rPr>
  </w:style>
  <w:style w:type="paragraph" w:customStyle="1" w:styleId="2912">
    <w:name w:val="表格111"/>
    <w:basedOn w:val="1"/>
    <w:autoRedefine/>
    <w:qFormat/>
    <w:uiPriority w:val="0"/>
    <w:pPr>
      <w:adjustRightInd w:val="0"/>
      <w:jc w:val="center"/>
      <w:textAlignment w:val="baseline"/>
    </w:pPr>
    <w:rPr>
      <w:rFonts w:ascii="宋体"/>
      <w:kern w:val="0"/>
      <w:sz w:val="24"/>
      <w:szCs w:val="20"/>
    </w:rPr>
  </w:style>
  <w:style w:type="paragraph" w:customStyle="1" w:styleId="2913">
    <w:name w:val="c11"/>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914">
    <w:name w:val="表题911"/>
    <w:basedOn w:val="46"/>
    <w:autoRedefine/>
    <w:qFormat/>
    <w:uiPriority w:val="0"/>
    <w:pPr>
      <w:adjustRightInd w:val="0"/>
      <w:snapToGrid w:val="0"/>
      <w:spacing w:line="300" w:lineRule="auto"/>
      <w:jc w:val="center"/>
    </w:pPr>
    <w:rPr>
      <w:rFonts w:ascii="黑体" w:eastAsia="黑体" w:cs="Times New Roman"/>
      <w:sz w:val="24"/>
      <w:szCs w:val="20"/>
    </w:rPr>
  </w:style>
  <w:style w:type="paragraph" w:customStyle="1" w:styleId="2915">
    <w:name w:val="福建正文缩进11"/>
    <w:basedOn w:val="8"/>
    <w:autoRedefine/>
    <w:qFormat/>
    <w:uiPriority w:val="0"/>
    <w:pPr>
      <w:adjustRightInd w:val="0"/>
      <w:snapToGrid w:val="0"/>
      <w:spacing w:line="360" w:lineRule="auto"/>
      <w:ind w:firstLine="567" w:firstLineChars="0"/>
    </w:pPr>
    <w:rPr>
      <w:rFonts w:ascii="宋体"/>
      <w:kern w:val="0"/>
      <w:sz w:val="24"/>
      <w:szCs w:val="24"/>
    </w:rPr>
  </w:style>
  <w:style w:type="paragraph" w:customStyle="1" w:styleId="2916">
    <w:name w:val="表内文字小32"/>
    <w:basedOn w:val="1"/>
    <w:autoRedefine/>
    <w:qFormat/>
    <w:uiPriority w:val="0"/>
    <w:pPr>
      <w:adjustRightInd w:val="0"/>
      <w:snapToGrid w:val="0"/>
      <w:jc w:val="center"/>
    </w:pPr>
    <w:rPr>
      <w:rFonts w:ascii="宋体" w:hAnsi="Times"/>
      <w:szCs w:val="20"/>
    </w:rPr>
  </w:style>
  <w:style w:type="paragraph" w:customStyle="1" w:styleId="2917">
    <w:name w:val="表内5911"/>
    <w:basedOn w:val="1"/>
    <w:autoRedefine/>
    <w:qFormat/>
    <w:uiPriority w:val="0"/>
    <w:pPr>
      <w:adjustRightInd w:val="0"/>
      <w:snapToGrid w:val="0"/>
      <w:spacing w:line="300" w:lineRule="auto"/>
      <w:jc w:val="center"/>
    </w:pPr>
    <w:rPr>
      <w:rFonts w:ascii="宋体"/>
      <w:snapToGrid w:val="0"/>
      <w:szCs w:val="21"/>
    </w:rPr>
  </w:style>
  <w:style w:type="paragraph" w:customStyle="1" w:styleId="2918">
    <w:name w:val="表内小5中11"/>
    <w:basedOn w:val="1"/>
    <w:autoRedefine/>
    <w:qFormat/>
    <w:uiPriority w:val="0"/>
    <w:pPr>
      <w:adjustRightInd w:val="0"/>
      <w:snapToGrid w:val="0"/>
      <w:jc w:val="center"/>
    </w:pPr>
    <w:rPr>
      <w:rFonts w:ascii="宋体" w:hAnsi="宋体"/>
      <w:sz w:val="18"/>
      <w:szCs w:val="20"/>
    </w:rPr>
  </w:style>
  <w:style w:type="paragraph" w:customStyle="1" w:styleId="2919">
    <w:name w:val="表内5中411"/>
    <w:basedOn w:val="1"/>
    <w:autoRedefine/>
    <w:qFormat/>
    <w:uiPriority w:val="0"/>
    <w:pPr>
      <w:adjustRightInd w:val="0"/>
      <w:snapToGrid w:val="0"/>
      <w:jc w:val="center"/>
    </w:pPr>
    <w:rPr>
      <w:rFonts w:ascii="宋体"/>
      <w:bCs/>
      <w:szCs w:val="20"/>
    </w:rPr>
  </w:style>
  <w:style w:type="paragraph" w:customStyle="1" w:styleId="2920">
    <w:name w:val="默认段落字体 Para Char5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921">
    <w:name w:val="燕山正文131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922">
    <w:name w:val="样式 标题 4无效格式无效格式1河石管道4H4H41小小节河石管道41H42H411小小节1河石管道42...21"/>
    <w:basedOn w:val="9"/>
    <w:autoRedefine/>
    <w:qFormat/>
    <w:uiPriority w:val="0"/>
    <w:pPr>
      <w:adjustRightInd w:val="0"/>
      <w:snapToGrid w:val="0"/>
      <w:spacing w:before="0" w:after="0" w:line="360" w:lineRule="auto"/>
      <w:ind w:left="664" w:hanging="864"/>
    </w:pPr>
    <w:rPr>
      <w:rFonts w:ascii="黑体"/>
      <w:b w:val="0"/>
      <w:bCs w:val="0"/>
      <w:sz w:val="24"/>
      <w:szCs w:val="24"/>
      <w:lang w:val="zh-CN"/>
    </w:rPr>
  </w:style>
  <w:style w:type="paragraph" w:customStyle="1" w:styleId="2923">
    <w:name w:val="样式 标题 4无效格式无效格式1河石管道4H4H41小小节河石管道41H42H411小小节1河石管道42...111"/>
    <w:basedOn w:val="9"/>
    <w:autoRedefine/>
    <w:qFormat/>
    <w:uiPriority w:val="0"/>
    <w:pPr>
      <w:adjustRightInd w:val="0"/>
      <w:snapToGrid w:val="0"/>
      <w:spacing w:before="0" w:after="0" w:line="360" w:lineRule="auto"/>
      <w:ind w:left="664" w:hanging="864"/>
      <w:jc w:val="left"/>
    </w:pPr>
    <w:rPr>
      <w:rFonts w:ascii="黑体" w:cs="宋体"/>
      <w:b w:val="0"/>
      <w:bCs w:val="0"/>
      <w:sz w:val="24"/>
      <w:szCs w:val="20"/>
      <w:lang w:val="zh-CN"/>
    </w:rPr>
  </w:style>
  <w:style w:type="paragraph" w:customStyle="1" w:styleId="2924">
    <w:name w:val="附件41"/>
    <w:basedOn w:val="5"/>
    <w:next w:val="403"/>
    <w:autoRedefine/>
    <w:qFormat/>
    <w:uiPriority w:val="0"/>
    <w:pPr>
      <w:keepLines/>
      <w:overflowPunct/>
      <w:snapToGrid/>
      <w:spacing w:before="0" w:after="0" w:line="360" w:lineRule="auto"/>
      <w:ind w:left="0" w:firstLine="0"/>
      <w:jc w:val="left"/>
    </w:pPr>
    <w:rPr>
      <w:rFonts w:ascii="黑体" w:hAnsi="宋体"/>
      <w:color w:val="auto"/>
      <w:sz w:val="32"/>
      <w:szCs w:val="32"/>
    </w:rPr>
  </w:style>
  <w:style w:type="paragraph" w:customStyle="1" w:styleId="2925">
    <w:name w:val="标题43131"/>
    <w:basedOn w:val="1"/>
    <w:autoRedefine/>
    <w:qFormat/>
    <w:uiPriority w:val="0"/>
    <w:pPr>
      <w:adjustRightInd w:val="0"/>
      <w:snapToGrid w:val="0"/>
      <w:spacing w:line="480" w:lineRule="exact"/>
      <w:jc w:val="center"/>
    </w:pPr>
    <w:rPr>
      <w:rFonts w:ascii="宋体" w:hAnsi="宋体" w:cs="宋体"/>
      <w:sz w:val="24"/>
    </w:rPr>
  </w:style>
  <w:style w:type="paragraph" w:customStyle="1" w:styleId="2926">
    <w:name w:val="燕山正文114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27">
    <w:name w:val="表题4111"/>
    <w:basedOn w:val="36"/>
    <w:autoRedefine/>
    <w:qFormat/>
    <w:uiPriority w:val="0"/>
    <w:pPr>
      <w:tabs>
        <w:tab w:val="left" w:pos="4305"/>
      </w:tabs>
      <w:adjustRightInd w:val="0"/>
      <w:snapToGrid w:val="0"/>
      <w:spacing w:after="0"/>
      <w:ind w:left="0" w:leftChars="0"/>
      <w:jc w:val="center"/>
    </w:pPr>
    <w:rPr>
      <w:rFonts w:ascii="宋体" w:hAnsi="宋体" w:cs="宋体"/>
      <w:color w:val="000000"/>
      <w:kern w:val="2"/>
      <w:szCs w:val="24"/>
    </w:rPr>
  </w:style>
  <w:style w:type="paragraph" w:customStyle="1" w:styleId="2928">
    <w:name w:val="表内文字小2141"/>
    <w:basedOn w:val="1"/>
    <w:autoRedefine/>
    <w:qFormat/>
    <w:uiPriority w:val="0"/>
    <w:pPr>
      <w:adjustRightInd w:val="0"/>
      <w:snapToGrid w:val="0"/>
      <w:jc w:val="center"/>
    </w:pPr>
    <w:rPr>
      <w:rFonts w:ascii="宋体" w:hAnsi="Times"/>
      <w:bCs/>
      <w:color w:val="000000"/>
      <w:szCs w:val="20"/>
    </w:rPr>
  </w:style>
  <w:style w:type="paragraph" w:customStyle="1" w:styleId="2929">
    <w:name w:val="表题3141"/>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930">
    <w:name w:val="Char Char Char Char Char Char Char311"/>
    <w:basedOn w:val="1"/>
    <w:autoRedefine/>
    <w:qFormat/>
    <w:uiPriority w:val="0"/>
  </w:style>
  <w:style w:type="paragraph" w:customStyle="1" w:styleId="2931">
    <w:name w:val="正文221"/>
    <w:autoRedefine/>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932">
    <w:name w:val="表文字541"/>
    <w:basedOn w:val="1"/>
    <w:autoRedefine/>
    <w:qFormat/>
    <w:uiPriority w:val="0"/>
    <w:pPr>
      <w:adjustRightInd w:val="0"/>
      <w:jc w:val="left"/>
      <w:textAlignment w:val="baseline"/>
    </w:pPr>
    <w:rPr>
      <w:rFonts w:ascii="宋体"/>
      <w:kern w:val="0"/>
      <w:szCs w:val="20"/>
    </w:rPr>
  </w:style>
  <w:style w:type="paragraph" w:customStyle="1" w:styleId="2933">
    <w:name w:val="表内文字小3141"/>
    <w:basedOn w:val="1"/>
    <w:autoRedefine/>
    <w:qFormat/>
    <w:uiPriority w:val="0"/>
    <w:pPr>
      <w:adjustRightInd w:val="0"/>
      <w:snapToGrid w:val="0"/>
      <w:jc w:val="center"/>
    </w:pPr>
    <w:rPr>
      <w:rFonts w:ascii="宋体" w:hAnsi="Times" w:cs="宋体"/>
      <w:bCs/>
      <w:color w:val="003366"/>
      <w:szCs w:val="20"/>
    </w:rPr>
  </w:style>
  <w:style w:type="paragraph" w:customStyle="1" w:styleId="2934">
    <w:name w:val="表内宋51121"/>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2935">
    <w:name w:val="文本框21"/>
    <w:basedOn w:val="1"/>
    <w:autoRedefine/>
    <w:qFormat/>
    <w:uiPriority w:val="0"/>
    <w:pPr>
      <w:adjustRightInd w:val="0"/>
      <w:snapToGrid w:val="0"/>
      <w:spacing w:after="6"/>
      <w:jc w:val="center"/>
    </w:pPr>
    <w:rPr>
      <w:rFonts w:eastAsia="仿宋_GB2312"/>
    </w:rPr>
  </w:style>
  <w:style w:type="paragraph" w:customStyle="1" w:styleId="2936">
    <w:name w:val="正文.2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937">
    <w:name w:val="表41"/>
    <w:basedOn w:val="1"/>
    <w:autoRedefine/>
    <w:qFormat/>
    <w:uiPriority w:val="0"/>
    <w:pPr>
      <w:adjustRightInd w:val="0"/>
      <w:snapToGrid w:val="0"/>
      <w:jc w:val="center"/>
    </w:pPr>
    <w:rPr>
      <w:rFonts w:eastAsia="仿宋_GB2312"/>
      <w:sz w:val="24"/>
    </w:rPr>
  </w:style>
  <w:style w:type="paragraph" w:customStyle="1" w:styleId="2938">
    <w:name w:val="黑体三号51"/>
    <w:basedOn w:val="403"/>
    <w:autoRedefine/>
    <w:qFormat/>
    <w:uiPriority w:val="0"/>
    <w:pPr>
      <w:jc w:val="center"/>
    </w:pPr>
    <w:rPr>
      <w:rFonts w:ascii="黑体" w:hAnsi="宋体" w:eastAsia="黑体"/>
      <w:b/>
      <w:bCs/>
      <w:sz w:val="32"/>
      <w:szCs w:val="20"/>
    </w:rPr>
  </w:style>
  <w:style w:type="paragraph" w:customStyle="1" w:styleId="2939">
    <w:name w:val="Char Char2 Char Char Char Char211"/>
    <w:basedOn w:val="1"/>
    <w:autoRedefine/>
    <w:qFormat/>
    <w:uiPriority w:val="0"/>
  </w:style>
  <w:style w:type="paragraph" w:customStyle="1" w:styleId="2940">
    <w:name w:val="Char1311"/>
    <w:basedOn w:val="1"/>
    <w:autoRedefine/>
    <w:qFormat/>
    <w:uiPriority w:val="0"/>
    <w:pPr>
      <w:ind w:left="-48"/>
    </w:pPr>
  </w:style>
  <w:style w:type="paragraph" w:customStyle="1" w:styleId="2941">
    <w:name w:val="样式131"/>
    <w:basedOn w:val="2137"/>
    <w:autoRedefine/>
    <w:qFormat/>
    <w:uiPriority w:val="0"/>
    <w:pPr>
      <w:spacing w:line="240" w:lineRule="auto"/>
      <w:ind w:firstLine="0"/>
      <w:jc w:val="center"/>
    </w:pPr>
    <w:rPr>
      <w:rFonts w:cs="Times New Roman"/>
      <w:b/>
      <w:color w:val="auto"/>
      <w:szCs w:val="20"/>
    </w:rPr>
  </w:style>
  <w:style w:type="paragraph" w:customStyle="1" w:styleId="2942">
    <w:name w:val="首行缩进:  0.99 厘米 + 首行缩进:  2 字符11"/>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943">
    <w:name w:val="图表名称11"/>
    <w:basedOn w:val="316"/>
    <w:autoRedefine/>
    <w:qFormat/>
    <w:uiPriority w:val="0"/>
    <w:pPr>
      <w:adjustRightInd w:val="0"/>
      <w:snapToGrid w:val="0"/>
      <w:spacing w:after="0" w:line="480" w:lineRule="exact"/>
      <w:ind w:firstLine="0" w:firstLineChars="0"/>
      <w:jc w:val="center"/>
    </w:pPr>
    <w:rPr>
      <w:bCs/>
      <w:kern w:val="2"/>
      <w:lang w:val="zh-CN"/>
    </w:rPr>
  </w:style>
  <w:style w:type="paragraph" w:customStyle="1" w:styleId="2944">
    <w:name w:val="表内文字边11"/>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945">
    <w:name w:val="正文缩11"/>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946">
    <w:name w:val="样式211"/>
    <w:basedOn w:val="1"/>
    <w:autoRedefine/>
    <w:qFormat/>
    <w:uiPriority w:val="0"/>
    <w:pPr>
      <w:adjustRightInd w:val="0"/>
      <w:spacing w:line="360" w:lineRule="auto"/>
      <w:jc w:val="center"/>
      <w:textAlignment w:val="baseline"/>
      <w:outlineLvl w:val="0"/>
    </w:pPr>
    <w:rPr>
      <w:kern w:val="0"/>
      <w:szCs w:val="20"/>
    </w:rPr>
  </w:style>
  <w:style w:type="paragraph" w:customStyle="1" w:styleId="2947">
    <w:name w:val="默认段落字体 Para Char Char Char Char Char11"/>
    <w:basedOn w:val="1"/>
    <w:autoRedefine/>
    <w:qFormat/>
    <w:uiPriority w:val="0"/>
  </w:style>
  <w:style w:type="paragraph" w:customStyle="1" w:styleId="2948">
    <w:name w:val="表内宋5中31"/>
    <w:basedOn w:val="1"/>
    <w:autoRedefine/>
    <w:qFormat/>
    <w:uiPriority w:val="0"/>
    <w:pPr>
      <w:adjustRightInd w:val="0"/>
      <w:snapToGrid w:val="0"/>
      <w:textAlignment w:val="baseline"/>
    </w:pPr>
    <w:rPr>
      <w:color w:val="000000"/>
      <w:kern w:val="0"/>
      <w:szCs w:val="20"/>
    </w:rPr>
  </w:style>
  <w:style w:type="paragraph" w:customStyle="1" w:styleId="2949">
    <w:name w:val="样式 标题 3 + 段前: 12 磅11"/>
    <w:basedOn w:val="7"/>
    <w:autoRedefine/>
    <w:qFormat/>
    <w:uiPriority w:val="0"/>
    <w:pPr>
      <w:keepNext w:val="0"/>
      <w:keepLines w:val="0"/>
      <w:widowControl/>
      <w:autoSpaceDE w:val="0"/>
      <w:autoSpaceDN w:val="0"/>
      <w:snapToGrid w:val="0"/>
      <w:spacing w:before="0" w:line="360" w:lineRule="auto"/>
      <w:jc w:val="both"/>
      <w:textAlignment w:val="auto"/>
    </w:pPr>
    <w:rPr>
      <w:rFonts w:ascii="黑体" w:hAnsi="宋体" w:cs="宋体"/>
      <w:color w:val="000000"/>
      <w:kern w:val="21"/>
      <w:sz w:val="24"/>
      <w:szCs w:val="20"/>
    </w:rPr>
  </w:style>
  <w:style w:type="paragraph" w:customStyle="1" w:styleId="2950">
    <w:name w:val="表内521"/>
    <w:basedOn w:val="1"/>
    <w:autoRedefine/>
    <w:qFormat/>
    <w:uiPriority w:val="0"/>
    <w:pPr>
      <w:adjustRightInd w:val="0"/>
      <w:snapToGrid w:val="0"/>
      <w:spacing w:line="300" w:lineRule="auto"/>
      <w:jc w:val="left"/>
    </w:pPr>
    <w:rPr>
      <w:rFonts w:ascii="宋体"/>
      <w:sz w:val="18"/>
      <w:szCs w:val="20"/>
    </w:rPr>
  </w:style>
  <w:style w:type="paragraph" w:customStyle="1" w:styleId="2951">
    <w:name w:val="表内宋512"/>
    <w:basedOn w:val="2165"/>
    <w:autoRedefine/>
    <w:qFormat/>
    <w:uiPriority w:val="0"/>
    <w:pPr>
      <w:widowControl/>
      <w:autoSpaceDE w:val="0"/>
      <w:autoSpaceDN w:val="0"/>
      <w:jc w:val="left"/>
      <w:textAlignment w:val="auto"/>
    </w:pPr>
    <w:rPr>
      <w:color w:val="auto"/>
      <w:w w:val="90"/>
    </w:rPr>
  </w:style>
  <w:style w:type="paragraph" w:customStyle="1" w:styleId="2952">
    <w:name w:val="Char Char Char Char1 Char Char Char1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953">
    <w:name w:val="正文格式1111"/>
    <w:basedOn w:val="1"/>
    <w:autoRedefine/>
    <w:qFormat/>
    <w:uiPriority w:val="0"/>
    <w:pPr>
      <w:spacing w:line="360" w:lineRule="auto"/>
      <w:ind w:firstLine="482"/>
    </w:pPr>
    <w:rPr>
      <w:rFonts w:ascii="宋体" w:hAnsi="宋体"/>
      <w:sz w:val="24"/>
    </w:rPr>
  </w:style>
  <w:style w:type="paragraph" w:customStyle="1" w:styleId="2954">
    <w:name w:val="图题111"/>
    <w:basedOn w:val="403"/>
    <w:next w:val="403"/>
    <w:autoRedefine/>
    <w:qFormat/>
    <w:uiPriority w:val="0"/>
    <w:pPr>
      <w:ind w:firstLine="0"/>
      <w:jc w:val="center"/>
    </w:pPr>
    <w:rPr>
      <w:rFonts w:ascii="黑体" w:hAnsi="宋体" w:eastAsia="黑体"/>
      <w:b/>
      <w:bCs/>
    </w:rPr>
  </w:style>
  <w:style w:type="paragraph" w:customStyle="1" w:styleId="2955">
    <w:name w:val="表格内字体121"/>
    <w:basedOn w:val="403"/>
    <w:next w:val="403"/>
    <w:autoRedefine/>
    <w:qFormat/>
    <w:uiPriority w:val="0"/>
    <w:pPr>
      <w:spacing w:line="240" w:lineRule="auto"/>
      <w:ind w:firstLine="0"/>
      <w:jc w:val="center"/>
    </w:pPr>
    <w:rPr>
      <w:rFonts w:hAnsi="宋体" w:cs="Times New Roman"/>
      <w:sz w:val="21"/>
    </w:rPr>
  </w:style>
  <w:style w:type="paragraph" w:customStyle="1" w:styleId="2956">
    <w:name w:val="Char1411"/>
    <w:basedOn w:val="1"/>
    <w:autoRedefine/>
    <w:qFormat/>
    <w:uiPriority w:val="0"/>
    <w:pPr>
      <w:ind w:left="-48"/>
    </w:pPr>
  </w:style>
  <w:style w:type="paragraph" w:customStyle="1" w:styleId="2957">
    <w:name w:val="正文格式＝111"/>
    <w:basedOn w:val="403"/>
    <w:next w:val="403"/>
    <w:autoRedefine/>
    <w:qFormat/>
    <w:uiPriority w:val="0"/>
    <w:rPr>
      <w:rFonts w:hAnsi="宋体" w:cs="Times New Roman"/>
    </w:rPr>
  </w:style>
  <w:style w:type="paragraph" w:customStyle="1" w:styleId="2958">
    <w:name w:val="正文格式221"/>
    <w:basedOn w:val="1"/>
    <w:autoRedefine/>
    <w:qFormat/>
    <w:uiPriority w:val="0"/>
    <w:pPr>
      <w:spacing w:line="360" w:lineRule="auto"/>
      <w:ind w:firstLine="482"/>
    </w:pPr>
    <w:rPr>
      <w:rFonts w:ascii="宋体" w:hAnsi="宋体"/>
      <w:sz w:val="24"/>
    </w:rPr>
  </w:style>
  <w:style w:type="paragraph" w:customStyle="1" w:styleId="2959">
    <w:name w:val="Char1511"/>
    <w:basedOn w:val="1"/>
    <w:autoRedefine/>
    <w:qFormat/>
    <w:uiPriority w:val="0"/>
    <w:pPr>
      <w:adjustRightInd w:val="0"/>
      <w:snapToGrid w:val="0"/>
      <w:spacing w:beforeLines="50" w:line="360" w:lineRule="auto"/>
    </w:pPr>
    <w:rPr>
      <w:rFonts w:ascii="黑体" w:eastAsia="黑体"/>
      <w:sz w:val="32"/>
      <w:szCs w:val="32"/>
    </w:rPr>
  </w:style>
  <w:style w:type="character" w:customStyle="1" w:styleId="2960">
    <w:name w:val="题注 Char111"/>
    <w:autoRedefine/>
    <w:qFormat/>
    <w:uiPriority w:val="0"/>
    <w:rPr>
      <w:rFonts w:ascii="黑体" w:hAnsi="Arial" w:eastAsia="黑体" w:cs="Arial"/>
      <w:b/>
      <w:kern w:val="2"/>
      <w:sz w:val="24"/>
      <w:szCs w:val="24"/>
      <w:lang w:val="en-US" w:eastAsia="zh-CN" w:bidi="ar-SA"/>
    </w:rPr>
  </w:style>
  <w:style w:type="paragraph" w:customStyle="1" w:styleId="2961">
    <w:name w:val="图题221"/>
    <w:basedOn w:val="403"/>
    <w:next w:val="403"/>
    <w:autoRedefine/>
    <w:qFormat/>
    <w:uiPriority w:val="0"/>
    <w:pPr>
      <w:ind w:firstLine="0"/>
      <w:jc w:val="center"/>
    </w:pPr>
    <w:rPr>
      <w:rFonts w:ascii="黑体" w:hAnsi="宋体" w:eastAsia="黑体"/>
      <w:b/>
      <w:bCs/>
    </w:rPr>
  </w:style>
  <w:style w:type="paragraph" w:customStyle="1" w:styleId="2962">
    <w:name w:val="表格内字体221"/>
    <w:basedOn w:val="403"/>
    <w:next w:val="403"/>
    <w:autoRedefine/>
    <w:qFormat/>
    <w:uiPriority w:val="0"/>
    <w:pPr>
      <w:spacing w:line="240" w:lineRule="auto"/>
      <w:ind w:firstLine="0"/>
      <w:jc w:val="center"/>
    </w:pPr>
    <w:rPr>
      <w:rFonts w:hAnsi="宋体" w:cs="Times New Roman"/>
      <w:sz w:val="21"/>
    </w:rPr>
  </w:style>
  <w:style w:type="paragraph" w:customStyle="1" w:styleId="2963">
    <w:name w:val="表内541111"/>
    <w:basedOn w:val="1"/>
    <w:autoRedefine/>
    <w:qFormat/>
    <w:uiPriority w:val="0"/>
    <w:pPr>
      <w:adjustRightInd w:val="0"/>
      <w:snapToGrid w:val="0"/>
      <w:spacing w:line="300" w:lineRule="auto"/>
      <w:jc w:val="center"/>
    </w:pPr>
    <w:rPr>
      <w:rFonts w:ascii="宋体" w:hAnsi="宋体" w:cs="宋体"/>
      <w:szCs w:val="20"/>
    </w:rPr>
  </w:style>
  <w:style w:type="paragraph" w:customStyle="1" w:styleId="2964">
    <w:name w:val="表内文字小21111"/>
    <w:basedOn w:val="1"/>
    <w:autoRedefine/>
    <w:qFormat/>
    <w:uiPriority w:val="0"/>
    <w:pPr>
      <w:adjustRightInd w:val="0"/>
      <w:snapToGrid w:val="0"/>
      <w:jc w:val="center"/>
    </w:pPr>
    <w:rPr>
      <w:rFonts w:ascii="宋体" w:hAnsi="Times"/>
      <w:bCs/>
      <w:color w:val="000000"/>
      <w:szCs w:val="20"/>
    </w:rPr>
  </w:style>
  <w:style w:type="paragraph" w:customStyle="1" w:styleId="2965">
    <w:name w:val="表题31111"/>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966">
    <w:name w:val="Char Char Char Char Char Char Char1111"/>
    <w:basedOn w:val="1"/>
    <w:autoRedefine/>
    <w:qFormat/>
    <w:uiPriority w:val="0"/>
  </w:style>
  <w:style w:type="paragraph" w:customStyle="1" w:styleId="2967">
    <w:name w:val="标题431111"/>
    <w:basedOn w:val="1"/>
    <w:autoRedefine/>
    <w:qFormat/>
    <w:uiPriority w:val="0"/>
    <w:pPr>
      <w:adjustRightInd w:val="0"/>
      <w:snapToGrid w:val="0"/>
      <w:spacing w:line="480" w:lineRule="exact"/>
      <w:jc w:val="center"/>
    </w:pPr>
    <w:rPr>
      <w:rFonts w:ascii="宋体" w:hAnsi="宋体" w:cs="宋体"/>
      <w:sz w:val="24"/>
    </w:rPr>
  </w:style>
  <w:style w:type="paragraph" w:customStyle="1" w:styleId="2968">
    <w:name w:val="燕山正文1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69">
    <w:name w:val="默认段落字体 Para Char Char Char Char111"/>
    <w:basedOn w:val="1"/>
    <w:autoRedefine/>
    <w:qFormat/>
    <w:uiPriority w:val="0"/>
  </w:style>
  <w:style w:type="paragraph" w:customStyle="1" w:styleId="2970">
    <w:name w:val="附件111"/>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2971">
    <w:name w:val="黑体三号111"/>
    <w:basedOn w:val="403"/>
    <w:autoRedefine/>
    <w:qFormat/>
    <w:uiPriority w:val="0"/>
    <w:pPr>
      <w:jc w:val="center"/>
    </w:pPr>
    <w:rPr>
      <w:rFonts w:ascii="黑体" w:hAnsi="宋体" w:eastAsia="黑体"/>
      <w:b/>
      <w:bCs/>
      <w:sz w:val="32"/>
      <w:szCs w:val="20"/>
    </w:rPr>
  </w:style>
  <w:style w:type="paragraph" w:customStyle="1" w:styleId="2972">
    <w:name w:val="表111"/>
    <w:basedOn w:val="1"/>
    <w:autoRedefine/>
    <w:qFormat/>
    <w:uiPriority w:val="0"/>
    <w:pPr>
      <w:adjustRightInd w:val="0"/>
      <w:snapToGrid w:val="0"/>
      <w:jc w:val="center"/>
    </w:pPr>
    <w:rPr>
      <w:rFonts w:eastAsia="仿宋_GB2312"/>
      <w:sz w:val="24"/>
    </w:rPr>
  </w:style>
  <w:style w:type="paragraph" w:customStyle="1" w:styleId="2973">
    <w:name w:val="表题1121"/>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2974">
    <w:name w:val="燕山正文121"/>
    <w:basedOn w:val="1"/>
    <w:autoRedefine/>
    <w:qFormat/>
    <w:uiPriority w:val="0"/>
    <w:pPr>
      <w:tabs>
        <w:tab w:val="left" w:pos="4680"/>
      </w:tabs>
      <w:adjustRightInd w:val="0"/>
      <w:snapToGrid w:val="0"/>
      <w:spacing w:line="480" w:lineRule="exact"/>
    </w:pPr>
    <w:rPr>
      <w:rFonts w:ascii="宋体" w:cs="宋体"/>
      <w:sz w:val="24"/>
    </w:rPr>
  </w:style>
  <w:style w:type="paragraph" w:customStyle="1" w:styleId="2975">
    <w:name w:val="正文修改111"/>
    <w:basedOn w:val="2088"/>
    <w:autoRedefine/>
    <w:qFormat/>
    <w:uiPriority w:val="0"/>
    <w:rPr>
      <w:rFonts w:hAnsi="宋体"/>
      <w:color w:val="000000"/>
    </w:rPr>
  </w:style>
  <w:style w:type="character" w:customStyle="1" w:styleId="2976">
    <w:name w:val="正文修改 Char1111"/>
    <w:autoRedefine/>
    <w:qFormat/>
    <w:uiPriority w:val="0"/>
    <w:rPr>
      <w:rFonts w:ascii="宋体" w:hAnsi="宋体" w:eastAsia="宋体" w:cs="宋体"/>
      <w:color w:val="000000"/>
      <w:sz w:val="24"/>
      <w:szCs w:val="24"/>
    </w:rPr>
  </w:style>
  <w:style w:type="paragraph" w:customStyle="1" w:styleId="2977">
    <w:name w:val="表中文字12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2978">
    <w:name w:val="表文字5121"/>
    <w:basedOn w:val="1"/>
    <w:autoRedefine/>
    <w:qFormat/>
    <w:uiPriority w:val="0"/>
    <w:pPr>
      <w:adjustRightInd w:val="0"/>
      <w:jc w:val="left"/>
      <w:textAlignment w:val="baseline"/>
    </w:pPr>
    <w:rPr>
      <w:rFonts w:ascii="宋体"/>
      <w:kern w:val="0"/>
      <w:szCs w:val="20"/>
    </w:rPr>
  </w:style>
  <w:style w:type="paragraph" w:customStyle="1" w:styleId="2979">
    <w:name w:val="表内文字小31111"/>
    <w:basedOn w:val="1"/>
    <w:autoRedefine/>
    <w:qFormat/>
    <w:uiPriority w:val="0"/>
    <w:pPr>
      <w:adjustRightInd w:val="0"/>
      <w:snapToGrid w:val="0"/>
      <w:jc w:val="center"/>
    </w:pPr>
    <w:rPr>
      <w:rFonts w:ascii="宋体" w:hAnsi="Times" w:cs="宋体"/>
      <w:bCs/>
      <w:color w:val="003366"/>
      <w:szCs w:val="20"/>
    </w:rPr>
  </w:style>
  <w:style w:type="paragraph" w:customStyle="1" w:styleId="2980">
    <w:name w:val="样式1111"/>
    <w:basedOn w:val="2137"/>
    <w:autoRedefine/>
    <w:qFormat/>
    <w:uiPriority w:val="0"/>
    <w:pPr>
      <w:spacing w:line="240" w:lineRule="auto"/>
      <w:ind w:firstLine="0"/>
      <w:jc w:val="center"/>
    </w:pPr>
    <w:rPr>
      <w:rFonts w:cs="Times New Roman"/>
      <w:b/>
      <w:color w:val="auto"/>
      <w:szCs w:val="20"/>
    </w:rPr>
  </w:style>
  <w:style w:type="paragraph" w:customStyle="1" w:styleId="2981">
    <w:name w:val="正文格式＝211"/>
    <w:basedOn w:val="403"/>
    <w:next w:val="403"/>
    <w:autoRedefine/>
    <w:qFormat/>
    <w:uiPriority w:val="0"/>
    <w:rPr>
      <w:rFonts w:hAnsi="宋体" w:cs="Times New Roman"/>
    </w:rPr>
  </w:style>
  <w:style w:type="paragraph" w:customStyle="1" w:styleId="2982">
    <w:name w:val="Char2111"/>
    <w:basedOn w:val="1"/>
    <w:autoRedefine/>
    <w:qFormat/>
    <w:uiPriority w:val="0"/>
    <w:pPr>
      <w:ind w:left="-48"/>
    </w:pPr>
  </w:style>
  <w:style w:type="paragraph" w:customStyle="1" w:styleId="2983">
    <w:name w:val="表内文字小231"/>
    <w:basedOn w:val="1"/>
    <w:autoRedefine/>
    <w:qFormat/>
    <w:uiPriority w:val="0"/>
    <w:pPr>
      <w:adjustRightInd w:val="0"/>
      <w:snapToGrid w:val="0"/>
      <w:jc w:val="center"/>
    </w:pPr>
    <w:rPr>
      <w:rFonts w:ascii="宋体" w:hAnsi="Times"/>
      <w:bCs/>
      <w:color w:val="000000"/>
      <w:szCs w:val="20"/>
    </w:rPr>
  </w:style>
  <w:style w:type="paragraph" w:customStyle="1" w:styleId="2984">
    <w:name w:val="表内5321"/>
    <w:basedOn w:val="1"/>
    <w:autoRedefine/>
    <w:qFormat/>
    <w:uiPriority w:val="0"/>
    <w:pPr>
      <w:adjustRightInd w:val="0"/>
      <w:snapToGrid w:val="0"/>
      <w:spacing w:line="300" w:lineRule="auto"/>
      <w:jc w:val="left"/>
    </w:pPr>
    <w:rPr>
      <w:rFonts w:ascii="宋体"/>
      <w:szCs w:val="20"/>
    </w:rPr>
  </w:style>
  <w:style w:type="paragraph" w:customStyle="1" w:styleId="2985">
    <w:name w:val="正文格式311"/>
    <w:basedOn w:val="1"/>
    <w:autoRedefine/>
    <w:qFormat/>
    <w:uiPriority w:val="0"/>
    <w:pPr>
      <w:spacing w:line="360" w:lineRule="auto"/>
      <w:ind w:firstLine="482"/>
    </w:pPr>
    <w:rPr>
      <w:rFonts w:ascii="宋体" w:hAnsi="宋体"/>
      <w:sz w:val="24"/>
    </w:rPr>
  </w:style>
  <w:style w:type="paragraph" w:customStyle="1" w:styleId="2986">
    <w:name w:val="Char2211"/>
    <w:basedOn w:val="1"/>
    <w:autoRedefine/>
    <w:qFormat/>
    <w:uiPriority w:val="0"/>
    <w:pPr>
      <w:adjustRightInd w:val="0"/>
      <w:snapToGrid w:val="0"/>
      <w:spacing w:beforeLines="50" w:line="360" w:lineRule="auto"/>
    </w:pPr>
    <w:rPr>
      <w:rFonts w:ascii="黑体" w:eastAsia="黑体"/>
      <w:sz w:val="32"/>
      <w:szCs w:val="32"/>
    </w:rPr>
  </w:style>
  <w:style w:type="character" w:customStyle="1" w:styleId="2987">
    <w:name w:val="题注 Char211"/>
    <w:autoRedefine/>
    <w:qFormat/>
    <w:uiPriority w:val="0"/>
    <w:rPr>
      <w:rFonts w:ascii="黑体" w:hAnsi="Arial" w:eastAsia="黑体" w:cs="Arial"/>
      <w:b/>
      <w:kern w:val="2"/>
      <w:sz w:val="24"/>
      <w:szCs w:val="24"/>
      <w:lang w:val="en-US" w:eastAsia="zh-CN" w:bidi="ar-SA"/>
    </w:rPr>
  </w:style>
  <w:style w:type="paragraph" w:customStyle="1" w:styleId="2988">
    <w:name w:val="图题311"/>
    <w:basedOn w:val="403"/>
    <w:next w:val="403"/>
    <w:autoRedefine/>
    <w:qFormat/>
    <w:uiPriority w:val="0"/>
    <w:pPr>
      <w:ind w:firstLine="0"/>
      <w:jc w:val="center"/>
    </w:pPr>
    <w:rPr>
      <w:rFonts w:ascii="黑体" w:hAnsi="宋体" w:eastAsia="黑体"/>
      <w:b/>
      <w:bCs/>
    </w:rPr>
  </w:style>
  <w:style w:type="paragraph" w:customStyle="1" w:styleId="2989">
    <w:name w:val="表格内字体311"/>
    <w:basedOn w:val="403"/>
    <w:next w:val="403"/>
    <w:autoRedefine/>
    <w:qFormat/>
    <w:uiPriority w:val="0"/>
    <w:pPr>
      <w:spacing w:line="240" w:lineRule="auto"/>
      <w:ind w:firstLine="0"/>
      <w:jc w:val="center"/>
    </w:pPr>
    <w:rPr>
      <w:rFonts w:hAnsi="宋体" w:cs="Times New Roman"/>
      <w:sz w:val="21"/>
    </w:rPr>
  </w:style>
  <w:style w:type="paragraph" w:customStyle="1" w:styleId="2990">
    <w:name w:val="表内541211"/>
    <w:basedOn w:val="1"/>
    <w:autoRedefine/>
    <w:qFormat/>
    <w:uiPriority w:val="0"/>
    <w:pPr>
      <w:adjustRightInd w:val="0"/>
      <w:snapToGrid w:val="0"/>
      <w:spacing w:line="300" w:lineRule="auto"/>
      <w:jc w:val="center"/>
    </w:pPr>
    <w:rPr>
      <w:rFonts w:ascii="宋体" w:hAnsi="宋体" w:cs="宋体"/>
      <w:szCs w:val="20"/>
    </w:rPr>
  </w:style>
  <w:style w:type="paragraph" w:customStyle="1" w:styleId="2991">
    <w:name w:val="表内文字小21211"/>
    <w:basedOn w:val="1"/>
    <w:autoRedefine/>
    <w:qFormat/>
    <w:uiPriority w:val="0"/>
    <w:pPr>
      <w:adjustRightInd w:val="0"/>
      <w:snapToGrid w:val="0"/>
      <w:jc w:val="center"/>
    </w:pPr>
    <w:rPr>
      <w:rFonts w:ascii="宋体" w:hAnsi="Times"/>
      <w:bCs/>
      <w:color w:val="000000"/>
      <w:szCs w:val="20"/>
    </w:rPr>
  </w:style>
  <w:style w:type="paragraph" w:customStyle="1" w:styleId="2992">
    <w:name w:val="表题31211"/>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2993">
    <w:name w:val="Char Char Char Char Char Char Char411"/>
    <w:basedOn w:val="1"/>
    <w:autoRedefine/>
    <w:qFormat/>
    <w:uiPriority w:val="0"/>
  </w:style>
  <w:style w:type="paragraph" w:customStyle="1" w:styleId="2994">
    <w:name w:val="标题431211"/>
    <w:basedOn w:val="1"/>
    <w:autoRedefine/>
    <w:qFormat/>
    <w:uiPriority w:val="0"/>
    <w:pPr>
      <w:adjustRightInd w:val="0"/>
      <w:snapToGrid w:val="0"/>
      <w:spacing w:line="480" w:lineRule="exact"/>
      <w:jc w:val="center"/>
    </w:pPr>
    <w:rPr>
      <w:rFonts w:ascii="宋体" w:hAnsi="宋体" w:cs="宋体"/>
      <w:sz w:val="24"/>
    </w:rPr>
  </w:style>
  <w:style w:type="paragraph" w:customStyle="1" w:styleId="2995">
    <w:name w:val="燕山正文112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96">
    <w:name w:val="默认段落字体 Para Char Char Char Char211"/>
    <w:basedOn w:val="1"/>
    <w:autoRedefine/>
    <w:qFormat/>
    <w:uiPriority w:val="0"/>
  </w:style>
  <w:style w:type="paragraph" w:customStyle="1" w:styleId="2997">
    <w:name w:val="附件211"/>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2998">
    <w:name w:val="黑体三号211"/>
    <w:basedOn w:val="403"/>
    <w:autoRedefine/>
    <w:qFormat/>
    <w:uiPriority w:val="0"/>
    <w:pPr>
      <w:jc w:val="center"/>
    </w:pPr>
    <w:rPr>
      <w:rFonts w:ascii="黑体" w:hAnsi="宋体" w:eastAsia="黑体"/>
      <w:b/>
      <w:bCs/>
      <w:sz w:val="32"/>
      <w:szCs w:val="20"/>
    </w:rPr>
  </w:style>
  <w:style w:type="paragraph" w:customStyle="1" w:styleId="2999">
    <w:name w:val="表211"/>
    <w:basedOn w:val="1"/>
    <w:autoRedefine/>
    <w:qFormat/>
    <w:uiPriority w:val="0"/>
    <w:pPr>
      <w:adjustRightInd w:val="0"/>
      <w:snapToGrid w:val="0"/>
      <w:jc w:val="center"/>
    </w:pPr>
    <w:rPr>
      <w:rFonts w:eastAsia="仿宋_GB2312"/>
      <w:sz w:val="24"/>
    </w:rPr>
  </w:style>
  <w:style w:type="paragraph" w:customStyle="1" w:styleId="3000">
    <w:name w:val="表题1211"/>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3001">
    <w:name w:val="燕山正文2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002">
    <w:name w:val="正文修改211"/>
    <w:basedOn w:val="2088"/>
    <w:autoRedefine/>
    <w:qFormat/>
    <w:uiPriority w:val="0"/>
    <w:rPr>
      <w:rFonts w:hAnsi="宋体"/>
      <w:color w:val="000000"/>
    </w:rPr>
  </w:style>
  <w:style w:type="character" w:customStyle="1" w:styleId="3003">
    <w:name w:val="正文修改 Char1211"/>
    <w:autoRedefine/>
    <w:qFormat/>
    <w:uiPriority w:val="0"/>
    <w:rPr>
      <w:rFonts w:ascii="宋体" w:hAnsi="宋体" w:eastAsia="宋体" w:cs="宋体"/>
      <w:color w:val="000000"/>
      <w:sz w:val="24"/>
      <w:szCs w:val="24"/>
    </w:rPr>
  </w:style>
  <w:style w:type="paragraph" w:customStyle="1" w:styleId="3004">
    <w:name w:val="表中文字211"/>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005">
    <w:name w:val="表文字5211"/>
    <w:basedOn w:val="1"/>
    <w:autoRedefine/>
    <w:qFormat/>
    <w:uiPriority w:val="0"/>
    <w:pPr>
      <w:adjustRightInd w:val="0"/>
      <w:jc w:val="left"/>
      <w:textAlignment w:val="baseline"/>
    </w:pPr>
    <w:rPr>
      <w:rFonts w:ascii="宋体"/>
      <w:kern w:val="0"/>
      <w:szCs w:val="20"/>
    </w:rPr>
  </w:style>
  <w:style w:type="paragraph" w:customStyle="1" w:styleId="3006">
    <w:name w:val="表内文字小31211"/>
    <w:basedOn w:val="1"/>
    <w:autoRedefine/>
    <w:qFormat/>
    <w:uiPriority w:val="0"/>
    <w:pPr>
      <w:adjustRightInd w:val="0"/>
      <w:snapToGrid w:val="0"/>
      <w:jc w:val="center"/>
    </w:pPr>
    <w:rPr>
      <w:rFonts w:ascii="宋体" w:hAnsi="Times" w:cs="宋体"/>
      <w:bCs/>
      <w:color w:val="003366"/>
      <w:szCs w:val="20"/>
    </w:rPr>
  </w:style>
  <w:style w:type="paragraph" w:customStyle="1" w:styleId="3007">
    <w:name w:val="样式1211"/>
    <w:basedOn w:val="2137"/>
    <w:autoRedefine/>
    <w:qFormat/>
    <w:uiPriority w:val="0"/>
    <w:pPr>
      <w:spacing w:line="240" w:lineRule="auto"/>
      <w:ind w:firstLine="0"/>
      <w:jc w:val="center"/>
    </w:pPr>
    <w:rPr>
      <w:rFonts w:cs="Times New Roman"/>
      <w:b/>
      <w:color w:val="auto"/>
      <w:szCs w:val="20"/>
    </w:rPr>
  </w:style>
  <w:style w:type="paragraph" w:customStyle="1" w:styleId="3008">
    <w:name w:val="正文格式＝311"/>
    <w:basedOn w:val="403"/>
    <w:next w:val="403"/>
    <w:autoRedefine/>
    <w:qFormat/>
    <w:uiPriority w:val="0"/>
    <w:rPr>
      <w:rFonts w:hAnsi="宋体" w:cs="Times New Roman"/>
    </w:rPr>
  </w:style>
  <w:style w:type="paragraph" w:customStyle="1" w:styleId="3009">
    <w:name w:val="Char3111"/>
    <w:basedOn w:val="1"/>
    <w:autoRedefine/>
    <w:qFormat/>
    <w:uiPriority w:val="0"/>
    <w:pPr>
      <w:ind w:left="-48"/>
    </w:pPr>
  </w:style>
  <w:style w:type="paragraph" w:customStyle="1" w:styleId="3010">
    <w:name w:val="表内文字小2211"/>
    <w:basedOn w:val="1"/>
    <w:autoRedefine/>
    <w:qFormat/>
    <w:uiPriority w:val="0"/>
    <w:pPr>
      <w:adjustRightInd w:val="0"/>
      <w:snapToGrid w:val="0"/>
      <w:jc w:val="center"/>
    </w:pPr>
    <w:rPr>
      <w:rFonts w:ascii="宋体" w:hAnsi="Times"/>
      <w:bCs/>
      <w:color w:val="000000"/>
      <w:szCs w:val="20"/>
    </w:rPr>
  </w:style>
  <w:style w:type="paragraph" w:customStyle="1" w:styleId="3011">
    <w:name w:val="表内53111"/>
    <w:basedOn w:val="1"/>
    <w:autoRedefine/>
    <w:qFormat/>
    <w:uiPriority w:val="0"/>
    <w:pPr>
      <w:adjustRightInd w:val="0"/>
      <w:snapToGrid w:val="0"/>
      <w:spacing w:line="300" w:lineRule="auto"/>
      <w:jc w:val="left"/>
    </w:pPr>
    <w:rPr>
      <w:rFonts w:ascii="宋体"/>
      <w:szCs w:val="20"/>
    </w:rPr>
  </w:style>
  <w:style w:type="paragraph" w:customStyle="1" w:styleId="3012">
    <w:name w:val="正文格式2111"/>
    <w:basedOn w:val="1"/>
    <w:autoRedefine/>
    <w:qFormat/>
    <w:uiPriority w:val="0"/>
    <w:pPr>
      <w:spacing w:line="360" w:lineRule="auto"/>
      <w:ind w:firstLine="482"/>
    </w:pPr>
    <w:rPr>
      <w:rFonts w:ascii="宋体" w:hAnsi="宋体"/>
      <w:sz w:val="24"/>
    </w:rPr>
  </w:style>
  <w:style w:type="paragraph" w:customStyle="1" w:styleId="3013">
    <w:name w:val="图题2111"/>
    <w:basedOn w:val="403"/>
    <w:next w:val="403"/>
    <w:autoRedefine/>
    <w:qFormat/>
    <w:uiPriority w:val="0"/>
    <w:pPr>
      <w:ind w:firstLine="0"/>
      <w:jc w:val="center"/>
    </w:pPr>
    <w:rPr>
      <w:rFonts w:ascii="黑体" w:hAnsi="宋体" w:eastAsia="黑体"/>
      <w:b/>
      <w:bCs/>
    </w:rPr>
  </w:style>
  <w:style w:type="paragraph" w:customStyle="1" w:styleId="3014">
    <w:name w:val="表格内字体2111"/>
    <w:basedOn w:val="403"/>
    <w:next w:val="403"/>
    <w:autoRedefine/>
    <w:qFormat/>
    <w:uiPriority w:val="0"/>
    <w:pPr>
      <w:spacing w:line="240" w:lineRule="auto"/>
      <w:ind w:firstLine="0"/>
      <w:jc w:val="center"/>
    </w:pPr>
    <w:rPr>
      <w:rFonts w:hAnsi="宋体" w:cs="Times New Roman"/>
      <w:sz w:val="21"/>
    </w:rPr>
  </w:style>
  <w:style w:type="paragraph" w:customStyle="1" w:styleId="3015">
    <w:name w:val="表题11111"/>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3016">
    <w:name w:val="表中文字11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017">
    <w:name w:val="表文字51111"/>
    <w:basedOn w:val="1"/>
    <w:autoRedefine/>
    <w:qFormat/>
    <w:uiPriority w:val="0"/>
    <w:pPr>
      <w:adjustRightInd w:val="0"/>
      <w:jc w:val="left"/>
      <w:textAlignment w:val="baseline"/>
    </w:pPr>
    <w:rPr>
      <w:rFonts w:ascii="宋体"/>
      <w:kern w:val="0"/>
      <w:szCs w:val="20"/>
    </w:rPr>
  </w:style>
  <w:style w:type="paragraph" w:customStyle="1" w:styleId="3018">
    <w:name w:val="正文格式411"/>
    <w:basedOn w:val="1"/>
    <w:autoRedefine/>
    <w:qFormat/>
    <w:uiPriority w:val="0"/>
    <w:pPr>
      <w:spacing w:line="360" w:lineRule="auto"/>
      <w:ind w:firstLine="482"/>
    </w:pPr>
    <w:rPr>
      <w:rFonts w:ascii="宋体" w:hAnsi="宋体"/>
      <w:sz w:val="24"/>
    </w:rPr>
  </w:style>
  <w:style w:type="paragraph" w:customStyle="1" w:styleId="3019">
    <w:name w:val="图题411"/>
    <w:basedOn w:val="403"/>
    <w:next w:val="403"/>
    <w:autoRedefine/>
    <w:qFormat/>
    <w:uiPriority w:val="0"/>
    <w:pPr>
      <w:ind w:firstLine="0"/>
      <w:jc w:val="center"/>
    </w:pPr>
    <w:rPr>
      <w:rFonts w:ascii="黑体" w:hAnsi="宋体" w:eastAsia="黑体"/>
      <w:b/>
      <w:bCs/>
    </w:rPr>
  </w:style>
  <w:style w:type="paragraph" w:customStyle="1" w:styleId="3020">
    <w:name w:val="表格内字体411"/>
    <w:basedOn w:val="403"/>
    <w:next w:val="403"/>
    <w:autoRedefine/>
    <w:qFormat/>
    <w:uiPriority w:val="0"/>
    <w:pPr>
      <w:spacing w:line="240" w:lineRule="auto"/>
      <w:ind w:firstLine="0"/>
      <w:jc w:val="center"/>
    </w:pPr>
    <w:rPr>
      <w:rFonts w:hAnsi="宋体" w:cs="Times New Roman"/>
      <w:sz w:val="21"/>
    </w:rPr>
  </w:style>
  <w:style w:type="paragraph" w:customStyle="1" w:styleId="3021">
    <w:name w:val="Char4111"/>
    <w:basedOn w:val="1"/>
    <w:autoRedefine/>
    <w:qFormat/>
    <w:uiPriority w:val="0"/>
    <w:pPr>
      <w:ind w:left="-48"/>
    </w:pPr>
  </w:style>
  <w:style w:type="paragraph" w:customStyle="1" w:styleId="3022">
    <w:name w:val="正文格式＝411"/>
    <w:basedOn w:val="403"/>
    <w:next w:val="403"/>
    <w:autoRedefine/>
    <w:qFormat/>
    <w:uiPriority w:val="0"/>
    <w:rPr>
      <w:rFonts w:hAnsi="宋体" w:cs="Times New Roman"/>
    </w:rPr>
  </w:style>
  <w:style w:type="paragraph" w:customStyle="1" w:styleId="3023">
    <w:name w:val="表题1311"/>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3024">
    <w:name w:val="默认段落字体 Para Char1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025">
    <w:name w:val="23-47表名11"/>
    <w:basedOn w:val="1"/>
    <w:autoRedefine/>
    <w:qFormat/>
    <w:uiPriority w:val="0"/>
    <w:pPr>
      <w:spacing w:afterLines="50" w:line="440" w:lineRule="exact"/>
      <w:jc w:val="center"/>
    </w:pPr>
    <w:rPr>
      <w:rFonts w:ascii="宋体" w:hAnsi="宋体"/>
      <w:b/>
      <w:sz w:val="24"/>
    </w:rPr>
  </w:style>
  <w:style w:type="paragraph" w:customStyle="1" w:styleId="3026">
    <w:name w:val="xl2411"/>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027">
    <w:name w:val="Char Char Char Char Char Char Char1211"/>
    <w:basedOn w:val="1"/>
    <w:autoRedefine/>
    <w:qFormat/>
    <w:uiPriority w:val="0"/>
    <w:rPr>
      <w:szCs w:val="20"/>
    </w:rPr>
  </w:style>
  <w:style w:type="paragraph" w:customStyle="1" w:styleId="3028">
    <w:name w:val="Char511"/>
    <w:basedOn w:val="1"/>
    <w:autoRedefine/>
    <w:qFormat/>
    <w:uiPriority w:val="0"/>
    <w:pPr>
      <w:adjustRightInd w:val="0"/>
      <w:snapToGrid w:val="0"/>
      <w:ind w:left="-45"/>
    </w:pPr>
  </w:style>
  <w:style w:type="paragraph" w:customStyle="1" w:styleId="3029">
    <w:name w:val="燕山正文113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030">
    <w:name w:val="正文格式511"/>
    <w:basedOn w:val="1"/>
    <w:autoRedefine/>
    <w:qFormat/>
    <w:uiPriority w:val="0"/>
    <w:pPr>
      <w:spacing w:line="360" w:lineRule="auto"/>
      <w:ind w:firstLine="482"/>
    </w:pPr>
    <w:rPr>
      <w:rFonts w:ascii="宋体" w:hAnsi="宋体"/>
      <w:sz w:val="24"/>
    </w:rPr>
  </w:style>
  <w:style w:type="paragraph" w:customStyle="1" w:styleId="3031">
    <w:name w:val="Char3211"/>
    <w:basedOn w:val="1"/>
    <w:autoRedefine/>
    <w:qFormat/>
    <w:uiPriority w:val="0"/>
    <w:pPr>
      <w:ind w:left="-48"/>
    </w:pPr>
  </w:style>
  <w:style w:type="character" w:customStyle="1" w:styleId="3032">
    <w:name w:val="题注 Char311"/>
    <w:autoRedefine/>
    <w:qFormat/>
    <w:uiPriority w:val="0"/>
    <w:rPr>
      <w:rFonts w:ascii="黑体" w:hAnsi="Arial" w:eastAsia="黑体" w:cs="Arial"/>
      <w:b/>
      <w:kern w:val="2"/>
      <w:sz w:val="24"/>
      <w:szCs w:val="24"/>
      <w:lang w:val="en-US" w:eastAsia="zh-CN" w:bidi="ar-SA"/>
    </w:rPr>
  </w:style>
  <w:style w:type="paragraph" w:customStyle="1" w:styleId="3033">
    <w:name w:val="图题511"/>
    <w:basedOn w:val="403"/>
    <w:next w:val="403"/>
    <w:autoRedefine/>
    <w:qFormat/>
    <w:uiPriority w:val="0"/>
    <w:pPr>
      <w:ind w:firstLine="0"/>
      <w:jc w:val="center"/>
    </w:pPr>
    <w:rPr>
      <w:rFonts w:ascii="黑体" w:hAnsi="宋体" w:eastAsia="黑体"/>
      <w:b/>
      <w:bCs/>
    </w:rPr>
  </w:style>
  <w:style w:type="paragraph" w:customStyle="1" w:styleId="3034">
    <w:name w:val="表格内字体511"/>
    <w:basedOn w:val="403"/>
    <w:next w:val="403"/>
    <w:autoRedefine/>
    <w:qFormat/>
    <w:uiPriority w:val="0"/>
    <w:pPr>
      <w:adjustRightInd w:val="0"/>
      <w:snapToGrid w:val="0"/>
      <w:spacing w:line="240" w:lineRule="auto"/>
      <w:ind w:firstLine="0"/>
    </w:pPr>
    <w:rPr>
      <w:rFonts w:hAnsi="宋体" w:cs="Times New Roman"/>
      <w:sz w:val="21"/>
    </w:rPr>
  </w:style>
  <w:style w:type="paragraph" w:customStyle="1" w:styleId="3035">
    <w:name w:val="表311"/>
    <w:basedOn w:val="1"/>
    <w:autoRedefine/>
    <w:qFormat/>
    <w:uiPriority w:val="0"/>
    <w:pPr>
      <w:adjustRightInd w:val="0"/>
      <w:snapToGrid w:val="0"/>
      <w:jc w:val="center"/>
    </w:pPr>
    <w:rPr>
      <w:rFonts w:eastAsia="仿宋_GB2312"/>
      <w:sz w:val="24"/>
    </w:rPr>
  </w:style>
  <w:style w:type="paragraph" w:customStyle="1" w:styleId="3036">
    <w:name w:val="正文.1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037">
    <w:name w:val="文本框111"/>
    <w:basedOn w:val="1"/>
    <w:autoRedefine/>
    <w:qFormat/>
    <w:uiPriority w:val="0"/>
    <w:pPr>
      <w:adjustRightInd w:val="0"/>
      <w:snapToGrid w:val="0"/>
      <w:spacing w:after="6"/>
      <w:jc w:val="center"/>
    </w:pPr>
    <w:rPr>
      <w:rFonts w:eastAsia="仿宋_GB2312"/>
    </w:rPr>
  </w:style>
  <w:style w:type="paragraph" w:customStyle="1" w:styleId="3038">
    <w:name w:val="表内宋511111"/>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3039">
    <w:name w:val="表内文字小31311"/>
    <w:basedOn w:val="1"/>
    <w:autoRedefine/>
    <w:qFormat/>
    <w:uiPriority w:val="0"/>
    <w:pPr>
      <w:adjustRightInd w:val="0"/>
      <w:snapToGrid w:val="0"/>
      <w:jc w:val="center"/>
    </w:pPr>
    <w:rPr>
      <w:rFonts w:ascii="宋体" w:hAnsi="Times" w:cs="宋体"/>
      <w:bCs/>
      <w:color w:val="003366"/>
      <w:szCs w:val="20"/>
    </w:rPr>
  </w:style>
  <w:style w:type="paragraph" w:customStyle="1" w:styleId="3040">
    <w:name w:val="表文字5311"/>
    <w:basedOn w:val="1"/>
    <w:autoRedefine/>
    <w:qFormat/>
    <w:uiPriority w:val="0"/>
    <w:pPr>
      <w:adjustRightInd w:val="0"/>
      <w:jc w:val="left"/>
      <w:textAlignment w:val="baseline"/>
    </w:pPr>
    <w:rPr>
      <w:rFonts w:ascii="宋体"/>
      <w:kern w:val="0"/>
      <w:szCs w:val="20"/>
    </w:rPr>
  </w:style>
  <w:style w:type="paragraph" w:customStyle="1" w:styleId="3041">
    <w:name w:val="正文2111"/>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042">
    <w:name w:val="Char Char Char Char Char Char Char2111"/>
    <w:basedOn w:val="1"/>
    <w:autoRedefine/>
    <w:qFormat/>
    <w:uiPriority w:val="0"/>
  </w:style>
  <w:style w:type="paragraph" w:customStyle="1" w:styleId="3043">
    <w:name w:val="表题31311"/>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044">
    <w:name w:val="表内文字小21311"/>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3045">
    <w:name w:val="燕山正文3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046">
    <w:name w:val="正文修改311"/>
    <w:basedOn w:val="2088"/>
    <w:autoRedefine/>
    <w:qFormat/>
    <w:uiPriority w:val="0"/>
    <w:rPr>
      <w:rFonts w:hAnsi="宋体"/>
      <w:color w:val="000000"/>
    </w:rPr>
  </w:style>
  <w:style w:type="character" w:customStyle="1" w:styleId="3047">
    <w:name w:val="正文修改 Char1311"/>
    <w:autoRedefine/>
    <w:qFormat/>
    <w:uiPriority w:val="0"/>
    <w:rPr>
      <w:rFonts w:ascii="宋体" w:hAnsi="宋体" w:eastAsia="宋体" w:cs="宋体"/>
      <w:color w:val="000000"/>
      <w:sz w:val="24"/>
      <w:szCs w:val="24"/>
    </w:rPr>
  </w:style>
  <w:style w:type="paragraph" w:customStyle="1" w:styleId="3048">
    <w:name w:val="表题1421"/>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049">
    <w:name w:val="表题1 Char411"/>
    <w:autoRedefine/>
    <w:qFormat/>
    <w:uiPriority w:val="0"/>
    <w:rPr>
      <w:rFonts w:ascii="黑体" w:hAnsi="Arial" w:eastAsia="黑体" w:cs="Arial"/>
      <w:b/>
      <w:kern w:val="2"/>
      <w:sz w:val="24"/>
      <w:szCs w:val="24"/>
      <w:lang w:val="en-US" w:eastAsia="zh-CN" w:bidi="ar-SA"/>
    </w:rPr>
  </w:style>
  <w:style w:type="paragraph" w:customStyle="1" w:styleId="3050">
    <w:name w:val="表中文字3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051">
    <w:name w:val="黑体三号311"/>
    <w:basedOn w:val="403"/>
    <w:autoRedefine/>
    <w:qFormat/>
    <w:uiPriority w:val="0"/>
    <w:pPr>
      <w:jc w:val="center"/>
    </w:pPr>
    <w:rPr>
      <w:rFonts w:ascii="黑体" w:hAnsi="宋体" w:eastAsia="黑体"/>
      <w:b/>
      <w:bCs/>
      <w:sz w:val="32"/>
      <w:szCs w:val="20"/>
    </w:rPr>
  </w:style>
  <w:style w:type="paragraph" w:customStyle="1" w:styleId="3052">
    <w:name w:val="默认段落字体 Para Char Char Char Char311"/>
    <w:basedOn w:val="1"/>
    <w:autoRedefine/>
    <w:qFormat/>
    <w:uiPriority w:val="0"/>
  </w:style>
  <w:style w:type="paragraph" w:customStyle="1" w:styleId="3053">
    <w:name w:val="表内541311"/>
    <w:basedOn w:val="1"/>
    <w:autoRedefine/>
    <w:qFormat/>
    <w:uiPriority w:val="0"/>
    <w:pPr>
      <w:adjustRightInd w:val="0"/>
      <w:snapToGrid w:val="0"/>
      <w:spacing w:line="300" w:lineRule="auto"/>
      <w:jc w:val="center"/>
    </w:pPr>
    <w:rPr>
      <w:rFonts w:ascii="宋体" w:hAnsi="宋体" w:cs="宋体"/>
      <w:szCs w:val="20"/>
    </w:rPr>
  </w:style>
  <w:style w:type="paragraph" w:customStyle="1" w:styleId="3054">
    <w:name w:val="标题421"/>
    <w:basedOn w:val="1"/>
    <w:autoRedefine/>
    <w:qFormat/>
    <w:uiPriority w:val="0"/>
    <w:pPr>
      <w:adjustRightInd w:val="0"/>
      <w:snapToGrid w:val="0"/>
      <w:spacing w:line="300" w:lineRule="auto"/>
      <w:jc w:val="left"/>
    </w:pPr>
    <w:rPr>
      <w:rFonts w:ascii="黑体" w:eastAsia="黑体"/>
      <w:bCs/>
      <w:sz w:val="24"/>
    </w:rPr>
  </w:style>
  <w:style w:type="paragraph" w:customStyle="1" w:styleId="3055">
    <w:name w:val="Char611"/>
    <w:basedOn w:val="1"/>
    <w:autoRedefine/>
    <w:qFormat/>
    <w:uiPriority w:val="0"/>
    <w:pPr>
      <w:adjustRightInd w:val="0"/>
      <w:snapToGrid w:val="0"/>
      <w:spacing w:beforeLines="50" w:line="360" w:lineRule="auto"/>
    </w:pPr>
    <w:rPr>
      <w:rFonts w:ascii="黑体" w:eastAsia="黑体"/>
      <w:sz w:val="32"/>
      <w:szCs w:val="32"/>
    </w:rPr>
  </w:style>
  <w:style w:type="paragraph" w:customStyle="1" w:styleId="3056">
    <w:name w:val="表题21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057">
    <w:name w:val="表内宋5中111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058">
    <w:name w:val="表内宋5中121"/>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059">
    <w:name w:val="表内文字小1111"/>
    <w:basedOn w:val="1"/>
    <w:autoRedefine/>
    <w:qFormat/>
    <w:uiPriority w:val="0"/>
    <w:pPr>
      <w:adjustRightInd w:val="0"/>
      <w:snapToGrid w:val="0"/>
    </w:pPr>
    <w:rPr>
      <w:rFonts w:ascii="宋体" w:hAnsi="Times" w:cs="宋体"/>
      <w:szCs w:val="20"/>
    </w:rPr>
  </w:style>
  <w:style w:type="paragraph" w:customStyle="1" w:styleId="3060">
    <w:name w:val="标题41111"/>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061">
    <w:name w:val="表题14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062">
    <w:name w:val="表内文字小811"/>
    <w:basedOn w:val="1"/>
    <w:autoRedefine/>
    <w:qFormat/>
    <w:uiPriority w:val="0"/>
    <w:pPr>
      <w:adjustRightInd w:val="0"/>
      <w:snapToGrid w:val="0"/>
      <w:jc w:val="center"/>
    </w:pPr>
    <w:rPr>
      <w:rFonts w:ascii="宋体" w:hAnsi="Times" w:cs="宋体"/>
      <w:szCs w:val="20"/>
    </w:rPr>
  </w:style>
  <w:style w:type="paragraph" w:customStyle="1" w:styleId="3063">
    <w:name w:val="默认段落字体 Para Char2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064">
    <w:name w:val="Default1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065">
    <w:name w:val="正文格式611"/>
    <w:basedOn w:val="1"/>
    <w:autoRedefine/>
    <w:qFormat/>
    <w:uiPriority w:val="0"/>
    <w:pPr>
      <w:spacing w:line="360" w:lineRule="auto"/>
      <w:ind w:firstLine="482"/>
    </w:pPr>
    <w:rPr>
      <w:rFonts w:ascii="宋体" w:hAnsi="宋体"/>
      <w:sz w:val="24"/>
    </w:rPr>
  </w:style>
  <w:style w:type="paragraph" w:customStyle="1" w:styleId="3066">
    <w:name w:val="正文格式＝511"/>
    <w:basedOn w:val="403"/>
    <w:next w:val="403"/>
    <w:autoRedefine/>
    <w:qFormat/>
    <w:uiPriority w:val="0"/>
    <w:rPr>
      <w:rFonts w:hAnsi="宋体" w:cs="Times New Roman"/>
    </w:rPr>
  </w:style>
  <w:style w:type="paragraph" w:customStyle="1" w:styleId="3067">
    <w:name w:val="附件311"/>
    <w:basedOn w:val="5"/>
    <w:next w:val="403"/>
    <w:autoRedefine/>
    <w:qFormat/>
    <w:uiPriority w:val="0"/>
    <w:pPr>
      <w:keepLines/>
      <w:overflowPunct/>
      <w:adjustRightInd w:val="0"/>
      <w:spacing w:before="0" w:after="0" w:line="360" w:lineRule="auto"/>
      <w:ind w:left="0" w:firstLine="0"/>
      <w:jc w:val="left"/>
    </w:pPr>
    <w:rPr>
      <w:rFonts w:ascii="黑体" w:hAnsi="宋体"/>
      <w:b w:val="0"/>
      <w:color w:val="auto"/>
      <w:sz w:val="32"/>
      <w:szCs w:val="32"/>
    </w:rPr>
  </w:style>
  <w:style w:type="paragraph" w:customStyle="1" w:styleId="3068">
    <w:name w:val="图题611"/>
    <w:basedOn w:val="403"/>
    <w:next w:val="403"/>
    <w:autoRedefine/>
    <w:qFormat/>
    <w:uiPriority w:val="0"/>
    <w:pPr>
      <w:ind w:firstLine="0"/>
      <w:jc w:val="center"/>
    </w:pPr>
    <w:rPr>
      <w:rFonts w:ascii="黑体" w:hAnsi="宋体" w:eastAsia="黑体"/>
      <w:b/>
      <w:bCs/>
      <w:kern w:val="0"/>
    </w:rPr>
  </w:style>
  <w:style w:type="paragraph" w:customStyle="1" w:styleId="3069">
    <w:name w:val="表格内字体611"/>
    <w:basedOn w:val="403"/>
    <w:next w:val="403"/>
    <w:autoRedefine/>
    <w:qFormat/>
    <w:uiPriority w:val="0"/>
    <w:pPr>
      <w:spacing w:line="240" w:lineRule="auto"/>
      <w:ind w:firstLine="0"/>
      <w:jc w:val="center"/>
    </w:pPr>
    <w:rPr>
      <w:rFonts w:hAnsi="宋体" w:cs="Times New Roman"/>
      <w:sz w:val="21"/>
    </w:rPr>
  </w:style>
  <w:style w:type="paragraph" w:customStyle="1" w:styleId="3070">
    <w:name w:val="黑体三号411"/>
    <w:basedOn w:val="403"/>
    <w:autoRedefine/>
    <w:qFormat/>
    <w:uiPriority w:val="0"/>
    <w:pPr>
      <w:jc w:val="center"/>
    </w:pPr>
    <w:rPr>
      <w:rFonts w:ascii="黑体" w:hAnsi="宋体" w:eastAsia="黑体"/>
      <w:b/>
      <w:bCs/>
      <w:sz w:val="32"/>
      <w:szCs w:val="20"/>
    </w:rPr>
  </w:style>
  <w:style w:type="paragraph" w:customStyle="1" w:styleId="3071">
    <w:name w:val="默认段落字体 Para Char Char Char Char411"/>
    <w:basedOn w:val="1"/>
    <w:autoRedefine/>
    <w:qFormat/>
    <w:uiPriority w:val="0"/>
  </w:style>
  <w:style w:type="paragraph" w:customStyle="1" w:styleId="3072">
    <w:name w:val="图表题11"/>
    <w:basedOn w:val="403"/>
    <w:next w:val="403"/>
    <w:autoRedefine/>
    <w:qFormat/>
    <w:uiPriority w:val="0"/>
    <w:pPr>
      <w:ind w:firstLine="0"/>
      <w:jc w:val="center"/>
    </w:pPr>
    <w:rPr>
      <w:rFonts w:ascii="黑体" w:hAnsi="宋体" w:eastAsia="黑体"/>
      <w:b/>
      <w:bCs/>
    </w:rPr>
  </w:style>
  <w:style w:type="character" w:customStyle="1" w:styleId="3073">
    <w:name w:val="图表题 Char11"/>
    <w:autoRedefine/>
    <w:qFormat/>
    <w:uiPriority w:val="0"/>
    <w:rPr>
      <w:rFonts w:ascii="黑体" w:eastAsia="黑体" w:cs="宋体"/>
      <w:b/>
      <w:bCs/>
      <w:kern w:val="2"/>
      <w:sz w:val="24"/>
      <w:szCs w:val="24"/>
      <w:lang w:val="en-US" w:eastAsia="zh-CN" w:bidi="ar-SA"/>
    </w:rPr>
  </w:style>
  <w:style w:type="paragraph" w:customStyle="1" w:styleId="3074">
    <w:name w:val="样式 表格内字体 +11"/>
    <w:basedOn w:val="2085"/>
    <w:autoRedefine/>
    <w:qFormat/>
    <w:uiPriority w:val="0"/>
    <w:pPr>
      <w:spacing w:line="280" w:lineRule="exact"/>
      <w:ind w:firstLine="36"/>
      <w:jc w:val="both"/>
    </w:pPr>
    <w:rPr>
      <w:kern w:val="0"/>
    </w:rPr>
  </w:style>
  <w:style w:type="character" w:customStyle="1" w:styleId="3075">
    <w:name w:val="样式 表格内字体 + Char11"/>
    <w:autoRedefine/>
    <w:qFormat/>
    <w:uiPriority w:val="0"/>
  </w:style>
  <w:style w:type="paragraph" w:customStyle="1" w:styleId="3076">
    <w:name w:val="A正文1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077">
    <w:name w:val="图题注11"/>
    <w:basedOn w:val="24"/>
    <w:autoRedefine/>
    <w:qFormat/>
    <w:uiPriority w:val="0"/>
    <w:pPr>
      <w:keepNext w:val="0"/>
      <w:widowControl w:val="0"/>
      <w:adjustRightInd/>
      <w:snapToGrid/>
      <w:spacing w:line="240" w:lineRule="auto"/>
    </w:pPr>
    <w:rPr>
      <w:rFonts w:ascii="黑体" w:hAnsi="Arial" w:eastAsia="黑体" w:cs="宋体"/>
      <w:bCs/>
      <w:kern w:val="2"/>
      <w:sz w:val="24"/>
      <w:szCs w:val="24"/>
      <w:lang w:val="en-US"/>
    </w:rPr>
  </w:style>
  <w:style w:type="paragraph" w:customStyle="1" w:styleId="3078">
    <w:name w:val="Char711"/>
    <w:basedOn w:val="1"/>
    <w:autoRedefine/>
    <w:qFormat/>
    <w:uiPriority w:val="0"/>
    <w:pPr>
      <w:ind w:left="-48"/>
    </w:pPr>
  </w:style>
  <w:style w:type="paragraph" w:customStyle="1" w:styleId="3079">
    <w:name w:val="表格内字体1111"/>
    <w:basedOn w:val="403"/>
    <w:autoRedefine/>
    <w:qFormat/>
    <w:uiPriority w:val="0"/>
    <w:pPr>
      <w:spacing w:line="240" w:lineRule="auto"/>
      <w:ind w:firstLine="0"/>
      <w:jc w:val="center"/>
    </w:pPr>
    <w:rPr>
      <w:sz w:val="21"/>
      <w:szCs w:val="20"/>
    </w:rPr>
  </w:style>
  <w:style w:type="paragraph" w:customStyle="1" w:styleId="3080">
    <w:name w:val="Char Char2 Char Char Char Char311"/>
    <w:basedOn w:val="1"/>
    <w:autoRedefine/>
    <w:qFormat/>
    <w:uiPriority w:val="0"/>
  </w:style>
  <w:style w:type="paragraph" w:customStyle="1" w:styleId="3081">
    <w:name w:val="样式 正文缩进 + 宋体 黑色 首行缩进:  2 字符11"/>
    <w:basedOn w:val="8"/>
    <w:autoRedefine/>
    <w:qFormat/>
    <w:uiPriority w:val="0"/>
    <w:pPr>
      <w:spacing w:line="360" w:lineRule="auto"/>
      <w:ind w:firstLine="480"/>
      <w:jc w:val="left"/>
    </w:pPr>
    <w:rPr>
      <w:rFonts w:ascii="宋体" w:hAnsi="宋体" w:cs="宋体"/>
      <w:color w:val="FF00FF"/>
      <w:sz w:val="24"/>
    </w:rPr>
  </w:style>
  <w:style w:type="paragraph" w:customStyle="1" w:styleId="3082">
    <w:name w:val="环评正文11"/>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083">
    <w:name w:val="注释11"/>
    <w:basedOn w:val="403"/>
    <w:next w:val="2"/>
    <w:autoRedefine/>
    <w:qFormat/>
    <w:uiPriority w:val="0"/>
    <w:pPr>
      <w:spacing w:before="120" w:after="120" w:line="240" w:lineRule="auto"/>
      <w:ind w:firstLine="200" w:firstLineChars="200"/>
    </w:pPr>
    <w:rPr>
      <w:sz w:val="21"/>
      <w:szCs w:val="20"/>
    </w:rPr>
  </w:style>
  <w:style w:type="paragraph" w:customStyle="1" w:styleId="3084">
    <w:name w:val="样式411"/>
    <w:basedOn w:val="2"/>
    <w:autoRedefine/>
    <w:qFormat/>
    <w:uiPriority w:val="0"/>
    <w:pPr>
      <w:widowControl w:val="0"/>
      <w:tabs>
        <w:tab w:val="left" w:pos="1820"/>
      </w:tabs>
      <w:spacing w:before="0" w:after="0" w:line="240" w:lineRule="atLeast"/>
      <w:ind w:right="0"/>
      <w:jc w:val="center"/>
    </w:pPr>
    <w:rPr>
      <w:rFonts w:eastAsia="幼圆"/>
      <w:sz w:val="21"/>
    </w:rPr>
  </w:style>
  <w:style w:type="paragraph" w:customStyle="1" w:styleId="3085">
    <w:name w:val="标题4121"/>
    <w:basedOn w:val="9"/>
    <w:next w:val="1"/>
    <w:autoRedefine/>
    <w:qFormat/>
    <w:uiPriority w:val="0"/>
    <w:pPr>
      <w:spacing w:before="160" w:after="170" w:line="360" w:lineRule="auto"/>
    </w:pPr>
    <w:rPr>
      <w:rFonts w:ascii="黑体"/>
      <w:kern w:val="0"/>
      <w:sz w:val="24"/>
      <w:lang w:val="zh-CN"/>
    </w:rPr>
  </w:style>
  <w:style w:type="paragraph" w:customStyle="1" w:styleId="3086">
    <w:name w:val="表中文字411"/>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3087">
    <w:name w:val="样式 正文缩进 + 宋体 黑色11"/>
    <w:basedOn w:val="8"/>
    <w:autoRedefine/>
    <w:qFormat/>
    <w:uiPriority w:val="0"/>
    <w:pPr>
      <w:spacing w:line="360" w:lineRule="auto"/>
      <w:ind w:firstLine="200"/>
      <w:jc w:val="left"/>
    </w:pPr>
    <w:rPr>
      <w:rFonts w:ascii="宋体" w:hAnsi="宋体"/>
      <w:color w:val="000000"/>
      <w:sz w:val="24"/>
      <w:szCs w:val="24"/>
    </w:rPr>
  </w:style>
  <w:style w:type="paragraph" w:customStyle="1" w:styleId="3088">
    <w:name w:val="表内5111"/>
    <w:basedOn w:val="1"/>
    <w:autoRedefine/>
    <w:qFormat/>
    <w:uiPriority w:val="0"/>
    <w:pPr>
      <w:adjustRightInd w:val="0"/>
      <w:snapToGrid w:val="0"/>
      <w:jc w:val="center"/>
    </w:pPr>
    <w:rPr>
      <w:rFonts w:ascii="宋体" w:hAnsi="宋体"/>
      <w:kern w:val="0"/>
      <w:sz w:val="20"/>
      <w:szCs w:val="20"/>
    </w:rPr>
  </w:style>
  <w:style w:type="paragraph" w:customStyle="1" w:styleId="3089">
    <w:name w:val="样式 样式 宋体 + 首行缩进:  2 字符111"/>
    <w:basedOn w:val="1"/>
    <w:autoRedefine/>
    <w:qFormat/>
    <w:uiPriority w:val="0"/>
    <w:pPr>
      <w:spacing w:line="360" w:lineRule="auto"/>
      <w:ind w:firstLine="480" w:firstLineChars="200"/>
      <w:jc w:val="left"/>
    </w:pPr>
    <w:rPr>
      <w:rFonts w:ascii="宋体" w:cs="宋体"/>
      <w:sz w:val="24"/>
    </w:rPr>
  </w:style>
  <w:style w:type="paragraph" w:customStyle="1" w:styleId="3090">
    <w:name w:val="表内宋5中211"/>
    <w:basedOn w:val="1"/>
    <w:autoRedefine/>
    <w:qFormat/>
    <w:uiPriority w:val="0"/>
    <w:pPr>
      <w:adjustRightInd w:val="0"/>
      <w:snapToGrid w:val="0"/>
      <w:jc w:val="center"/>
      <w:textAlignment w:val="baseline"/>
    </w:pPr>
    <w:rPr>
      <w:rFonts w:ascii="宋体" w:hAnsi="宋体"/>
      <w:kern w:val="0"/>
      <w:szCs w:val="20"/>
    </w:rPr>
  </w:style>
  <w:style w:type="paragraph" w:customStyle="1" w:styleId="3091">
    <w:name w:val="xl6311"/>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092">
    <w:name w:val="标准11"/>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3093">
    <w:name w:val="Fax Header11"/>
    <w:basedOn w:val="1"/>
    <w:autoRedefine/>
    <w:qFormat/>
    <w:uiPriority w:val="0"/>
    <w:pPr>
      <w:widowControl/>
      <w:spacing w:before="240" w:after="60"/>
      <w:jc w:val="left"/>
    </w:pPr>
    <w:rPr>
      <w:kern w:val="0"/>
      <w:sz w:val="20"/>
      <w:szCs w:val="20"/>
    </w:rPr>
  </w:style>
  <w:style w:type="paragraph" w:customStyle="1" w:styleId="3094">
    <w:name w:val="样式 表格内字体1 +11"/>
    <w:basedOn w:val="2173"/>
    <w:next w:val="2085"/>
    <w:autoRedefine/>
    <w:qFormat/>
    <w:uiPriority w:val="0"/>
    <w:rPr>
      <w:rFonts w:hAnsi="Times New Roman" w:cs="宋体"/>
      <w:szCs w:val="20"/>
    </w:rPr>
  </w:style>
  <w:style w:type="paragraph" w:customStyle="1" w:styleId="3095">
    <w:name w:val="默认段落字体 Para Char311"/>
    <w:basedOn w:val="1"/>
    <w:autoRedefine/>
    <w:qFormat/>
    <w:uiPriority w:val="0"/>
    <w:pPr>
      <w:spacing w:line="360" w:lineRule="auto"/>
      <w:ind w:firstLine="200" w:firstLineChars="200"/>
    </w:pPr>
    <w:rPr>
      <w:rFonts w:ascii="宋体" w:hAnsi="宋体" w:cs="宋体"/>
      <w:sz w:val="24"/>
    </w:rPr>
  </w:style>
  <w:style w:type="paragraph" w:customStyle="1" w:styleId="3096">
    <w:name w:val="正文斜体11"/>
    <w:basedOn w:val="403"/>
    <w:next w:val="403"/>
    <w:autoRedefine/>
    <w:qFormat/>
    <w:uiPriority w:val="0"/>
    <w:rPr>
      <w:rFonts w:hAnsi="宋体" w:cs="Times New Roman"/>
      <w:i/>
      <w:iCs/>
    </w:rPr>
  </w:style>
  <w:style w:type="character" w:customStyle="1" w:styleId="3097">
    <w:name w:val="正文斜体 Char11"/>
    <w:autoRedefine/>
    <w:qFormat/>
    <w:uiPriority w:val="0"/>
    <w:rPr>
      <w:rFonts w:ascii="宋体" w:eastAsia="宋体" w:cs="宋体"/>
      <w:i/>
      <w:iCs/>
      <w:kern w:val="2"/>
      <w:sz w:val="24"/>
      <w:szCs w:val="24"/>
      <w:lang w:val="en-US" w:eastAsia="zh-CN" w:bidi="ar-SA"/>
    </w:rPr>
  </w:style>
  <w:style w:type="paragraph" w:customStyle="1" w:styleId="3098">
    <w:name w:val="Char Char2 Char Char Char Char1111"/>
    <w:basedOn w:val="1"/>
    <w:autoRedefine/>
    <w:qFormat/>
    <w:uiPriority w:val="0"/>
  </w:style>
  <w:style w:type="paragraph" w:customStyle="1" w:styleId="3099">
    <w:name w:val="Char811"/>
    <w:basedOn w:val="1"/>
    <w:autoRedefine/>
    <w:qFormat/>
    <w:uiPriority w:val="0"/>
    <w:pPr>
      <w:ind w:left="-48"/>
    </w:pPr>
  </w:style>
  <w:style w:type="paragraph" w:customStyle="1" w:styleId="3100">
    <w:name w:val="正文格式711"/>
    <w:basedOn w:val="1"/>
    <w:autoRedefine/>
    <w:qFormat/>
    <w:uiPriority w:val="0"/>
    <w:pPr>
      <w:spacing w:line="360" w:lineRule="auto"/>
      <w:ind w:firstLine="482"/>
    </w:pPr>
    <w:rPr>
      <w:rFonts w:ascii="宋体" w:hAnsi="宋体"/>
      <w:sz w:val="24"/>
    </w:rPr>
  </w:style>
  <w:style w:type="character" w:customStyle="1" w:styleId="3101">
    <w:name w:val="题注 Char511"/>
    <w:autoRedefine/>
    <w:qFormat/>
    <w:uiPriority w:val="0"/>
    <w:rPr>
      <w:rFonts w:ascii="黑体" w:hAnsi="Arial" w:eastAsia="黑体" w:cs="Arial"/>
      <w:b/>
      <w:kern w:val="2"/>
      <w:sz w:val="24"/>
      <w:szCs w:val="24"/>
      <w:lang w:val="en-US" w:eastAsia="zh-CN" w:bidi="ar-SA"/>
    </w:rPr>
  </w:style>
  <w:style w:type="paragraph" w:customStyle="1" w:styleId="3102">
    <w:name w:val="图题711"/>
    <w:basedOn w:val="403"/>
    <w:next w:val="403"/>
    <w:autoRedefine/>
    <w:qFormat/>
    <w:uiPriority w:val="0"/>
    <w:pPr>
      <w:ind w:firstLine="0"/>
      <w:jc w:val="center"/>
    </w:pPr>
    <w:rPr>
      <w:rFonts w:ascii="黑体" w:hAnsi="宋体" w:eastAsia="黑体"/>
      <w:b/>
      <w:bCs/>
    </w:rPr>
  </w:style>
  <w:style w:type="paragraph" w:customStyle="1" w:styleId="3103">
    <w:name w:val="表格内字体711"/>
    <w:basedOn w:val="403"/>
    <w:next w:val="403"/>
    <w:autoRedefine/>
    <w:qFormat/>
    <w:uiPriority w:val="0"/>
    <w:pPr>
      <w:spacing w:line="240" w:lineRule="auto"/>
      <w:ind w:firstLine="0"/>
      <w:jc w:val="center"/>
    </w:pPr>
    <w:rPr>
      <w:rFonts w:hAnsi="宋体" w:cs="Times New Roman"/>
      <w:sz w:val="21"/>
    </w:rPr>
  </w:style>
  <w:style w:type="paragraph" w:customStyle="1" w:styleId="3104">
    <w:name w:val="Char911"/>
    <w:basedOn w:val="1"/>
    <w:autoRedefine/>
    <w:qFormat/>
    <w:uiPriority w:val="0"/>
    <w:pPr>
      <w:ind w:left="-48"/>
    </w:pPr>
  </w:style>
  <w:style w:type="paragraph" w:customStyle="1" w:styleId="3105">
    <w:name w:val="正文格式＝611"/>
    <w:basedOn w:val="403"/>
    <w:next w:val="403"/>
    <w:autoRedefine/>
    <w:qFormat/>
    <w:uiPriority w:val="0"/>
    <w:rPr>
      <w:rFonts w:hAnsi="宋体" w:cs="Times New Roman"/>
    </w:rPr>
  </w:style>
  <w:style w:type="paragraph" w:customStyle="1" w:styleId="3106">
    <w:name w:val="表题1511"/>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107">
    <w:name w:val="表题1 Char611"/>
    <w:autoRedefine/>
    <w:qFormat/>
    <w:uiPriority w:val="0"/>
    <w:rPr>
      <w:rFonts w:ascii="黑体" w:hAnsi="Arial" w:eastAsia="黑体" w:cs="Arial"/>
      <w:b/>
      <w:kern w:val="2"/>
      <w:sz w:val="24"/>
      <w:szCs w:val="24"/>
      <w:lang w:val="en-US" w:eastAsia="zh-CN" w:bidi="ar-SA"/>
    </w:rPr>
  </w:style>
  <w:style w:type="paragraph" w:customStyle="1" w:styleId="3108">
    <w:name w:val="燕山正文411"/>
    <w:basedOn w:val="1"/>
    <w:autoRedefine/>
    <w:qFormat/>
    <w:uiPriority w:val="0"/>
    <w:pPr>
      <w:tabs>
        <w:tab w:val="left" w:pos="4680"/>
      </w:tabs>
      <w:adjustRightInd w:val="0"/>
      <w:snapToGrid w:val="0"/>
      <w:spacing w:line="480" w:lineRule="exact"/>
    </w:pPr>
    <w:rPr>
      <w:rFonts w:ascii="宋体" w:cs="宋体"/>
      <w:sz w:val="24"/>
    </w:rPr>
  </w:style>
  <w:style w:type="paragraph" w:customStyle="1" w:styleId="3109">
    <w:name w:val="正文修改411"/>
    <w:basedOn w:val="2088"/>
    <w:autoRedefine/>
    <w:qFormat/>
    <w:uiPriority w:val="0"/>
    <w:rPr>
      <w:rFonts w:hAnsi="宋体"/>
      <w:color w:val="000000"/>
    </w:rPr>
  </w:style>
  <w:style w:type="character" w:customStyle="1" w:styleId="3110">
    <w:name w:val="正文修改 Char1411"/>
    <w:autoRedefine/>
    <w:qFormat/>
    <w:uiPriority w:val="0"/>
  </w:style>
  <w:style w:type="paragraph" w:customStyle="1" w:styleId="3111">
    <w:name w:val="表中文字511"/>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112">
    <w:name w:val="默认段落字体 Para Char Char Char Char511"/>
    <w:basedOn w:val="1"/>
    <w:autoRedefine/>
    <w:qFormat/>
    <w:uiPriority w:val="0"/>
  </w:style>
  <w:style w:type="paragraph" w:customStyle="1" w:styleId="3113">
    <w:name w:val="Char1011"/>
    <w:basedOn w:val="1"/>
    <w:autoRedefine/>
    <w:qFormat/>
    <w:uiPriority w:val="0"/>
    <w:pPr>
      <w:adjustRightInd w:val="0"/>
      <w:snapToGrid w:val="0"/>
      <w:spacing w:line="360" w:lineRule="auto"/>
    </w:pPr>
  </w:style>
  <w:style w:type="paragraph" w:customStyle="1" w:styleId="3114">
    <w:name w:val="表内5中111"/>
    <w:basedOn w:val="1"/>
    <w:autoRedefine/>
    <w:qFormat/>
    <w:uiPriority w:val="0"/>
    <w:pPr>
      <w:adjustRightInd w:val="0"/>
      <w:snapToGrid w:val="0"/>
      <w:jc w:val="center"/>
    </w:pPr>
    <w:rPr>
      <w:rFonts w:ascii="宋体" w:hAnsi="宋体" w:cs="Arial"/>
      <w:snapToGrid w:val="0"/>
      <w:color w:val="000000"/>
      <w:szCs w:val="21"/>
    </w:rPr>
  </w:style>
  <w:style w:type="paragraph" w:customStyle="1" w:styleId="3115">
    <w:name w:val="表内541411"/>
    <w:basedOn w:val="1"/>
    <w:autoRedefine/>
    <w:qFormat/>
    <w:uiPriority w:val="0"/>
    <w:pPr>
      <w:adjustRightInd w:val="0"/>
      <w:snapToGrid w:val="0"/>
      <w:spacing w:line="300" w:lineRule="auto"/>
      <w:jc w:val="center"/>
    </w:pPr>
    <w:rPr>
      <w:rFonts w:ascii="宋体" w:hAnsi="宋体" w:cs="宋体"/>
      <w:szCs w:val="20"/>
    </w:rPr>
  </w:style>
  <w:style w:type="paragraph" w:customStyle="1" w:styleId="3116">
    <w:name w:val="表内文字小121"/>
    <w:basedOn w:val="1"/>
    <w:autoRedefine/>
    <w:qFormat/>
    <w:uiPriority w:val="0"/>
    <w:pPr>
      <w:adjustRightInd w:val="0"/>
      <w:snapToGrid w:val="0"/>
      <w:jc w:val="center"/>
    </w:pPr>
    <w:rPr>
      <w:rFonts w:ascii="宋体" w:hAnsi="Times"/>
      <w:szCs w:val="20"/>
    </w:rPr>
  </w:style>
  <w:style w:type="character" w:customStyle="1" w:styleId="3117">
    <w:name w:val="正文首行缩进 2 Char11"/>
    <w:autoRedefine/>
    <w:qFormat/>
    <w:uiPriority w:val="0"/>
    <w:rPr>
      <w:rFonts w:ascii="Times New Roman" w:hAnsi="Times New Roman" w:eastAsia="宋体"/>
      <w:kern w:val="2"/>
      <w:sz w:val="21"/>
      <w:lang w:val="en-US" w:eastAsia="zh-CN" w:bidi="ar-SA"/>
    </w:rPr>
  </w:style>
  <w:style w:type="paragraph" w:customStyle="1" w:styleId="3118">
    <w:name w:val="默认段落字体 Para Char4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119">
    <w:name w:val="正文格式811"/>
    <w:basedOn w:val="1"/>
    <w:autoRedefine/>
    <w:qFormat/>
    <w:uiPriority w:val="0"/>
    <w:pPr>
      <w:spacing w:line="360" w:lineRule="auto"/>
      <w:ind w:firstLine="482"/>
    </w:pPr>
    <w:rPr>
      <w:rFonts w:ascii="宋体" w:hAnsi="宋体"/>
      <w:sz w:val="24"/>
    </w:rPr>
  </w:style>
  <w:style w:type="paragraph" w:customStyle="1" w:styleId="3120">
    <w:name w:val="正文格式911"/>
    <w:basedOn w:val="1"/>
    <w:autoRedefine/>
    <w:qFormat/>
    <w:uiPriority w:val="0"/>
    <w:pPr>
      <w:spacing w:line="360" w:lineRule="auto"/>
      <w:ind w:firstLine="482"/>
    </w:pPr>
    <w:rPr>
      <w:rFonts w:ascii="宋体" w:hAnsi="宋体"/>
      <w:sz w:val="24"/>
    </w:rPr>
  </w:style>
  <w:style w:type="paragraph" w:customStyle="1" w:styleId="3121">
    <w:name w:val="Char4211"/>
    <w:basedOn w:val="1"/>
    <w:autoRedefine/>
    <w:qFormat/>
    <w:uiPriority w:val="0"/>
    <w:pPr>
      <w:ind w:left="-48"/>
    </w:pPr>
  </w:style>
  <w:style w:type="paragraph" w:customStyle="1" w:styleId="3122">
    <w:name w:val="Char Char Char Char Char Char Char51"/>
    <w:basedOn w:val="1"/>
    <w:autoRedefine/>
    <w:qFormat/>
    <w:uiPriority w:val="0"/>
  </w:style>
  <w:style w:type="paragraph" w:customStyle="1" w:styleId="3123">
    <w:name w:val="Char Char2 Char Char Char Char41"/>
    <w:basedOn w:val="1"/>
    <w:autoRedefine/>
    <w:qFormat/>
    <w:uiPriority w:val="0"/>
  </w:style>
  <w:style w:type="paragraph" w:customStyle="1" w:styleId="3124">
    <w:name w:val="Char1611"/>
    <w:basedOn w:val="1"/>
    <w:autoRedefine/>
    <w:qFormat/>
    <w:uiPriority w:val="0"/>
    <w:pPr>
      <w:ind w:left="-48"/>
    </w:pPr>
  </w:style>
  <w:style w:type="paragraph" w:customStyle="1" w:styleId="3125">
    <w:name w:val="Char Char Char Char1 Char Char Char2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126">
    <w:name w:val="Char171"/>
    <w:basedOn w:val="1"/>
    <w:autoRedefine/>
    <w:qFormat/>
    <w:uiPriority w:val="0"/>
    <w:pPr>
      <w:ind w:left="-48"/>
    </w:pPr>
  </w:style>
  <w:style w:type="paragraph" w:customStyle="1" w:styleId="3127">
    <w:name w:val="Char Char Char Char Char Char Char1311"/>
    <w:basedOn w:val="1"/>
    <w:autoRedefine/>
    <w:qFormat/>
    <w:uiPriority w:val="0"/>
  </w:style>
  <w:style w:type="paragraph" w:customStyle="1" w:styleId="3128">
    <w:name w:val="Char2311"/>
    <w:basedOn w:val="1"/>
    <w:autoRedefine/>
    <w:qFormat/>
    <w:uiPriority w:val="0"/>
    <w:pPr>
      <w:ind w:left="-48"/>
    </w:pPr>
  </w:style>
  <w:style w:type="paragraph" w:customStyle="1" w:styleId="3129">
    <w:name w:val="Char3311"/>
    <w:basedOn w:val="1"/>
    <w:autoRedefine/>
    <w:qFormat/>
    <w:uiPriority w:val="0"/>
    <w:pPr>
      <w:ind w:left="-48"/>
    </w:pPr>
  </w:style>
  <w:style w:type="paragraph" w:customStyle="1" w:styleId="3130">
    <w:name w:val="Char Char Char Char Char Char Char2211"/>
    <w:basedOn w:val="1"/>
    <w:autoRedefine/>
    <w:qFormat/>
    <w:uiPriority w:val="0"/>
  </w:style>
  <w:style w:type="paragraph" w:customStyle="1" w:styleId="3131">
    <w:name w:val="Char4311"/>
    <w:basedOn w:val="1"/>
    <w:autoRedefine/>
    <w:qFormat/>
    <w:uiPriority w:val="0"/>
    <w:pPr>
      <w:ind w:left="-48"/>
    </w:pPr>
  </w:style>
  <w:style w:type="paragraph" w:customStyle="1" w:styleId="3132">
    <w:name w:val="表格内容11"/>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3133">
    <w:name w:val="正文格式821"/>
    <w:basedOn w:val="1"/>
    <w:autoRedefine/>
    <w:qFormat/>
    <w:uiPriority w:val="0"/>
    <w:pPr>
      <w:spacing w:line="360" w:lineRule="auto"/>
      <w:ind w:firstLine="482"/>
    </w:pPr>
    <w:rPr>
      <w:rFonts w:ascii="宋体" w:hAnsi="宋体"/>
      <w:sz w:val="24"/>
    </w:rPr>
  </w:style>
  <w:style w:type="character" w:customStyle="1" w:styleId="3134">
    <w:name w:val="纯文本 Char3"/>
    <w:autoRedefine/>
    <w:qFormat/>
    <w:uiPriority w:val="0"/>
    <w:rPr>
      <w:rFonts w:ascii="宋体" w:hAnsi="Courier New" w:eastAsia="宋体" w:cs="Courier New"/>
      <w:kern w:val="2"/>
      <w:sz w:val="24"/>
      <w:szCs w:val="21"/>
      <w:lang w:val="en-US" w:eastAsia="zh-CN" w:bidi="ar-SA"/>
    </w:rPr>
  </w:style>
  <w:style w:type="character" w:customStyle="1" w:styleId="3135">
    <w:name w:val="标题 1 Char5"/>
    <w:autoRedefine/>
    <w:qFormat/>
    <w:uiPriority w:val="0"/>
    <w:rPr>
      <w:rFonts w:ascii="黑体" w:hAnsi="宋体" w:eastAsia="黑体" w:cs="Times New Roman"/>
      <w:bCs/>
      <w:kern w:val="44"/>
      <w:sz w:val="32"/>
      <w:szCs w:val="32"/>
      <w:lang w:val="en-US" w:eastAsia="zh-CN" w:bidi="ar-SA"/>
    </w:rPr>
  </w:style>
  <w:style w:type="character" w:customStyle="1" w:styleId="3136">
    <w:name w:val="标题 2 Char7"/>
    <w:autoRedefine/>
    <w:qFormat/>
    <w:uiPriority w:val="0"/>
    <w:rPr>
      <w:rFonts w:ascii="黑体" w:hAnsi="Arial" w:eastAsia="黑体" w:cs="Times New Roman"/>
      <w:bCs/>
      <w:kern w:val="2"/>
      <w:sz w:val="30"/>
      <w:szCs w:val="30"/>
      <w:lang w:val="en-US" w:eastAsia="zh-CN" w:bidi="ar-SA"/>
    </w:rPr>
  </w:style>
  <w:style w:type="character" w:customStyle="1" w:styleId="3137">
    <w:name w:val="标题 3 Char14"/>
    <w:autoRedefine/>
    <w:qFormat/>
    <w:uiPriority w:val="0"/>
    <w:rPr>
      <w:rFonts w:ascii="黑体" w:hAnsi="宋体" w:eastAsia="黑体" w:cs="Times New Roman"/>
      <w:b/>
      <w:bCs/>
      <w:kern w:val="2"/>
      <w:sz w:val="28"/>
      <w:szCs w:val="28"/>
      <w:lang w:val="en-US" w:eastAsia="zh-CN" w:bidi="ar-SA"/>
    </w:rPr>
  </w:style>
  <w:style w:type="character" w:customStyle="1" w:styleId="3138">
    <w:name w:val="标题 5 Char2"/>
    <w:autoRedefine/>
    <w:qFormat/>
    <w:uiPriority w:val="0"/>
    <w:rPr>
      <w:rFonts w:ascii="Times New Roman" w:hAnsi="Times New Roman" w:eastAsia="宋体" w:cs="Times New Roman"/>
      <w:b/>
      <w:bCs/>
      <w:kern w:val="2"/>
      <w:sz w:val="28"/>
      <w:szCs w:val="28"/>
      <w:lang w:val="en-US" w:eastAsia="zh-CN" w:bidi="ar-SA"/>
    </w:rPr>
  </w:style>
  <w:style w:type="paragraph" w:customStyle="1" w:styleId="3139">
    <w:name w:val="附件6"/>
    <w:basedOn w:val="5"/>
    <w:next w:val="403"/>
    <w:autoRedefine/>
    <w:qFormat/>
    <w:uiPriority w:val="0"/>
    <w:pPr>
      <w:keepLines/>
      <w:overflowPunct/>
      <w:adjustRightInd w:val="0"/>
      <w:spacing w:before="0" w:beforeLines="100" w:after="0" w:line="360" w:lineRule="auto"/>
      <w:ind w:left="0" w:firstLine="0"/>
    </w:pPr>
    <w:rPr>
      <w:rFonts w:ascii="黑体" w:hAnsi="宋体"/>
      <w:b w:val="0"/>
      <w:color w:val="auto"/>
      <w:sz w:val="32"/>
      <w:szCs w:val="32"/>
    </w:rPr>
  </w:style>
  <w:style w:type="paragraph" w:customStyle="1" w:styleId="3140">
    <w:name w:val="正文格式14"/>
    <w:basedOn w:val="1"/>
    <w:autoRedefine/>
    <w:qFormat/>
    <w:uiPriority w:val="0"/>
    <w:pPr>
      <w:spacing w:line="360" w:lineRule="auto"/>
      <w:ind w:firstLine="482"/>
    </w:pPr>
    <w:rPr>
      <w:rFonts w:ascii="宋体" w:hAnsi="宋体"/>
      <w:sz w:val="24"/>
    </w:rPr>
  </w:style>
  <w:style w:type="character" w:customStyle="1" w:styleId="3141">
    <w:name w:val="正文文本 Char4"/>
    <w:autoRedefine/>
    <w:qFormat/>
    <w:uiPriority w:val="0"/>
    <w:rPr>
      <w:rFonts w:ascii="Times New Roman" w:hAnsi="Times New Roman" w:eastAsia="宋体" w:cs="Times New Roman"/>
      <w:kern w:val="2"/>
      <w:sz w:val="24"/>
      <w:szCs w:val="24"/>
      <w:lang w:val="en-US" w:eastAsia="zh-CN" w:bidi="ar-SA"/>
    </w:rPr>
  </w:style>
  <w:style w:type="paragraph" w:customStyle="1" w:styleId="3142">
    <w:name w:val="图题10"/>
    <w:basedOn w:val="403"/>
    <w:next w:val="403"/>
    <w:autoRedefine/>
    <w:qFormat/>
    <w:uiPriority w:val="0"/>
    <w:pPr>
      <w:ind w:firstLine="0"/>
      <w:jc w:val="center"/>
    </w:pPr>
    <w:rPr>
      <w:rFonts w:ascii="黑体" w:hAnsi="宋体" w:eastAsia="黑体"/>
      <w:b/>
      <w:bCs/>
    </w:rPr>
  </w:style>
  <w:style w:type="paragraph" w:customStyle="1" w:styleId="3143">
    <w:name w:val="表格内字体10"/>
    <w:basedOn w:val="403"/>
    <w:next w:val="403"/>
    <w:autoRedefine/>
    <w:qFormat/>
    <w:uiPriority w:val="0"/>
    <w:pPr>
      <w:spacing w:line="240" w:lineRule="auto"/>
      <w:ind w:firstLine="0"/>
      <w:jc w:val="center"/>
    </w:pPr>
    <w:rPr>
      <w:rFonts w:hAnsi="宋体" w:cs="Times New Roman"/>
      <w:sz w:val="21"/>
      <w:szCs w:val="21"/>
    </w:rPr>
  </w:style>
  <w:style w:type="character" w:customStyle="1" w:styleId="3144">
    <w:name w:val="表格内字体 Char10"/>
    <w:autoRedefine/>
    <w:qFormat/>
    <w:uiPriority w:val="0"/>
    <w:rPr>
      <w:rFonts w:ascii="宋体" w:hAnsi="宋体" w:eastAsia="宋体" w:cs="Times New Roman"/>
      <w:kern w:val="2"/>
      <w:sz w:val="24"/>
      <w:szCs w:val="21"/>
      <w:lang w:val="en-US" w:eastAsia="zh-CN" w:bidi="ar-SA"/>
    </w:rPr>
  </w:style>
  <w:style w:type="character" w:customStyle="1" w:styleId="3145">
    <w:name w:val="正文格式 Char12"/>
    <w:autoRedefine/>
    <w:qFormat/>
    <w:uiPriority w:val="0"/>
    <w:rPr>
      <w:rFonts w:ascii="宋体" w:hAnsi="宋体" w:eastAsia="宋体" w:cs="Times New Roman"/>
      <w:kern w:val="2"/>
      <w:sz w:val="24"/>
      <w:szCs w:val="24"/>
      <w:lang w:val="en-US" w:eastAsia="zh-CN" w:bidi="ar-SA"/>
    </w:rPr>
  </w:style>
  <w:style w:type="character" w:customStyle="1" w:styleId="3146">
    <w:name w:val="文档结构图 Char4"/>
    <w:autoRedefine/>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3147">
    <w:name w:val="页眉 Char4"/>
    <w:autoRedefine/>
    <w:qFormat/>
    <w:uiPriority w:val="0"/>
    <w:rPr>
      <w:rFonts w:ascii="Times New Roman" w:hAnsi="Times New Roman" w:eastAsia="宋体" w:cs="Times New Roman"/>
      <w:kern w:val="2"/>
      <w:sz w:val="18"/>
      <w:szCs w:val="18"/>
      <w:lang w:val="en-US" w:eastAsia="zh-CN" w:bidi="ar-SA"/>
    </w:rPr>
  </w:style>
  <w:style w:type="character" w:customStyle="1" w:styleId="3148">
    <w:name w:val="页脚 Char4"/>
    <w:autoRedefine/>
    <w:qFormat/>
    <w:uiPriority w:val="0"/>
    <w:rPr>
      <w:rFonts w:ascii="Times New Roman" w:hAnsi="Times New Roman" w:eastAsia="宋体" w:cs="Times New Roman"/>
      <w:kern w:val="2"/>
      <w:sz w:val="18"/>
      <w:szCs w:val="18"/>
      <w:lang w:val="en-US" w:eastAsia="zh-CN" w:bidi="ar-SA"/>
    </w:rPr>
  </w:style>
  <w:style w:type="character" w:customStyle="1" w:styleId="3149">
    <w:name w:val="正文缩进 Char32"/>
    <w:autoRedefine/>
    <w:qFormat/>
    <w:uiPriority w:val="0"/>
    <w:rPr>
      <w:rFonts w:ascii="宋体" w:hAnsi="宋体" w:eastAsia="宋体" w:cs="宋体"/>
      <w:color w:val="000000"/>
      <w:kern w:val="0"/>
      <w:sz w:val="24"/>
      <w:szCs w:val="24"/>
      <w:lang w:val="en-US" w:eastAsia="zh-CN" w:bidi="ar-SA"/>
    </w:rPr>
  </w:style>
  <w:style w:type="paragraph" w:customStyle="1" w:styleId="3150">
    <w:name w:val="标题4315"/>
    <w:basedOn w:val="1"/>
    <w:autoRedefine/>
    <w:qFormat/>
    <w:uiPriority w:val="0"/>
    <w:pPr>
      <w:adjustRightInd w:val="0"/>
      <w:snapToGrid w:val="0"/>
      <w:spacing w:line="480" w:lineRule="exact"/>
      <w:jc w:val="center"/>
    </w:pPr>
    <w:rPr>
      <w:rFonts w:ascii="宋体" w:hAnsi="宋体" w:cs="宋体"/>
      <w:sz w:val="24"/>
    </w:rPr>
  </w:style>
  <w:style w:type="paragraph" w:customStyle="1" w:styleId="3151">
    <w:name w:val="燕山正文116"/>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character" w:customStyle="1" w:styleId="3152">
    <w:name w:val="正文文本缩进 Char3"/>
    <w:autoRedefine/>
    <w:qFormat/>
    <w:uiPriority w:val="0"/>
    <w:rPr>
      <w:rFonts w:ascii="宋体" w:hAnsi="宋体" w:eastAsia="宋体" w:cs="宋体"/>
      <w:color w:val="000000"/>
      <w:kern w:val="2"/>
      <w:sz w:val="24"/>
      <w:szCs w:val="24"/>
      <w:lang w:val="en-US" w:eastAsia="zh-CN" w:bidi="ar-SA"/>
    </w:rPr>
  </w:style>
  <w:style w:type="paragraph" w:customStyle="1" w:styleId="3153">
    <w:name w:val="表题413"/>
    <w:basedOn w:val="36"/>
    <w:autoRedefine/>
    <w:qFormat/>
    <w:uiPriority w:val="0"/>
    <w:pPr>
      <w:tabs>
        <w:tab w:val="left" w:pos="4305"/>
      </w:tabs>
      <w:adjustRightInd w:val="0"/>
      <w:snapToGrid w:val="0"/>
      <w:spacing w:after="0"/>
      <w:ind w:left="0" w:leftChars="0"/>
      <w:jc w:val="center"/>
    </w:pPr>
    <w:rPr>
      <w:rFonts w:ascii="宋体" w:hAnsi="宋体" w:cs="宋体"/>
      <w:color w:val="000000"/>
      <w:kern w:val="2"/>
      <w:szCs w:val="24"/>
    </w:rPr>
  </w:style>
  <w:style w:type="paragraph" w:customStyle="1" w:styleId="3154">
    <w:name w:val="表内5417"/>
    <w:basedOn w:val="1"/>
    <w:autoRedefine/>
    <w:qFormat/>
    <w:uiPriority w:val="0"/>
    <w:pPr>
      <w:adjustRightInd w:val="0"/>
      <w:snapToGrid w:val="0"/>
      <w:spacing w:line="300" w:lineRule="auto"/>
      <w:jc w:val="center"/>
    </w:pPr>
    <w:rPr>
      <w:rFonts w:ascii="宋体" w:hAnsi="宋体" w:cs="宋体"/>
      <w:szCs w:val="20"/>
    </w:rPr>
  </w:style>
  <w:style w:type="paragraph" w:customStyle="1" w:styleId="3155">
    <w:name w:val="表内文字小216"/>
    <w:basedOn w:val="1"/>
    <w:autoRedefine/>
    <w:qFormat/>
    <w:uiPriority w:val="0"/>
    <w:pPr>
      <w:adjustRightInd w:val="0"/>
      <w:snapToGrid w:val="0"/>
      <w:jc w:val="center"/>
    </w:pPr>
    <w:rPr>
      <w:rFonts w:ascii="宋体" w:hAnsi="Times"/>
      <w:bCs/>
      <w:color w:val="000000"/>
      <w:szCs w:val="20"/>
    </w:rPr>
  </w:style>
  <w:style w:type="paragraph" w:customStyle="1" w:styleId="3156">
    <w:name w:val="表题316"/>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157">
    <w:name w:val="Char Char Char Char Char Char Char10"/>
    <w:basedOn w:val="1"/>
    <w:autoRedefine/>
    <w:qFormat/>
    <w:uiPriority w:val="0"/>
  </w:style>
  <w:style w:type="character" w:customStyle="1" w:styleId="3158">
    <w:name w:val="正文文本缩进 3 Char5"/>
    <w:autoRedefine/>
    <w:qFormat/>
    <w:uiPriority w:val="0"/>
    <w:rPr>
      <w:rFonts w:ascii="Times New Roman" w:hAnsi="Times New Roman" w:eastAsia="宋体" w:cs="Times New Roman"/>
      <w:kern w:val="2"/>
      <w:sz w:val="16"/>
      <w:szCs w:val="16"/>
      <w:lang w:val="en-US" w:eastAsia="zh-CN" w:bidi="ar-SA"/>
    </w:rPr>
  </w:style>
  <w:style w:type="character" w:customStyle="1" w:styleId="3159">
    <w:name w:val="正文文本缩进 2 Char3"/>
    <w:autoRedefine/>
    <w:qFormat/>
    <w:uiPriority w:val="0"/>
    <w:rPr>
      <w:rFonts w:ascii="Times New Roman" w:hAnsi="Times New Roman" w:eastAsia="宋体" w:cs="Times New Roman"/>
      <w:kern w:val="2"/>
      <w:sz w:val="24"/>
      <w:szCs w:val="24"/>
      <w:lang w:val="en-US" w:eastAsia="zh-CN" w:bidi="ar-SA"/>
    </w:rPr>
  </w:style>
  <w:style w:type="paragraph" w:customStyle="1" w:styleId="3160">
    <w:name w:val="正文24"/>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161">
    <w:name w:val="表文字56"/>
    <w:basedOn w:val="1"/>
    <w:autoRedefine/>
    <w:qFormat/>
    <w:uiPriority w:val="0"/>
    <w:pPr>
      <w:adjustRightInd w:val="0"/>
      <w:jc w:val="left"/>
      <w:textAlignment w:val="baseline"/>
    </w:pPr>
    <w:rPr>
      <w:rFonts w:ascii="宋体"/>
      <w:kern w:val="0"/>
      <w:szCs w:val="20"/>
    </w:rPr>
  </w:style>
  <w:style w:type="paragraph" w:customStyle="1" w:styleId="3162">
    <w:name w:val="表内文字小316"/>
    <w:basedOn w:val="1"/>
    <w:autoRedefine/>
    <w:qFormat/>
    <w:uiPriority w:val="0"/>
    <w:pPr>
      <w:adjustRightInd w:val="0"/>
      <w:snapToGrid w:val="0"/>
      <w:jc w:val="center"/>
    </w:pPr>
    <w:rPr>
      <w:rFonts w:ascii="宋体" w:hAnsi="Times" w:cs="宋体"/>
      <w:bCs/>
      <w:color w:val="003366"/>
      <w:szCs w:val="20"/>
    </w:rPr>
  </w:style>
  <w:style w:type="paragraph" w:customStyle="1" w:styleId="3163">
    <w:name w:val="表内宋5114"/>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character" w:customStyle="1" w:styleId="3164">
    <w:name w:val="正文首行缩进 Char3"/>
    <w:autoRedefine/>
    <w:qFormat/>
    <w:uiPriority w:val="0"/>
    <w:rPr>
      <w:rFonts w:ascii="Times New Roman" w:hAnsi="Times New Roman" w:eastAsia="宋体" w:cs="Times New Roman"/>
      <w:kern w:val="2"/>
      <w:sz w:val="21"/>
      <w:szCs w:val="24"/>
      <w:lang w:val="en-US" w:eastAsia="zh-CN" w:bidi="ar-SA"/>
    </w:rPr>
  </w:style>
  <w:style w:type="paragraph" w:customStyle="1" w:styleId="3165">
    <w:name w:val="文本框4"/>
    <w:basedOn w:val="1"/>
    <w:autoRedefine/>
    <w:qFormat/>
    <w:uiPriority w:val="0"/>
    <w:pPr>
      <w:adjustRightInd w:val="0"/>
      <w:snapToGrid w:val="0"/>
      <w:spacing w:after="6"/>
      <w:jc w:val="center"/>
    </w:pPr>
    <w:rPr>
      <w:rFonts w:eastAsia="仿宋_GB2312"/>
    </w:rPr>
  </w:style>
  <w:style w:type="paragraph" w:customStyle="1" w:styleId="3166">
    <w:name w:val="正文.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167">
    <w:name w:val="表6"/>
    <w:basedOn w:val="1"/>
    <w:autoRedefine/>
    <w:qFormat/>
    <w:uiPriority w:val="0"/>
    <w:pPr>
      <w:adjustRightInd w:val="0"/>
      <w:snapToGrid w:val="0"/>
      <w:jc w:val="center"/>
    </w:pPr>
    <w:rPr>
      <w:rFonts w:eastAsia="仿宋_GB2312"/>
      <w:sz w:val="24"/>
    </w:rPr>
  </w:style>
  <w:style w:type="paragraph" w:customStyle="1" w:styleId="3168">
    <w:name w:val="默认段落字体 Para Char Char Char Char8"/>
    <w:basedOn w:val="1"/>
    <w:autoRedefine/>
    <w:qFormat/>
    <w:uiPriority w:val="0"/>
  </w:style>
  <w:style w:type="paragraph" w:customStyle="1" w:styleId="3169">
    <w:name w:val="黑体三号7"/>
    <w:basedOn w:val="403"/>
    <w:autoRedefine/>
    <w:qFormat/>
    <w:uiPriority w:val="0"/>
    <w:pPr>
      <w:jc w:val="center"/>
    </w:pPr>
    <w:rPr>
      <w:rFonts w:ascii="黑体" w:hAnsi="宋体" w:eastAsia="黑体"/>
      <w:b/>
      <w:bCs/>
      <w:sz w:val="32"/>
      <w:szCs w:val="20"/>
    </w:rPr>
  </w:style>
  <w:style w:type="paragraph" w:customStyle="1" w:styleId="3170">
    <w:name w:val="Char Char2 Char Char Char Char9"/>
    <w:basedOn w:val="1"/>
    <w:autoRedefine/>
    <w:qFormat/>
    <w:uiPriority w:val="0"/>
  </w:style>
  <w:style w:type="paragraph" w:customStyle="1" w:styleId="3171">
    <w:name w:val="正文格式＝9"/>
    <w:basedOn w:val="403"/>
    <w:next w:val="403"/>
    <w:autoRedefine/>
    <w:qFormat/>
    <w:uiPriority w:val="0"/>
    <w:rPr>
      <w:rFonts w:hAnsi="宋体" w:cs="Times New Roman"/>
    </w:rPr>
  </w:style>
  <w:style w:type="paragraph" w:customStyle="1" w:styleId="3172">
    <w:name w:val="Char30"/>
    <w:basedOn w:val="1"/>
    <w:autoRedefine/>
    <w:qFormat/>
    <w:uiPriority w:val="0"/>
    <w:pPr>
      <w:ind w:left="-48"/>
    </w:pPr>
  </w:style>
  <w:style w:type="paragraph" w:customStyle="1" w:styleId="3173">
    <w:name w:val="表题18"/>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3174">
    <w:name w:val="燕山正文7"/>
    <w:basedOn w:val="1"/>
    <w:autoRedefine/>
    <w:qFormat/>
    <w:uiPriority w:val="0"/>
    <w:pPr>
      <w:tabs>
        <w:tab w:val="left" w:pos="4680"/>
      </w:tabs>
      <w:adjustRightInd w:val="0"/>
      <w:snapToGrid w:val="0"/>
      <w:spacing w:line="480" w:lineRule="exact"/>
    </w:pPr>
    <w:rPr>
      <w:rFonts w:ascii="宋体" w:cs="宋体"/>
      <w:sz w:val="24"/>
    </w:rPr>
  </w:style>
  <w:style w:type="character" w:customStyle="1" w:styleId="3175">
    <w:name w:val="燕山正文 Char17"/>
    <w:autoRedefine/>
    <w:qFormat/>
    <w:uiPriority w:val="0"/>
    <w:rPr>
      <w:rFonts w:ascii="宋体" w:hAnsi="Times New Roman" w:eastAsia="宋体" w:cs="宋体"/>
      <w:kern w:val="2"/>
      <w:sz w:val="24"/>
      <w:szCs w:val="24"/>
      <w:lang w:val="en-US" w:eastAsia="zh-CN" w:bidi="ar-SA"/>
    </w:rPr>
  </w:style>
  <w:style w:type="paragraph" w:customStyle="1" w:styleId="3176">
    <w:name w:val="正文修改7"/>
    <w:basedOn w:val="2088"/>
    <w:autoRedefine/>
    <w:qFormat/>
    <w:uiPriority w:val="0"/>
    <w:rPr>
      <w:rFonts w:hAnsi="宋体"/>
      <w:color w:val="000000"/>
    </w:rPr>
  </w:style>
  <w:style w:type="character" w:customStyle="1" w:styleId="3177">
    <w:name w:val="正文修改 Char17"/>
    <w:autoRedefine/>
    <w:qFormat/>
    <w:uiPriority w:val="0"/>
    <w:rPr>
      <w:rFonts w:ascii="宋体" w:hAnsi="宋体" w:eastAsia="宋体" w:cs="宋体"/>
      <w:color w:val="000000"/>
      <w:sz w:val="24"/>
      <w:szCs w:val="24"/>
    </w:rPr>
  </w:style>
  <w:style w:type="character" w:customStyle="1" w:styleId="3178">
    <w:name w:val="题注 Char8"/>
    <w:autoRedefine/>
    <w:qFormat/>
    <w:uiPriority w:val="0"/>
    <w:rPr>
      <w:rFonts w:ascii="黑体" w:hAnsi="Arial" w:eastAsia="黑体" w:cs="Arial"/>
      <w:b/>
      <w:kern w:val="2"/>
      <w:sz w:val="24"/>
      <w:szCs w:val="24"/>
      <w:lang w:val="en-US" w:eastAsia="zh-CN" w:bidi="ar-SA"/>
    </w:rPr>
  </w:style>
  <w:style w:type="character" w:customStyle="1" w:styleId="3179">
    <w:name w:val="表题1 Char9"/>
    <w:autoRedefine/>
    <w:qFormat/>
    <w:uiPriority w:val="0"/>
    <w:rPr>
      <w:rFonts w:ascii="黑体" w:hAnsi="Arial" w:eastAsia="黑体" w:cs="Arial"/>
      <w:b/>
      <w:kern w:val="2"/>
      <w:sz w:val="24"/>
      <w:szCs w:val="24"/>
      <w:lang w:val="en-US" w:eastAsia="zh-CN" w:bidi="ar-SA"/>
    </w:rPr>
  </w:style>
  <w:style w:type="paragraph" w:customStyle="1" w:styleId="3180">
    <w:name w:val="首行缩进:  0.99 厘米 + 首行缩进:  2 字符3"/>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character" w:customStyle="1" w:styleId="3181">
    <w:name w:val="正文文本 3 Char3"/>
    <w:autoRedefine/>
    <w:qFormat/>
    <w:uiPriority w:val="0"/>
    <w:rPr>
      <w:rFonts w:ascii="Times New Roman" w:hAnsi="Times New Roman" w:eastAsia="宋体" w:cs="Times New Roman"/>
      <w:kern w:val="2"/>
      <w:sz w:val="16"/>
      <w:szCs w:val="16"/>
      <w:lang w:val="en-US" w:eastAsia="zh-CN" w:bidi="ar-SA"/>
    </w:rPr>
  </w:style>
  <w:style w:type="paragraph" w:customStyle="1" w:styleId="3182">
    <w:name w:val="图表名称3"/>
    <w:basedOn w:val="316"/>
    <w:autoRedefine/>
    <w:qFormat/>
    <w:uiPriority w:val="0"/>
    <w:pPr>
      <w:adjustRightInd w:val="0"/>
      <w:snapToGrid w:val="0"/>
      <w:spacing w:after="0" w:line="480" w:lineRule="exact"/>
      <w:ind w:firstLine="0" w:firstLineChars="0"/>
      <w:jc w:val="center"/>
    </w:pPr>
    <w:rPr>
      <w:bCs/>
      <w:kern w:val="2"/>
      <w:lang w:val="zh-CN"/>
    </w:rPr>
  </w:style>
  <w:style w:type="paragraph" w:customStyle="1" w:styleId="3183">
    <w:name w:val="表内文字边3"/>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184">
    <w:name w:val="正文缩3"/>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185">
    <w:name w:val="样式23"/>
    <w:basedOn w:val="1"/>
    <w:autoRedefine/>
    <w:qFormat/>
    <w:uiPriority w:val="0"/>
    <w:pPr>
      <w:adjustRightInd w:val="0"/>
      <w:spacing w:line="360" w:lineRule="auto"/>
      <w:jc w:val="center"/>
      <w:textAlignment w:val="baseline"/>
      <w:outlineLvl w:val="0"/>
    </w:pPr>
    <w:rPr>
      <w:kern w:val="0"/>
      <w:szCs w:val="20"/>
    </w:rPr>
  </w:style>
  <w:style w:type="paragraph" w:customStyle="1" w:styleId="3186">
    <w:name w:val="默认段落字体 Para Char Char Char Char Char3"/>
    <w:basedOn w:val="1"/>
    <w:autoRedefine/>
    <w:qFormat/>
    <w:uiPriority w:val="0"/>
  </w:style>
  <w:style w:type="paragraph" w:customStyle="1" w:styleId="3187">
    <w:name w:val="表中文字8"/>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188">
    <w:name w:val="表内宋5中5"/>
    <w:basedOn w:val="1"/>
    <w:autoRedefine/>
    <w:qFormat/>
    <w:uiPriority w:val="0"/>
    <w:pPr>
      <w:adjustRightInd w:val="0"/>
      <w:snapToGrid w:val="0"/>
      <w:textAlignment w:val="baseline"/>
    </w:pPr>
    <w:rPr>
      <w:color w:val="000000"/>
      <w:kern w:val="0"/>
      <w:szCs w:val="20"/>
    </w:rPr>
  </w:style>
  <w:style w:type="character" w:customStyle="1" w:styleId="3189">
    <w:name w:val="表中文字 Char27"/>
    <w:autoRedefine/>
    <w:qFormat/>
    <w:uiPriority w:val="0"/>
    <w:rPr>
      <w:rFonts w:ascii="宋体" w:hAnsi="Times New Roman" w:eastAsia="宋体" w:cs="Times New Roman"/>
      <w:kern w:val="0"/>
      <w:sz w:val="24"/>
      <w:szCs w:val="21"/>
      <w:lang w:val="en-US" w:eastAsia="zh-CN" w:bidi="ar-SA"/>
    </w:rPr>
  </w:style>
  <w:style w:type="paragraph" w:customStyle="1" w:styleId="3190">
    <w:name w:val="样式 标题 3 + 段前: 12 磅3"/>
    <w:basedOn w:val="7"/>
    <w:autoRedefine/>
    <w:qFormat/>
    <w:uiPriority w:val="0"/>
    <w:pPr>
      <w:keepNext w:val="0"/>
      <w:keepLines w:val="0"/>
      <w:widowControl/>
      <w:autoSpaceDE w:val="0"/>
      <w:autoSpaceDN w:val="0"/>
      <w:snapToGrid w:val="0"/>
      <w:spacing w:before="0" w:line="360" w:lineRule="auto"/>
      <w:jc w:val="both"/>
      <w:textAlignment w:val="auto"/>
    </w:pPr>
    <w:rPr>
      <w:rFonts w:ascii="黑体" w:hAnsi="宋体" w:cs="宋体"/>
      <w:color w:val="000000"/>
      <w:kern w:val="21"/>
      <w:sz w:val="24"/>
      <w:szCs w:val="20"/>
    </w:rPr>
  </w:style>
  <w:style w:type="paragraph" w:customStyle="1" w:styleId="3191">
    <w:name w:val="表内文字小5"/>
    <w:basedOn w:val="1"/>
    <w:autoRedefine/>
    <w:qFormat/>
    <w:uiPriority w:val="0"/>
    <w:pPr>
      <w:adjustRightInd w:val="0"/>
      <w:snapToGrid w:val="0"/>
      <w:jc w:val="center"/>
    </w:pPr>
    <w:rPr>
      <w:rFonts w:ascii="宋体" w:hAnsi="Times"/>
      <w:szCs w:val="20"/>
    </w:rPr>
  </w:style>
  <w:style w:type="paragraph" w:customStyle="1" w:styleId="3192">
    <w:name w:val="表内55"/>
    <w:basedOn w:val="1"/>
    <w:autoRedefine/>
    <w:qFormat/>
    <w:uiPriority w:val="0"/>
    <w:pPr>
      <w:adjustRightInd w:val="0"/>
      <w:snapToGrid w:val="0"/>
      <w:spacing w:line="300" w:lineRule="auto"/>
      <w:jc w:val="left"/>
    </w:pPr>
    <w:rPr>
      <w:rFonts w:ascii="宋体"/>
      <w:sz w:val="18"/>
      <w:szCs w:val="20"/>
    </w:rPr>
  </w:style>
  <w:style w:type="paragraph" w:customStyle="1" w:styleId="3193">
    <w:name w:val="表内宋53"/>
    <w:basedOn w:val="2165"/>
    <w:autoRedefine/>
    <w:qFormat/>
    <w:uiPriority w:val="0"/>
    <w:pPr>
      <w:widowControl/>
      <w:autoSpaceDE w:val="0"/>
      <w:autoSpaceDN w:val="0"/>
      <w:jc w:val="left"/>
      <w:textAlignment w:val="auto"/>
    </w:pPr>
    <w:rPr>
      <w:color w:val="auto"/>
      <w:w w:val="90"/>
    </w:rPr>
  </w:style>
  <w:style w:type="paragraph" w:customStyle="1" w:styleId="3194">
    <w:name w:val="Char Char Char Char1 Char Char Char6"/>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195">
    <w:name w:val="正文格式15"/>
    <w:basedOn w:val="1"/>
    <w:autoRedefine/>
    <w:qFormat/>
    <w:uiPriority w:val="0"/>
    <w:pPr>
      <w:spacing w:line="360" w:lineRule="auto"/>
      <w:ind w:firstLine="482"/>
    </w:pPr>
    <w:rPr>
      <w:rFonts w:ascii="宋体" w:hAnsi="宋体"/>
      <w:sz w:val="24"/>
    </w:rPr>
  </w:style>
  <w:style w:type="paragraph" w:customStyle="1" w:styleId="3196">
    <w:name w:val="图题13"/>
    <w:basedOn w:val="403"/>
    <w:next w:val="403"/>
    <w:autoRedefine/>
    <w:qFormat/>
    <w:uiPriority w:val="0"/>
    <w:pPr>
      <w:ind w:firstLine="0"/>
      <w:jc w:val="center"/>
    </w:pPr>
    <w:rPr>
      <w:rFonts w:ascii="黑体" w:hAnsi="宋体" w:eastAsia="黑体"/>
      <w:b/>
      <w:bCs/>
    </w:rPr>
  </w:style>
  <w:style w:type="paragraph" w:customStyle="1" w:styleId="3197">
    <w:name w:val="表格内字体14"/>
    <w:basedOn w:val="403"/>
    <w:next w:val="403"/>
    <w:autoRedefine/>
    <w:qFormat/>
    <w:uiPriority w:val="0"/>
    <w:pPr>
      <w:spacing w:line="240" w:lineRule="auto"/>
      <w:ind w:firstLine="0"/>
      <w:jc w:val="center"/>
    </w:pPr>
    <w:rPr>
      <w:rFonts w:hAnsi="宋体" w:cs="Times New Roman"/>
      <w:sz w:val="21"/>
    </w:rPr>
  </w:style>
  <w:style w:type="character" w:customStyle="1" w:styleId="3198">
    <w:name w:val="Char Char116"/>
    <w:autoRedefine/>
    <w:qFormat/>
    <w:uiPriority w:val="0"/>
    <w:rPr>
      <w:rFonts w:ascii="黑体" w:hAnsi="Arial" w:eastAsia="黑体"/>
      <w:bCs/>
      <w:kern w:val="2"/>
      <w:sz w:val="30"/>
      <w:szCs w:val="30"/>
      <w:lang w:val="en-US" w:eastAsia="zh-CN" w:bidi="ar-SA"/>
    </w:rPr>
  </w:style>
  <w:style w:type="paragraph" w:customStyle="1" w:styleId="3199">
    <w:name w:val="Char115"/>
    <w:basedOn w:val="1"/>
    <w:autoRedefine/>
    <w:qFormat/>
    <w:uiPriority w:val="0"/>
    <w:pPr>
      <w:ind w:left="-48"/>
    </w:pPr>
  </w:style>
  <w:style w:type="paragraph" w:customStyle="1" w:styleId="3200">
    <w:name w:val="正文格式＝13"/>
    <w:basedOn w:val="403"/>
    <w:next w:val="403"/>
    <w:autoRedefine/>
    <w:qFormat/>
    <w:uiPriority w:val="0"/>
    <w:rPr>
      <w:rFonts w:hAnsi="宋体" w:cs="Times New Roman"/>
    </w:rPr>
  </w:style>
  <w:style w:type="paragraph" w:customStyle="1" w:styleId="3201">
    <w:name w:val="正文格式24"/>
    <w:basedOn w:val="1"/>
    <w:autoRedefine/>
    <w:qFormat/>
    <w:uiPriority w:val="0"/>
    <w:pPr>
      <w:spacing w:line="360" w:lineRule="auto"/>
      <w:ind w:firstLine="482"/>
    </w:pPr>
    <w:rPr>
      <w:rFonts w:ascii="宋体" w:hAnsi="宋体"/>
      <w:sz w:val="24"/>
    </w:rPr>
  </w:style>
  <w:style w:type="character" w:customStyle="1" w:styleId="3202">
    <w:name w:val="题注 Char13"/>
    <w:autoRedefine/>
    <w:qFormat/>
    <w:uiPriority w:val="0"/>
    <w:rPr>
      <w:rFonts w:ascii="黑体" w:hAnsi="Arial" w:eastAsia="黑体" w:cs="Arial"/>
      <w:b/>
      <w:kern w:val="2"/>
      <w:sz w:val="24"/>
      <w:szCs w:val="24"/>
      <w:lang w:val="en-US" w:eastAsia="zh-CN" w:bidi="ar-SA"/>
    </w:rPr>
  </w:style>
  <w:style w:type="paragraph" w:customStyle="1" w:styleId="3203">
    <w:name w:val="图题24"/>
    <w:basedOn w:val="403"/>
    <w:next w:val="403"/>
    <w:autoRedefine/>
    <w:qFormat/>
    <w:uiPriority w:val="0"/>
    <w:pPr>
      <w:ind w:firstLine="0"/>
      <w:jc w:val="center"/>
    </w:pPr>
    <w:rPr>
      <w:rFonts w:ascii="黑体" w:hAnsi="宋体" w:eastAsia="黑体"/>
      <w:b/>
      <w:bCs/>
    </w:rPr>
  </w:style>
  <w:style w:type="paragraph" w:customStyle="1" w:styleId="3204">
    <w:name w:val="表格内字体24"/>
    <w:basedOn w:val="403"/>
    <w:next w:val="403"/>
    <w:autoRedefine/>
    <w:qFormat/>
    <w:uiPriority w:val="0"/>
    <w:pPr>
      <w:spacing w:line="240" w:lineRule="auto"/>
      <w:ind w:firstLine="0"/>
      <w:jc w:val="center"/>
    </w:pPr>
    <w:rPr>
      <w:rFonts w:hAnsi="宋体" w:cs="Times New Roman"/>
      <w:sz w:val="21"/>
    </w:rPr>
  </w:style>
  <w:style w:type="paragraph" w:customStyle="1" w:styleId="3205">
    <w:name w:val="表内54113"/>
    <w:basedOn w:val="1"/>
    <w:autoRedefine/>
    <w:qFormat/>
    <w:uiPriority w:val="0"/>
    <w:pPr>
      <w:adjustRightInd w:val="0"/>
      <w:snapToGrid w:val="0"/>
      <w:spacing w:line="300" w:lineRule="auto"/>
      <w:jc w:val="center"/>
    </w:pPr>
    <w:rPr>
      <w:rFonts w:ascii="宋体" w:hAnsi="宋体" w:cs="宋体"/>
      <w:szCs w:val="20"/>
    </w:rPr>
  </w:style>
  <w:style w:type="paragraph" w:customStyle="1" w:styleId="3206">
    <w:name w:val="表内文字小2113"/>
    <w:basedOn w:val="1"/>
    <w:autoRedefine/>
    <w:qFormat/>
    <w:uiPriority w:val="0"/>
    <w:pPr>
      <w:adjustRightInd w:val="0"/>
      <w:snapToGrid w:val="0"/>
      <w:jc w:val="center"/>
    </w:pPr>
    <w:rPr>
      <w:rFonts w:ascii="宋体" w:hAnsi="Times"/>
      <w:bCs/>
      <w:color w:val="000000"/>
      <w:szCs w:val="20"/>
    </w:rPr>
  </w:style>
  <w:style w:type="paragraph" w:customStyle="1" w:styleId="3207">
    <w:name w:val="表题3113"/>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208">
    <w:name w:val="Char Char Char Char Char Char Char18"/>
    <w:basedOn w:val="1"/>
    <w:autoRedefine/>
    <w:qFormat/>
    <w:uiPriority w:val="0"/>
  </w:style>
  <w:style w:type="paragraph" w:customStyle="1" w:styleId="3209">
    <w:name w:val="标题43113"/>
    <w:basedOn w:val="1"/>
    <w:autoRedefine/>
    <w:qFormat/>
    <w:uiPriority w:val="0"/>
    <w:pPr>
      <w:adjustRightInd w:val="0"/>
      <w:snapToGrid w:val="0"/>
      <w:spacing w:line="480" w:lineRule="exact"/>
      <w:jc w:val="center"/>
    </w:pPr>
    <w:rPr>
      <w:rFonts w:ascii="宋体" w:hAnsi="宋体" w:cs="宋体"/>
      <w:sz w:val="24"/>
    </w:rPr>
  </w:style>
  <w:style w:type="paragraph" w:customStyle="1" w:styleId="3210">
    <w:name w:val="燕山正文11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11">
    <w:name w:val="默认段落字体 Para Char Char Char Char13"/>
    <w:basedOn w:val="1"/>
    <w:autoRedefine/>
    <w:qFormat/>
    <w:uiPriority w:val="0"/>
  </w:style>
  <w:style w:type="paragraph" w:customStyle="1" w:styleId="3212">
    <w:name w:val="附件13"/>
    <w:basedOn w:val="5"/>
    <w:next w:val="403"/>
    <w:autoRedefine/>
    <w:qFormat/>
    <w:uiPriority w:val="0"/>
    <w:pPr>
      <w:keepLines/>
      <w:overflowPunct/>
      <w:adjustRightInd w:val="0"/>
      <w:spacing w:before="0" w:beforeLines="100" w:after="0" w:line="360" w:lineRule="auto"/>
      <w:ind w:left="0" w:firstLine="0"/>
    </w:pPr>
    <w:rPr>
      <w:rFonts w:ascii="黑体" w:hAnsi="宋体"/>
      <w:color w:val="auto"/>
      <w:sz w:val="32"/>
      <w:szCs w:val="32"/>
    </w:rPr>
  </w:style>
  <w:style w:type="paragraph" w:customStyle="1" w:styleId="3213">
    <w:name w:val="黑体三号13"/>
    <w:basedOn w:val="403"/>
    <w:autoRedefine/>
    <w:qFormat/>
    <w:uiPriority w:val="0"/>
    <w:pPr>
      <w:jc w:val="center"/>
    </w:pPr>
    <w:rPr>
      <w:rFonts w:ascii="黑体" w:hAnsi="宋体" w:eastAsia="黑体"/>
      <w:b/>
      <w:bCs/>
      <w:sz w:val="32"/>
      <w:szCs w:val="20"/>
    </w:rPr>
  </w:style>
  <w:style w:type="paragraph" w:customStyle="1" w:styleId="3214">
    <w:name w:val="表13"/>
    <w:basedOn w:val="1"/>
    <w:autoRedefine/>
    <w:qFormat/>
    <w:uiPriority w:val="0"/>
    <w:pPr>
      <w:adjustRightInd w:val="0"/>
      <w:snapToGrid w:val="0"/>
      <w:jc w:val="center"/>
    </w:pPr>
    <w:rPr>
      <w:rFonts w:eastAsia="仿宋_GB2312"/>
      <w:sz w:val="24"/>
    </w:rPr>
  </w:style>
  <w:style w:type="character" w:customStyle="1" w:styleId="3215">
    <w:name w:val="Char Char66"/>
    <w:autoRedefine/>
    <w:qFormat/>
    <w:uiPriority w:val="0"/>
    <w:rPr>
      <w:rFonts w:ascii="黑体" w:eastAsia="黑体"/>
      <w:b/>
      <w:bCs/>
      <w:kern w:val="2"/>
      <w:sz w:val="28"/>
      <w:szCs w:val="28"/>
      <w:lang w:val="en-US" w:eastAsia="zh-CN" w:bidi="ar-SA"/>
    </w:rPr>
  </w:style>
  <w:style w:type="paragraph" w:customStyle="1" w:styleId="3216">
    <w:name w:val="表题114"/>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3217">
    <w:name w:val="燕山正文15"/>
    <w:basedOn w:val="1"/>
    <w:autoRedefine/>
    <w:qFormat/>
    <w:uiPriority w:val="0"/>
    <w:pPr>
      <w:tabs>
        <w:tab w:val="left" w:pos="4680"/>
      </w:tabs>
      <w:adjustRightInd w:val="0"/>
      <w:snapToGrid w:val="0"/>
      <w:spacing w:line="480" w:lineRule="exact"/>
    </w:pPr>
    <w:rPr>
      <w:rFonts w:ascii="宋体" w:cs="宋体"/>
      <w:sz w:val="24"/>
    </w:rPr>
  </w:style>
  <w:style w:type="paragraph" w:customStyle="1" w:styleId="3218">
    <w:name w:val="正文修改13"/>
    <w:basedOn w:val="2088"/>
    <w:autoRedefine/>
    <w:qFormat/>
    <w:uiPriority w:val="0"/>
    <w:rPr>
      <w:rFonts w:hAnsi="宋体"/>
      <w:color w:val="000000"/>
    </w:rPr>
  </w:style>
  <w:style w:type="character" w:customStyle="1" w:styleId="3219">
    <w:name w:val="正文修改 Char113"/>
    <w:autoRedefine/>
    <w:qFormat/>
    <w:uiPriority w:val="0"/>
    <w:rPr>
      <w:rFonts w:ascii="宋体" w:hAnsi="宋体" w:eastAsia="宋体" w:cs="宋体"/>
      <w:color w:val="000000"/>
      <w:sz w:val="24"/>
      <w:szCs w:val="24"/>
    </w:rPr>
  </w:style>
  <w:style w:type="paragraph" w:customStyle="1" w:styleId="3220">
    <w:name w:val="表中文字14"/>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221">
    <w:name w:val="表文字514"/>
    <w:basedOn w:val="1"/>
    <w:autoRedefine/>
    <w:qFormat/>
    <w:uiPriority w:val="0"/>
    <w:pPr>
      <w:adjustRightInd w:val="0"/>
      <w:jc w:val="left"/>
      <w:textAlignment w:val="baseline"/>
    </w:pPr>
    <w:rPr>
      <w:rFonts w:ascii="宋体"/>
      <w:kern w:val="0"/>
      <w:szCs w:val="20"/>
    </w:rPr>
  </w:style>
  <w:style w:type="paragraph" w:customStyle="1" w:styleId="3222">
    <w:name w:val="表内文字小3113"/>
    <w:basedOn w:val="1"/>
    <w:autoRedefine/>
    <w:qFormat/>
    <w:uiPriority w:val="0"/>
    <w:pPr>
      <w:adjustRightInd w:val="0"/>
      <w:snapToGrid w:val="0"/>
      <w:jc w:val="center"/>
    </w:pPr>
    <w:rPr>
      <w:rFonts w:ascii="宋体" w:hAnsi="Times" w:cs="宋体"/>
      <w:bCs/>
      <w:color w:val="003366"/>
      <w:szCs w:val="20"/>
    </w:rPr>
  </w:style>
  <w:style w:type="paragraph" w:customStyle="1" w:styleId="3223">
    <w:name w:val="样式113"/>
    <w:basedOn w:val="2137"/>
    <w:autoRedefine/>
    <w:qFormat/>
    <w:uiPriority w:val="0"/>
    <w:pPr>
      <w:spacing w:line="240" w:lineRule="auto"/>
      <w:ind w:firstLine="0"/>
      <w:jc w:val="center"/>
    </w:pPr>
    <w:rPr>
      <w:rFonts w:cs="Times New Roman"/>
      <w:b/>
      <w:color w:val="auto"/>
      <w:szCs w:val="20"/>
    </w:rPr>
  </w:style>
  <w:style w:type="paragraph" w:customStyle="1" w:styleId="3224">
    <w:name w:val="正文格式＝23"/>
    <w:basedOn w:val="403"/>
    <w:next w:val="403"/>
    <w:autoRedefine/>
    <w:qFormat/>
    <w:uiPriority w:val="0"/>
    <w:rPr>
      <w:rFonts w:hAnsi="宋体" w:cs="Times New Roman"/>
    </w:rPr>
  </w:style>
  <w:style w:type="paragraph" w:customStyle="1" w:styleId="3225">
    <w:name w:val="Char210"/>
    <w:basedOn w:val="1"/>
    <w:autoRedefine/>
    <w:qFormat/>
    <w:uiPriority w:val="0"/>
    <w:pPr>
      <w:ind w:left="-48"/>
    </w:pPr>
  </w:style>
  <w:style w:type="paragraph" w:customStyle="1" w:styleId="3226">
    <w:name w:val="表内文字小25"/>
    <w:basedOn w:val="1"/>
    <w:autoRedefine/>
    <w:qFormat/>
    <w:uiPriority w:val="0"/>
    <w:pPr>
      <w:adjustRightInd w:val="0"/>
      <w:snapToGrid w:val="0"/>
      <w:jc w:val="center"/>
    </w:pPr>
    <w:rPr>
      <w:rFonts w:ascii="宋体" w:hAnsi="Times"/>
      <w:bCs/>
      <w:color w:val="000000"/>
      <w:szCs w:val="20"/>
    </w:rPr>
  </w:style>
  <w:style w:type="paragraph" w:customStyle="1" w:styleId="3227">
    <w:name w:val="表内534"/>
    <w:basedOn w:val="1"/>
    <w:autoRedefine/>
    <w:qFormat/>
    <w:uiPriority w:val="0"/>
    <w:pPr>
      <w:adjustRightInd w:val="0"/>
      <w:snapToGrid w:val="0"/>
      <w:spacing w:line="300" w:lineRule="auto"/>
      <w:jc w:val="left"/>
    </w:pPr>
    <w:rPr>
      <w:rFonts w:ascii="宋体"/>
      <w:szCs w:val="20"/>
    </w:rPr>
  </w:style>
  <w:style w:type="paragraph" w:customStyle="1" w:styleId="3228">
    <w:name w:val="正文格式33"/>
    <w:basedOn w:val="1"/>
    <w:autoRedefine/>
    <w:qFormat/>
    <w:uiPriority w:val="0"/>
    <w:pPr>
      <w:spacing w:line="360" w:lineRule="auto"/>
      <w:ind w:firstLine="482"/>
    </w:pPr>
    <w:rPr>
      <w:rFonts w:ascii="宋体" w:hAnsi="宋体"/>
      <w:sz w:val="24"/>
    </w:rPr>
  </w:style>
  <w:style w:type="character" w:customStyle="1" w:styleId="3229">
    <w:name w:val="题注 Char23"/>
    <w:autoRedefine/>
    <w:qFormat/>
    <w:uiPriority w:val="0"/>
    <w:rPr>
      <w:rFonts w:ascii="黑体" w:hAnsi="Arial" w:eastAsia="黑体" w:cs="Arial"/>
      <w:b/>
      <w:kern w:val="2"/>
      <w:sz w:val="24"/>
      <w:szCs w:val="24"/>
      <w:lang w:val="en-US" w:eastAsia="zh-CN" w:bidi="ar-SA"/>
    </w:rPr>
  </w:style>
  <w:style w:type="paragraph" w:customStyle="1" w:styleId="3230">
    <w:name w:val="图题33"/>
    <w:basedOn w:val="403"/>
    <w:next w:val="403"/>
    <w:autoRedefine/>
    <w:qFormat/>
    <w:uiPriority w:val="0"/>
    <w:pPr>
      <w:ind w:firstLine="0"/>
      <w:jc w:val="center"/>
    </w:pPr>
    <w:rPr>
      <w:rFonts w:ascii="黑体" w:hAnsi="宋体" w:eastAsia="黑体"/>
      <w:b/>
      <w:bCs/>
    </w:rPr>
  </w:style>
  <w:style w:type="paragraph" w:customStyle="1" w:styleId="3231">
    <w:name w:val="表格内字体33"/>
    <w:basedOn w:val="403"/>
    <w:next w:val="403"/>
    <w:autoRedefine/>
    <w:qFormat/>
    <w:uiPriority w:val="0"/>
    <w:pPr>
      <w:spacing w:line="240" w:lineRule="auto"/>
      <w:ind w:firstLine="0"/>
      <w:jc w:val="center"/>
    </w:pPr>
    <w:rPr>
      <w:rFonts w:hAnsi="宋体" w:cs="Times New Roman"/>
      <w:sz w:val="21"/>
    </w:rPr>
  </w:style>
  <w:style w:type="paragraph" w:customStyle="1" w:styleId="3232">
    <w:name w:val="表内54123"/>
    <w:basedOn w:val="1"/>
    <w:autoRedefine/>
    <w:qFormat/>
    <w:uiPriority w:val="0"/>
    <w:pPr>
      <w:adjustRightInd w:val="0"/>
      <w:snapToGrid w:val="0"/>
      <w:spacing w:line="300" w:lineRule="auto"/>
      <w:jc w:val="center"/>
    </w:pPr>
    <w:rPr>
      <w:rFonts w:ascii="宋体" w:hAnsi="宋体" w:cs="宋体"/>
      <w:szCs w:val="20"/>
    </w:rPr>
  </w:style>
  <w:style w:type="paragraph" w:customStyle="1" w:styleId="3233">
    <w:name w:val="表内文字小2123"/>
    <w:basedOn w:val="1"/>
    <w:autoRedefine/>
    <w:qFormat/>
    <w:uiPriority w:val="0"/>
    <w:pPr>
      <w:adjustRightInd w:val="0"/>
      <w:snapToGrid w:val="0"/>
      <w:jc w:val="center"/>
    </w:pPr>
    <w:rPr>
      <w:rFonts w:ascii="宋体" w:hAnsi="Times"/>
      <w:bCs/>
      <w:color w:val="000000"/>
      <w:szCs w:val="20"/>
    </w:rPr>
  </w:style>
  <w:style w:type="paragraph" w:customStyle="1" w:styleId="3234">
    <w:name w:val="表题3123"/>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235">
    <w:name w:val="标题43123"/>
    <w:basedOn w:val="1"/>
    <w:autoRedefine/>
    <w:qFormat/>
    <w:uiPriority w:val="0"/>
    <w:pPr>
      <w:adjustRightInd w:val="0"/>
      <w:snapToGrid w:val="0"/>
      <w:spacing w:line="480" w:lineRule="exact"/>
      <w:jc w:val="center"/>
    </w:pPr>
    <w:rPr>
      <w:rFonts w:ascii="宋体" w:hAnsi="宋体" w:cs="宋体"/>
      <w:sz w:val="24"/>
    </w:rPr>
  </w:style>
  <w:style w:type="paragraph" w:customStyle="1" w:styleId="3236">
    <w:name w:val="燕山正文112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37">
    <w:name w:val="默认段落字体 Para Char Char Char Char23"/>
    <w:basedOn w:val="1"/>
    <w:autoRedefine/>
    <w:qFormat/>
    <w:uiPriority w:val="0"/>
  </w:style>
  <w:style w:type="paragraph" w:customStyle="1" w:styleId="3238">
    <w:name w:val="附件23"/>
    <w:basedOn w:val="5"/>
    <w:next w:val="403"/>
    <w:autoRedefine/>
    <w:qFormat/>
    <w:uiPriority w:val="0"/>
    <w:pPr>
      <w:keepLines/>
      <w:overflowPunct/>
      <w:adjustRightInd w:val="0"/>
      <w:spacing w:before="0" w:beforeLines="100" w:after="0" w:line="360" w:lineRule="auto"/>
      <w:ind w:left="0" w:firstLine="0"/>
    </w:pPr>
    <w:rPr>
      <w:rFonts w:ascii="黑体" w:hAnsi="宋体"/>
      <w:color w:val="auto"/>
      <w:sz w:val="32"/>
      <w:szCs w:val="32"/>
    </w:rPr>
  </w:style>
  <w:style w:type="paragraph" w:customStyle="1" w:styleId="3239">
    <w:name w:val="黑体三号23"/>
    <w:basedOn w:val="403"/>
    <w:autoRedefine/>
    <w:qFormat/>
    <w:uiPriority w:val="0"/>
    <w:pPr>
      <w:jc w:val="center"/>
    </w:pPr>
    <w:rPr>
      <w:rFonts w:ascii="黑体" w:hAnsi="宋体" w:eastAsia="黑体"/>
      <w:b/>
      <w:bCs/>
      <w:sz w:val="32"/>
      <w:szCs w:val="20"/>
    </w:rPr>
  </w:style>
  <w:style w:type="paragraph" w:customStyle="1" w:styleId="3240">
    <w:name w:val="表23"/>
    <w:basedOn w:val="1"/>
    <w:autoRedefine/>
    <w:qFormat/>
    <w:uiPriority w:val="0"/>
    <w:pPr>
      <w:adjustRightInd w:val="0"/>
      <w:snapToGrid w:val="0"/>
      <w:jc w:val="center"/>
    </w:pPr>
    <w:rPr>
      <w:rFonts w:eastAsia="仿宋_GB2312"/>
      <w:sz w:val="24"/>
    </w:rPr>
  </w:style>
  <w:style w:type="paragraph" w:customStyle="1" w:styleId="3241">
    <w:name w:val="燕山正文23"/>
    <w:basedOn w:val="1"/>
    <w:autoRedefine/>
    <w:qFormat/>
    <w:uiPriority w:val="0"/>
    <w:pPr>
      <w:tabs>
        <w:tab w:val="left" w:pos="4680"/>
      </w:tabs>
      <w:adjustRightInd w:val="0"/>
      <w:snapToGrid w:val="0"/>
      <w:spacing w:line="480" w:lineRule="exact"/>
    </w:pPr>
    <w:rPr>
      <w:rFonts w:ascii="宋体" w:cs="宋体"/>
      <w:sz w:val="24"/>
    </w:rPr>
  </w:style>
  <w:style w:type="paragraph" w:customStyle="1" w:styleId="3242">
    <w:name w:val="正文修改23"/>
    <w:basedOn w:val="2088"/>
    <w:autoRedefine/>
    <w:qFormat/>
    <w:uiPriority w:val="0"/>
    <w:rPr>
      <w:rFonts w:hAnsi="宋体"/>
      <w:color w:val="000000"/>
    </w:rPr>
  </w:style>
  <w:style w:type="character" w:customStyle="1" w:styleId="3243">
    <w:name w:val="正文修改 Char123"/>
    <w:autoRedefine/>
    <w:qFormat/>
    <w:uiPriority w:val="0"/>
    <w:rPr>
      <w:rFonts w:ascii="宋体" w:hAnsi="宋体" w:eastAsia="宋体" w:cs="宋体"/>
      <w:color w:val="000000"/>
      <w:sz w:val="24"/>
      <w:szCs w:val="24"/>
    </w:rPr>
  </w:style>
  <w:style w:type="paragraph" w:customStyle="1" w:styleId="3244">
    <w:name w:val="表中文字23"/>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245">
    <w:name w:val="表内文字小3123"/>
    <w:basedOn w:val="1"/>
    <w:autoRedefine/>
    <w:qFormat/>
    <w:uiPriority w:val="0"/>
    <w:pPr>
      <w:adjustRightInd w:val="0"/>
      <w:snapToGrid w:val="0"/>
      <w:jc w:val="center"/>
    </w:pPr>
    <w:rPr>
      <w:rFonts w:ascii="宋体" w:hAnsi="Times" w:cs="宋体"/>
      <w:bCs/>
      <w:color w:val="003366"/>
      <w:szCs w:val="20"/>
    </w:rPr>
  </w:style>
  <w:style w:type="paragraph" w:customStyle="1" w:styleId="3246">
    <w:name w:val="正文格式＝33"/>
    <w:basedOn w:val="403"/>
    <w:next w:val="403"/>
    <w:autoRedefine/>
    <w:qFormat/>
    <w:uiPriority w:val="0"/>
    <w:rPr>
      <w:rFonts w:hAnsi="宋体" w:cs="Times New Roman"/>
    </w:rPr>
  </w:style>
  <w:style w:type="paragraph" w:customStyle="1" w:styleId="3247">
    <w:name w:val="表内文字小223"/>
    <w:basedOn w:val="1"/>
    <w:autoRedefine/>
    <w:qFormat/>
    <w:uiPriority w:val="0"/>
    <w:pPr>
      <w:adjustRightInd w:val="0"/>
      <w:snapToGrid w:val="0"/>
      <w:jc w:val="center"/>
    </w:pPr>
    <w:rPr>
      <w:rFonts w:ascii="宋体" w:hAnsi="Times"/>
      <w:bCs/>
      <w:color w:val="000000"/>
      <w:szCs w:val="20"/>
    </w:rPr>
  </w:style>
  <w:style w:type="paragraph" w:customStyle="1" w:styleId="3248">
    <w:name w:val="正文格式213"/>
    <w:basedOn w:val="1"/>
    <w:autoRedefine/>
    <w:qFormat/>
    <w:uiPriority w:val="0"/>
    <w:pPr>
      <w:spacing w:line="360" w:lineRule="auto"/>
      <w:ind w:firstLine="482"/>
    </w:pPr>
    <w:rPr>
      <w:rFonts w:ascii="宋体" w:hAnsi="宋体"/>
      <w:sz w:val="24"/>
    </w:rPr>
  </w:style>
  <w:style w:type="paragraph" w:customStyle="1" w:styleId="3249">
    <w:name w:val="表格内字体213"/>
    <w:basedOn w:val="403"/>
    <w:next w:val="403"/>
    <w:autoRedefine/>
    <w:qFormat/>
    <w:uiPriority w:val="0"/>
    <w:pPr>
      <w:spacing w:line="240" w:lineRule="auto"/>
      <w:ind w:firstLine="0"/>
      <w:jc w:val="center"/>
    </w:pPr>
    <w:rPr>
      <w:rFonts w:hAnsi="宋体" w:cs="Times New Roman"/>
      <w:sz w:val="21"/>
    </w:rPr>
  </w:style>
  <w:style w:type="paragraph" w:customStyle="1" w:styleId="3250">
    <w:name w:val="表中文字11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251">
    <w:name w:val="表文字5113"/>
    <w:basedOn w:val="1"/>
    <w:autoRedefine/>
    <w:qFormat/>
    <w:uiPriority w:val="0"/>
    <w:pPr>
      <w:adjustRightInd w:val="0"/>
      <w:jc w:val="left"/>
      <w:textAlignment w:val="baseline"/>
    </w:pPr>
    <w:rPr>
      <w:rFonts w:ascii="宋体"/>
      <w:kern w:val="0"/>
      <w:szCs w:val="20"/>
    </w:rPr>
  </w:style>
  <w:style w:type="paragraph" w:customStyle="1" w:styleId="3252">
    <w:name w:val="默认段落字体 Para Char7"/>
    <w:basedOn w:val="1"/>
    <w:autoRedefine/>
    <w:qFormat/>
    <w:uiPriority w:val="0"/>
    <w:pPr>
      <w:spacing w:line="360" w:lineRule="auto"/>
      <w:ind w:firstLine="200" w:firstLineChars="200"/>
    </w:pPr>
    <w:rPr>
      <w:rFonts w:ascii="宋体" w:hAnsi="宋体" w:cs="宋体"/>
      <w:sz w:val="24"/>
    </w:rPr>
  </w:style>
  <w:style w:type="character" w:customStyle="1" w:styleId="3253">
    <w:name w:val="批注框文本 Char7"/>
    <w:autoRedefine/>
    <w:qFormat/>
    <w:uiPriority w:val="0"/>
    <w:rPr>
      <w:rFonts w:ascii="Times New Roman" w:hAnsi="Times New Roman" w:eastAsia="宋体" w:cs="Times New Roman"/>
      <w:kern w:val="2"/>
      <w:sz w:val="18"/>
      <w:szCs w:val="18"/>
      <w:lang w:val="en-US" w:eastAsia="zh-CN" w:bidi="ar-SA"/>
    </w:rPr>
  </w:style>
  <w:style w:type="paragraph" w:customStyle="1" w:styleId="3254">
    <w:name w:val="正文格式43"/>
    <w:basedOn w:val="1"/>
    <w:autoRedefine/>
    <w:qFormat/>
    <w:uiPriority w:val="0"/>
    <w:pPr>
      <w:spacing w:line="360" w:lineRule="auto"/>
      <w:ind w:firstLine="482"/>
    </w:pPr>
    <w:rPr>
      <w:rFonts w:ascii="宋体" w:hAnsi="宋体"/>
      <w:sz w:val="24"/>
    </w:rPr>
  </w:style>
  <w:style w:type="paragraph" w:customStyle="1" w:styleId="3255">
    <w:name w:val="图题43"/>
    <w:basedOn w:val="403"/>
    <w:next w:val="403"/>
    <w:autoRedefine/>
    <w:qFormat/>
    <w:uiPriority w:val="0"/>
    <w:pPr>
      <w:ind w:firstLine="0"/>
      <w:jc w:val="center"/>
    </w:pPr>
    <w:rPr>
      <w:rFonts w:ascii="黑体" w:hAnsi="宋体" w:eastAsia="黑体"/>
      <w:b/>
      <w:bCs/>
    </w:rPr>
  </w:style>
  <w:style w:type="paragraph" w:customStyle="1" w:styleId="3256">
    <w:name w:val="表格内字体43"/>
    <w:basedOn w:val="403"/>
    <w:next w:val="403"/>
    <w:autoRedefine/>
    <w:qFormat/>
    <w:uiPriority w:val="0"/>
    <w:pPr>
      <w:spacing w:line="240" w:lineRule="auto"/>
      <w:ind w:firstLine="0"/>
      <w:jc w:val="center"/>
    </w:pPr>
    <w:rPr>
      <w:rFonts w:hAnsi="宋体" w:cs="Times New Roman"/>
      <w:sz w:val="21"/>
    </w:rPr>
  </w:style>
  <w:style w:type="paragraph" w:customStyle="1" w:styleId="3257">
    <w:name w:val="Char48"/>
    <w:basedOn w:val="1"/>
    <w:autoRedefine/>
    <w:qFormat/>
    <w:uiPriority w:val="0"/>
    <w:pPr>
      <w:ind w:left="-48"/>
    </w:pPr>
  </w:style>
  <w:style w:type="paragraph" w:customStyle="1" w:styleId="3258">
    <w:name w:val="正文格式＝43"/>
    <w:basedOn w:val="403"/>
    <w:next w:val="403"/>
    <w:autoRedefine/>
    <w:qFormat/>
    <w:uiPriority w:val="0"/>
    <w:rPr>
      <w:rFonts w:hAnsi="宋体" w:cs="Times New Roman"/>
    </w:rPr>
  </w:style>
  <w:style w:type="paragraph" w:customStyle="1" w:styleId="3259">
    <w:name w:val="表题133"/>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3260">
    <w:name w:val="默认段落字体 Para Char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261">
    <w:name w:val="23-47表名3"/>
    <w:basedOn w:val="1"/>
    <w:autoRedefine/>
    <w:qFormat/>
    <w:uiPriority w:val="0"/>
    <w:pPr>
      <w:spacing w:afterLines="50" w:line="440" w:lineRule="exact"/>
      <w:jc w:val="center"/>
    </w:pPr>
    <w:rPr>
      <w:rFonts w:ascii="宋体" w:hAnsi="宋体"/>
      <w:b/>
      <w:sz w:val="24"/>
    </w:rPr>
  </w:style>
  <w:style w:type="paragraph" w:customStyle="1" w:styleId="3262">
    <w:name w:val="xl243"/>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263">
    <w:name w:val="Char53"/>
    <w:basedOn w:val="1"/>
    <w:autoRedefine/>
    <w:qFormat/>
    <w:uiPriority w:val="0"/>
    <w:pPr>
      <w:adjustRightInd w:val="0"/>
      <w:snapToGrid w:val="0"/>
      <w:ind w:left="-45"/>
    </w:pPr>
  </w:style>
  <w:style w:type="paragraph" w:customStyle="1" w:styleId="3264">
    <w:name w:val="燕山正文113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3265">
    <w:name w:val="题注 Char33"/>
    <w:autoRedefine/>
    <w:qFormat/>
    <w:uiPriority w:val="0"/>
    <w:rPr>
      <w:rFonts w:ascii="黑体" w:hAnsi="Arial" w:eastAsia="黑体" w:cs="Arial"/>
      <w:b/>
      <w:kern w:val="2"/>
      <w:sz w:val="24"/>
      <w:szCs w:val="24"/>
      <w:lang w:val="en-US" w:eastAsia="zh-CN" w:bidi="ar-SA"/>
    </w:rPr>
  </w:style>
  <w:style w:type="paragraph" w:customStyle="1" w:styleId="3266">
    <w:name w:val="图题53"/>
    <w:basedOn w:val="403"/>
    <w:next w:val="403"/>
    <w:autoRedefine/>
    <w:qFormat/>
    <w:uiPriority w:val="0"/>
    <w:pPr>
      <w:ind w:firstLine="0"/>
      <w:jc w:val="center"/>
    </w:pPr>
    <w:rPr>
      <w:rFonts w:ascii="黑体" w:hAnsi="宋体" w:eastAsia="黑体"/>
      <w:b/>
      <w:bCs/>
    </w:rPr>
  </w:style>
  <w:style w:type="paragraph" w:customStyle="1" w:styleId="3267">
    <w:name w:val="表格内字体53"/>
    <w:basedOn w:val="403"/>
    <w:next w:val="403"/>
    <w:autoRedefine/>
    <w:qFormat/>
    <w:uiPriority w:val="0"/>
    <w:pPr>
      <w:adjustRightInd w:val="0"/>
      <w:snapToGrid w:val="0"/>
      <w:spacing w:line="240" w:lineRule="auto"/>
      <w:ind w:firstLine="0"/>
    </w:pPr>
    <w:rPr>
      <w:rFonts w:hAnsi="宋体" w:cs="Times New Roman"/>
      <w:sz w:val="21"/>
    </w:rPr>
  </w:style>
  <w:style w:type="paragraph" w:customStyle="1" w:styleId="3268">
    <w:name w:val="表33"/>
    <w:basedOn w:val="1"/>
    <w:autoRedefine/>
    <w:qFormat/>
    <w:uiPriority w:val="0"/>
    <w:pPr>
      <w:adjustRightInd w:val="0"/>
      <w:snapToGrid w:val="0"/>
      <w:jc w:val="center"/>
    </w:pPr>
    <w:rPr>
      <w:rFonts w:eastAsia="仿宋_GB2312"/>
      <w:sz w:val="24"/>
    </w:rPr>
  </w:style>
  <w:style w:type="paragraph" w:customStyle="1" w:styleId="3269">
    <w:name w:val="文本框13"/>
    <w:basedOn w:val="1"/>
    <w:autoRedefine/>
    <w:qFormat/>
    <w:uiPriority w:val="0"/>
    <w:pPr>
      <w:adjustRightInd w:val="0"/>
      <w:snapToGrid w:val="0"/>
      <w:spacing w:after="6"/>
      <w:jc w:val="center"/>
    </w:pPr>
    <w:rPr>
      <w:rFonts w:eastAsia="仿宋_GB2312"/>
    </w:rPr>
  </w:style>
  <w:style w:type="paragraph" w:customStyle="1" w:styleId="3270">
    <w:name w:val="表内宋51113"/>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3271">
    <w:name w:val="表内文字小3133"/>
    <w:basedOn w:val="1"/>
    <w:autoRedefine/>
    <w:qFormat/>
    <w:uiPriority w:val="0"/>
    <w:pPr>
      <w:adjustRightInd w:val="0"/>
      <w:snapToGrid w:val="0"/>
      <w:jc w:val="center"/>
    </w:pPr>
    <w:rPr>
      <w:rFonts w:ascii="宋体" w:hAnsi="Times" w:cs="宋体"/>
      <w:bCs/>
      <w:color w:val="003366"/>
      <w:szCs w:val="20"/>
    </w:rPr>
  </w:style>
  <w:style w:type="paragraph" w:customStyle="1" w:styleId="3272">
    <w:name w:val="表文字533"/>
    <w:basedOn w:val="1"/>
    <w:autoRedefine/>
    <w:qFormat/>
    <w:uiPriority w:val="0"/>
    <w:pPr>
      <w:adjustRightInd w:val="0"/>
      <w:jc w:val="left"/>
      <w:textAlignment w:val="baseline"/>
    </w:pPr>
    <w:rPr>
      <w:rFonts w:ascii="宋体"/>
      <w:kern w:val="0"/>
      <w:szCs w:val="20"/>
    </w:rPr>
  </w:style>
  <w:style w:type="paragraph" w:customStyle="1" w:styleId="3273">
    <w:name w:val="正文213"/>
    <w:autoRedefine/>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274">
    <w:name w:val="Char Char Char Char Char Char Char26"/>
    <w:basedOn w:val="1"/>
    <w:autoRedefine/>
    <w:qFormat/>
    <w:uiPriority w:val="0"/>
  </w:style>
  <w:style w:type="paragraph" w:customStyle="1" w:styleId="3275">
    <w:name w:val="表题3133"/>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276">
    <w:name w:val="表内文字小2133"/>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3277">
    <w:name w:val="燕山正文33"/>
    <w:basedOn w:val="1"/>
    <w:autoRedefine/>
    <w:qFormat/>
    <w:uiPriority w:val="0"/>
    <w:pPr>
      <w:tabs>
        <w:tab w:val="left" w:pos="4680"/>
      </w:tabs>
      <w:adjustRightInd w:val="0"/>
      <w:snapToGrid w:val="0"/>
      <w:spacing w:line="480" w:lineRule="exact"/>
    </w:pPr>
    <w:rPr>
      <w:rFonts w:ascii="宋体" w:cs="宋体"/>
      <w:sz w:val="24"/>
    </w:rPr>
  </w:style>
  <w:style w:type="paragraph" w:customStyle="1" w:styleId="3278">
    <w:name w:val="正文修改33"/>
    <w:basedOn w:val="2088"/>
    <w:autoRedefine/>
    <w:qFormat/>
    <w:uiPriority w:val="0"/>
    <w:rPr>
      <w:rFonts w:hAnsi="宋体"/>
      <w:color w:val="000000"/>
    </w:rPr>
  </w:style>
  <w:style w:type="character" w:customStyle="1" w:styleId="3279">
    <w:name w:val="正文修改 Char133"/>
    <w:autoRedefine/>
    <w:qFormat/>
    <w:uiPriority w:val="0"/>
    <w:rPr>
      <w:rFonts w:ascii="宋体" w:hAnsi="宋体" w:eastAsia="宋体" w:cs="宋体"/>
      <w:color w:val="000000"/>
      <w:sz w:val="24"/>
      <w:szCs w:val="24"/>
    </w:rPr>
  </w:style>
  <w:style w:type="character" w:customStyle="1" w:styleId="3280">
    <w:name w:val="表题1 Char43"/>
    <w:autoRedefine/>
    <w:qFormat/>
    <w:uiPriority w:val="0"/>
    <w:rPr>
      <w:rFonts w:ascii="黑体" w:hAnsi="Arial" w:eastAsia="黑体" w:cs="Arial"/>
      <w:b/>
      <w:kern w:val="2"/>
      <w:sz w:val="24"/>
      <w:szCs w:val="24"/>
      <w:lang w:val="en-US" w:eastAsia="zh-CN" w:bidi="ar-SA"/>
    </w:rPr>
  </w:style>
  <w:style w:type="paragraph" w:customStyle="1" w:styleId="3281">
    <w:name w:val="黑体三号33"/>
    <w:basedOn w:val="403"/>
    <w:autoRedefine/>
    <w:qFormat/>
    <w:uiPriority w:val="0"/>
    <w:pPr>
      <w:jc w:val="center"/>
    </w:pPr>
    <w:rPr>
      <w:rFonts w:ascii="黑体" w:hAnsi="宋体" w:eastAsia="黑体"/>
      <w:b/>
      <w:bCs/>
      <w:sz w:val="32"/>
      <w:szCs w:val="20"/>
    </w:rPr>
  </w:style>
  <w:style w:type="paragraph" w:customStyle="1" w:styleId="3282">
    <w:name w:val="默认段落字体 Para Char Char Char Char33"/>
    <w:basedOn w:val="1"/>
    <w:autoRedefine/>
    <w:qFormat/>
    <w:uiPriority w:val="0"/>
  </w:style>
  <w:style w:type="paragraph" w:customStyle="1" w:styleId="3283">
    <w:name w:val="表内54133"/>
    <w:basedOn w:val="1"/>
    <w:autoRedefine/>
    <w:qFormat/>
    <w:uiPriority w:val="0"/>
    <w:pPr>
      <w:adjustRightInd w:val="0"/>
      <w:snapToGrid w:val="0"/>
      <w:spacing w:line="300" w:lineRule="auto"/>
      <w:jc w:val="center"/>
    </w:pPr>
    <w:rPr>
      <w:rFonts w:ascii="宋体" w:hAnsi="宋体" w:cs="宋体"/>
      <w:szCs w:val="20"/>
    </w:rPr>
  </w:style>
  <w:style w:type="paragraph" w:customStyle="1" w:styleId="3284">
    <w:name w:val="标题44"/>
    <w:basedOn w:val="1"/>
    <w:autoRedefine/>
    <w:qFormat/>
    <w:uiPriority w:val="0"/>
    <w:pPr>
      <w:adjustRightInd w:val="0"/>
      <w:snapToGrid w:val="0"/>
      <w:spacing w:line="300" w:lineRule="auto"/>
      <w:jc w:val="left"/>
    </w:pPr>
    <w:rPr>
      <w:rFonts w:ascii="黑体" w:eastAsia="黑体"/>
      <w:bCs/>
      <w:sz w:val="24"/>
    </w:rPr>
  </w:style>
  <w:style w:type="paragraph" w:customStyle="1" w:styleId="3285">
    <w:name w:val="Char63"/>
    <w:basedOn w:val="1"/>
    <w:autoRedefine/>
    <w:qFormat/>
    <w:uiPriority w:val="0"/>
    <w:pPr>
      <w:adjustRightInd w:val="0"/>
      <w:snapToGrid w:val="0"/>
      <w:spacing w:beforeLines="50" w:line="360" w:lineRule="auto"/>
    </w:pPr>
    <w:rPr>
      <w:rFonts w:ascii="黑体" w:eastAsia="黑体"/>
      <w:sz w:val="32"/>
      <w:szCs w:val="32"/>
    </w:rPr>
  </w:style>
  <w:style w:type="paragraph" w:customStyle="1" w:styleId="3286">
    <w:name w:val="表内宋5中113"/>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287">
    <w:name w:val="标题4113"/>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288">
    <w:name w:val="默认段落字体 Para Char2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289">
    <w:name w:val="表内5中5"/>
    <w:basedOn w:val="1"/>
    <w:autoRedefine/>
    <w:qFormat/>
    <w:uiPriority w:val="0"/>
    <w:pPr>
      <w:adjustRightInd w:val="0"/>
      <w:snapToGrid w:val="0"/>
      <w:jc w:val="center"/>
    </w:pPr>
    <w:rPr>
      <w:rFonts w:ascii="宋体" w:hAnsi="宋体" w:cs="Arial"/>
      <w:snapToGrid w:val="0"/>
      <w:color w:val="000000"/>
      <w:szCs w:val="21"/>
    </w:rPr>
  </w:style>
  <w:style w:type="paragraph" w:customStyle="1" w:styleId="3290">
    <w:name w:val="正文格式63"/>
    <w:basedOn w:val="1"/>
    <w:autoRedefine/>
    <w:qFormat/>
    <w:uiPriority w:val="0"/>
    <w:pPr>
      <w:spacing w:line="360" w:lineRule="auto"/>
      <w:ind w:firstLine="482"/>
    </w:pPr>
    <w:rPr>
      <w:rFonts w:ascii="宋体" w:hAnsi="宋体"/>
      <w:sz w:val="24"/>
    </w:rPr>
  </w:style>
  <w:style w:type="paragraph" w:customStyle="1" w:styleId="3291">
    <w:name w:val="正文格式＝53"/>
    <w:basedOn w:val="403"/>
    <w:next w:val="403"/>
    <w:autoRedefine/>
    <w:qFormat/>
    <w:uiPriority w:val="0"/>
    <w:rPr>
      <w:rFonts w:hAnsi="宋体" w:cs="Times New Roman"/>
    </w:rPr>
  </w:style>
  <w:style w:type="paragraph" w:customStyle="1" w:styleId="3292">
    <w:name w:val="附件33"/>
    <w:basedOn w:val="5"/>
    <w:next w:val="403"/>
    <w:autoRedefine/>
    <w:qFormat/>
    <w:uiPriority w:val="0"/>
    <w:pPr>
      <w:keepLines/>
      <w:overflowPunct/>
      <w:adjustRightInd w:val="0"/>
      <w:spacing w:before="0" w:beforeLines="100" w:after="0" w:line="360" w:lineRule="auto"/>
      <w:ind w:left="0" w:firstLine="0"/>
    </w:pPr>
    <w:rPr>
      <w:rFonts w:ascii="黑体" w:hAnsi="宋体"/>
      <w:color w:val="auto"/>
      <w:sz w:val="32"/>
      <w:szCs w:val="32"/>
    </w:rPr>
  </w:style>
  <w:style w:type="paragraph" w:customStyle="1" w:styleId="3293">
    <w:name w:val="图题63"/>
    <w:basedOn w:val="403"/>
    <w:next w:val="403"/>
    <w:autoRedefine/>
    <w:qFormat/>
    <w:uiPriority w:val="0"/>
    <w:pPr>
      <w:ind w:firstLine="0"/>
      <w:jc w:val="center"/>
    </w:pPr>
    <w:rPr>
      <w:rFonts w:ascii="黑体" w:hAnsi="宋体" w:eastAsia="黑体"/>
      <w:b/>
      <w:bCs/>
    </w:rPr>
  </w:style>
  <w:style w:type="character" w:customStyle="1" w:styleId="3294">
    <w:name w:val="图题 Char3"/>
    <w:autoRedefine/>
    <w:qFormat/>
    <w:uiPriority w:val="0"/>
    <w:rPr>
      <w:rFonts w:ascii="黑体" w:hAnsi="宋体" w:eastAsia="黑体" w:cs="宋体"/>
      <w:b/>
      <w:bCs/>
      <w:kern w:val="2"/>
      <w:sz w:val="24"/>
      <w:szCs w:val="24"/>
      <w:lang w:val="en-US" w:eastAsia="zh-CN" w:bidi="ar-SA"/>
    </w:rPr>
  </w:style>
  <w:style w:type="paragraph" w:customStyle="1" w:styleId="3295">
    <w:name w:val="表格内字体63"/>
    <w:basedOn w:val="403"/>
    <w:next w:val="403"/>
    <w:autoRedefine/>
    <w:qFormat/>
    <w:uiPriority w:val="0"/>
    <w:pPr>
      <w:spacing w:line="240" w:lineRule="auto"/>
      <w:ind w:firstLine="0"/>
      <w:jc w:val="center"/>
    </w:pPr>
    <w:rPr>
      <w:rFonts w:hAnsi="宋体" w:cs="Times New Roman"/>
      <w:sz w:val="21"/>
    </w:rPr>
  </w:style>
  <w:style w:type="paragraph" w:customStyle="1" w:styleId="3296">
    <w:name w:val="黑体三号43"/>
    <w:basedOn w:val="403"/>
    <w:autoRedefine/>
    <w:qFormat/>
    <w:uiPriority w:val="0"/>
    <w:pPr>
      <w:jc w:val="center"/>
    </w:pPr>
    <w:rPr>
      <w:rFonts w:ascii="黑体" w:hAnsi="宋体" w:eastAsia="黑体"/>
      <w:b/>
      <w:bCs/>
      <w:sz w:val="32"/>
      <w:szCs w:val="20"/>
    </w:rPr>
  </w:style>
  <w:style w:type="paragraph" w:customStyle="1" w:styleId="3297">
    <w:name w:val="默认段落字体 Para Char Char Char Char43"/>
    <w:basedOn w:val="1"/>
    <w:autoRedefine/>
    <w:qFormat/>
    <w:uiPriority w:val="0"/>
  </w:style>
  <w:style w:type="paragraph" w:customStyle="1" w:styleId="3298">
    <w:name w:val="图表题3"/>
    <w:basedOn w:val="403"/>
    <w:next w:val="403"/>
    <w:autoRedefine/>
    <w:qFormat/>
    <w:uiPriority w:val="0"/>
    <w:pPr>
      <w:ind w:firstLine="0"/>
      <w:jc w:val="center"/>
    </w:pPr>
    <w:rPr>
      <w:rFonts w:ascii="黑体" w:hAnsi="宋体" w:eastAsia="黑体"/>
      <w:b/>
      <w:bCs/>
    </w:rPr>
  </w:style>
  <w:style w:type="character" w:customStyle="1" w:styleId="3299">
    <w:name w:val="图表题 Char3"/>
    <w:autoRedefine/>
    <w:qFormat/>
    <w:uiPriority w:val="0"/>
    <w:rPr>
      <w:rFonts w:ascii="黑体" w:eastAsia="黑体" w:cs="宋体"/>
      <w:b/>
      <w:bCs/>
      <w:kern w:val="2"/>
      <w:sz w:val="24"/>
      <w:szCs w:val="24"/>
      <w:lang w:val="en-US" w:eastAsia="zh-CN" w:bidi="ar-SA"/>
    </w:rPr>
  </w:style>
  <w:style w:type="paragraph" w:customStyle="1" w:styleId="3300">
    <w:name w:val="样式 表格内字体 +3"/>
    <w:basedOn w:val="2085"/>
    <w:autoRedefine/>
    <w:qFormat/>
    <w:uiPriority w:val="0"/>
    <w:pPr>
      <w:spacing w:line="280" w:lineRule="exact"/>
      <w:ind w:firstLine="36"/>
      <w:jc w:val="both"/>
    </w:pPr>
    <w:rPr>
      <w:kern w:val="0"/>
    </w:rPr>
  </w:style>
  <w:style w:type="character" w:customStyle="1" w:styleId="3301">
    <w:name w:val="样式 表格内字体 + Char3"/>
    <w:autoRedefine/>
    <w:qFormat/>
    <w:uiPriority w:val="0"/>
    <w:rPr>
      <w:rFonts w:ascii="宋体" w:hAnsi="宋体" w:eastAsia="宋体" w:cs="Times New Roman"/>
      <w:kern w:val="0"/>
      <w:szCs w:val="24"/>
    </w:rPr>
  </w:style>
  <w:style w:type="paragraph" w:customStyle="1" w:styleId="3302">
    <w:name w:val="A正文3"/>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character" w:customStyle="1" w:styleId="3303">
    <w:name w:val="A正文 Char3"/>
    <w:autoRedefine/>
    <w:qFormat/>
    <w:uiPriority w:val="0"/>
    <w:rPr>
      <w:rFonts w:ascii="Times New Roman" w:hAnsi="Times New Roman" w:eastAsia="仿宋_GB2312" w:cs="Times New Roman"/>
      <w:kern w:val="0"/>
      <w:sz w:val="24"/>
      <w:szCs w:val="24"/>
      <w:lang w:val="en-US" w:eastAsia="zh-CN" w:bidi="ar-SA"/>
    </w:rPr>
  </w:style>
  <w:style w:type="paragraph" w:customStyle="1" w:styleId="3304">
    <w:name w:val="图题注3"/>
    <w:basedOn w:val="24"/>
    <w:autoRedefine/>
    <w:qFormat/>
    <w:uiPriority w:val="0"/>
    <w:pPr>
      <w:keepNext w:val="0"/>
      <w:widowControl w:val="0"/>
      <w:adjustRightInd/>
      <w:snapToGrid/>
      <w:spacing w:line="240" w:lineRule="auto"/>
    </w:pPr>
    <w:rPr>
      <w:rFonts w:ascii="黑体" w:hAnsi="Arial" w:eastAsia="黑体" w:cs="宋体"/>
      <w:bCs/>
      <w:kern w:val="2"/>
      <w:sz w:val="24"/>
      <w:szCs w:val="24"/>
      <w:lang w:val="en-US"/>
    </w:rPr>
  </w:style>
  <w:style w:type="character" w:customStyle="1" w:styleId="3305">
    <w:name w:val="图题注 Char3"/>
    <w:autoRedefine/>
    <w:qFormat/>
    <w:uiPriority w:val="0"/>
    <w:rPr>
      <w:rFonts w:ascii="黑体" w:hAnsi="Arial" w:eastAsia="黑体" w:cs="宋体"/>
      <w:b/>
      <w:bCs/>
      <w:kern w:val="2"/>
      <w:sz w:val="24"/>
      <w:szCs w:val="24"/>
      <w:lang w:val="en-US" w:eastAsia="zh-CN" w:bidi="ar-SA"/>
    </w:rPr>
  </w:style>
  <w:style w:type="paragraph" w:customStyle="1" w:styleId="3306">
    <w:name w:val="Char73"/>
    <w:basedOn w:val="1"/>
    <w:autoRedefine/>
    <w:qFormat/>
    <w:uiPriority w:val="0"/>
    <w:pPr>
      <w:ind w:left="-48"/>
    </w:pPr>
  </w:style>
  <w:style w:type="paragraph" w:customStyle="1" w:styleId="3307">
    <w:name w:val="表格内字体113"/>
    <w:basedOn w:val="403"/>
    <w:autoRedefine/>
    <w:qFormat/>
    <w:uiPriority w:val="0"/>
    <w:pPr>
      <w:spacing w:line="240" w:lineRule="auto"/>
      <w:ind w:firstLine="0"/>
      <w:jc w:val="center"/>
    </w:pPr>
    <w:rPr>
      <w:sz w:val="21"/>
      <w:szCs w:val="20"/>
    </w:rPr>
  </w:style>
  <w:style w:type="paragraph" w:customStyle="1" w:styleId="3308">
    <w:name w:val="样式 正文缩进 + 宋体 黑色 首行缩进:  2 字符3"/>
    <w:basedOn w:val="8"/>
    <w:autoRedefine/>
    <w:qFormat/>
    <w:uiPriority w:val="0"/>
    <w:pPr>
      <w:spacing w:line="360" w:lineRule="auto"/>
      <w:ind w:firstLine="480"/>
      <w:jc w:val="left"/>
    </w:pPr>
    <w:rPr>
      <w:rFonts w:ascii="宋体" w:hAnsi="宋体" w:cs="宋体"/>
      <w:color w:val="FF00FF"/>
      <w:sz w:val="24"/>
    </w:rPr>
  </w:style>
  <w:style w:type="paragraph" w:customStyle="1" w:styleId="3309">
    <w:name w:val="环评正文3"/>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3310">
    <w:name w:val="环评正文 Char3"/>
    <w:autoRedefine/>
    <w:qFormat/>
    <w:uiPriority w:val="0"/>
    <w:rPr>
      <w:rFonts w:ascii="Times New Roman" w:hAnsi="Times New Roman" w:eastAsia="宋体" w:cs="Times New Roman"/>
      <w:bCs/>
      <w:kern w:val="2"/>
      <w:sz w:val="24"/>
      <w:szCs w:val="24"/>
      <w:lang w:val="en-US" w:eastAsia="zh-CN" w:bidi="ar-SA"/>
    </w:rPr>
  </w:style>
  <w:style w:type="paragraph" w:customStyle="1" w:styleId="3311">
    <w:name w:val="注释3"/>
    <w:basedOn w:val="403"/>
    <w:next w:val="2"/>
    <w:autoRedefine/>
    <w:qFormat/>
    <w:uiPriority w:val="0"/>
    <w:pPr>
      <w:spacing w:before="120" w:after="120" w:line="240" w:lineRule="auto"/>
      <w:ind w:firstLine="200" w:firstLineChars="200"/>
    </w:pPr>
    <w:rPr>
      <w:sz w:val="21"/>
      <w:szCs w:val="20"/>
    </w:rPr>
  </w:style>
  <w:style w:type="paragraph" w:customStyle="1" w:styleId="3312">
    <w:name w:val="样式43"/>
    <w:basedOn w:val="2"/>
    <w:autoRedefine/>
    <w:qFormat/>
    <w:uiPriority w:val="0"/>
    <w:pPr>
      <w:widowControl w:val="0"/>
      <w:tabs>
        <w:tab w:val="left" w:pos="1820"/>
      </w:tabs>
      <w:spacing w:before="0" w:after="0" w:line="240" w:lineRule="atLeast"/>
      <w:ind w:right="0"/>
      <w:jc w:val="center"/>
    </w:pPr>
    <w:rPr>
      <w:rFonts w:eastAsia="幼圆"/>
      <w:sz w:val="21"/>
    </w:rPr>
  </w:style>
  <w:style w:type="paragraph" w:customStyle="1" w:styleId="3313">
    <w:name w:val="标题414"/>
    <w:basedOn w:val="9"/>
    <w:next w:val="1"/>
    <w:autoRedefine/>
    <w:qFormat/>
    <w:uiPriority w:val="0"/>
    <w:pPr>
      <w:spacing w:before="160" w:after="170" w:line="360" w:lineRule="auto"/>
    </w:pPr>
    <w:rPr>
      <w:rFonts w:ascii="黑体"/>
      <w:sz w:val="24"/>
      <w:lang w:val="zh-CN"/>
    </w:rPr>
  </w:style>
  <w:style w:type="character" w:customStyle="1" w:styleId="3314">
    <w:name w:val="标题4 Char3"/>
    <w:autoRedefine/>
    <w:qFormat/>
    <w:uiPriority w:val="0"/>
    <w:rPr>
      <w:rFonts w:ascii="黑体" w:hAnsi="Arial" w:eastAsia="黑体" w:cs="Times New Roman"/>
      <w:b/>
      <w:bCs/>
      <w:kern w:val="2"/>
      <w:sz w:val="24"/>
      <w:szCs w:val="28"/>
      <w:lang w:val="en-US" w:eastAsia="zh-CN" w:bidi="ar-SA"/>
    </w:rPr>
  </w:style>
  <w:style w:type="paragraph" w:customStyle="1" w:styleId="3315">
    <w:name w:val="表中文字43"/>
    <w:basedOn w:val="1"/>
    <w:autoRedefine/>
    <w:qFormat/>
    <w:uiPriority w:val="0"/>
    <w:pPr>
      <w:snapToGrid w:val="0"/>
      <w:spacing w:line="340" w:lineRule="exact"/>
      <w:ind w:firstLine="480" w:firstLineChars="200"/>
      <w:jc w:val="center"/>
    </w:pPr>
    <w:rPr>
      <w:rFonts w:ascii="Arial" w:hAnsi="Arial"/>
      <w:kern w:val="0"/>
      <w:sz w:val="20"/>
      <w:lang w:eastAsia="zh-TW"/>
    </w:rPr>
  </w:style>
  <w:style w:type="character" w:customStyle="1" w:styleId="3316">
    <w:name w:val="表中文字 Char4"/>
    <w:autoRedefine/>
    <w:qFormat/>
    <w:uiPriority w:val="0"/>
    <w:rPr>
      <w:rFonts w:ascii="Arial" w:hAnsi="Arial" w:eastAsia="宋体" w:cs="Times New Roman"/>
      <w:kern w:val="0"/>
      <w:sz w:val="20"/>
      <w:szCs w:val="24"/>
      <w:lang w:val="en-US" w:eastAsia="zh-TW" w:bidi="ar-SA"/>
    </w:rPr>
  </w:style>
  <w:style w:type="paragraph" w:customStyle="1" w:styleId="3317">
    <w:name w:val="样式 正文缩进 + 宋体 黑色3"/>
    <w:basedOn w:val="8"/>
    <w:autoRedefine/>
    <w:qFormat/>
    <w:uiPriority w:val="0"/>
    <w:pPr>
      <w:spacing w:line="360" w:lineRule="auto"/>
      <w:ind w:firstLine="200"/>
      <w:jc w:val="left"/>
    </w:pPr>
    <w:rPr>
      <w:rFonts w:ascii="宋体" w:hAnsi="宋体"/>
      <w:color w:val="000000"/>
      <w:sz w:val="24"/>
      <w:szCs w:val="24"/>
    </w:rPr>
  </w:style>
  <w:style w:type="character" w:customStyle="1" w:styleId="3318">
    <w:name w:val="样式 正文缩进 + 宋体 黑色 Char3"/>
    <w:autoRedefine/>
    <w:qFormat/>
    <w:uiPriority w:val="0"/>
    <w:rPr>
      <w:rFonts w:ascii="宋体" w:hAnsi="宋体" w:eastAsia="宋体" w:cs="Times New Roman"/>
      <w:color w:val="000000"/>
      <w:kern w:val="2"/>
      <w:sz w:val="24"/>
      <w:szCs w:val="24"/>
      <w:lang w:val="en-US" w:eastAsia="zh-CN" w:bidi="ar-SA"/>
    </w:rPr>
  </w:style>
  <w:style w:type="paragraph" w:customStyle="1" w:styleId="3319">
    <w:name w:val="表内513"/>
    <w:basedOn w:val="1"/>
    <w:autoRedefine/>
    <w:qFormat/>
    <w:uiPriority w:val="0"/>
    <w:pPr>
      <w:adjustRightInd w:val="0"/>
      <w:snapToGrid w:val="0"/>
      <w:jc w:val="center"/>
    </w:pPr>
    <w:rPr>
      <w:rFonts w:ascii="宋体" w:hAnsi="宋体"/>
      <w:szCs w:val="21"/>
    </w:rPr>
  </w:style>
  <w:style w:type="character" w:customStyle="1" w:styleId="3320">
    <w:name w:val="表内5 Char4"/>
    <w:autoRedefine/>
    <w:qFormat/>
    <w:uiPriority w:val="0"/>
    <w:rPr>
      <w:rFonts w:ascii="宋体" w:hAnsi="宋体" w:eastAsia="宋体" w:cs="Times New Roman"/>
      <w:kern w:val="2"/>
      <w:sz w:val="24"/>
      <w:szCs w:val="21"/>
      <w:lang w:val="en-US" w:eastAsia="zh-CN" w:bidi="ar-SA"/>
    </w:rPr>
  </w:style>
  <w:style w:type="paragraph" w:customStyle="1" w:styleId="3321">
    <w:name w:val="样式 样式 宋体 + 首行缩进:  2 字符13"/>
    <w:basedOn w:val="1"/>
    <w:autoRedefine/>
    <w:qFormat/>
    <w:uiPriority w:val="0"/>
    <w:pPr>
      <w:spacing w:line="360" w:lineRule="auto"/>
      <w:ind w:firstLine="480" w:firstLineChars="200"/>
      <w:jc w:val="left"/>
    </w:pPr>
    <w:rPr>
      <w:rFonts w:ascii="宋体" w:cs="宋体"/>
      <w:sz w:val="24"/>
    </w:rPr>
  </w:style>
  <w:style w:type="paragraph" w:customStyle="1" w:styleId="3322">
    <w:name w:val="表内宋5中23"/>
    <w:basedOn w:val="1"/>
    <w:autoRedefine/>
    <w:qFormat/>
    <w:uiPriority w:val="0"/>
    <w:pPr>
      <w:adjustRightInd w:val="0"/>
      <w:snapToGrid w:val="0"/>
      <w:jc w:val="center"/>
      <w:textAlignment w:val="baseline"/>
    </w:pPr>
    <w:rPr>
      <w:rFonts w:ascii="宋体" w:hAnsi="宋体"/>
      <w:kern w:val="0"/>
      <w:szCs w:val="20"/>
    </w:rPr>
  </w:style>
  <w:style w:type="paragraph" w:customStyle="1" w:styleId="3323">
    <w:name w:val="xl633"/>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324">
    <w:name w:val="标准3"/>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3325">
    <w:name w:val="Fax Header3"/>
    <w:basedOn w:val="1"/>
    <w:autoRedefine/>
    <w:qFormat/>
    <w:uiPriority w:val="0"/>
    <w:pPr>
      <w:widowControl/>
      <w:spacing w:before="240" w:after="60"/>
      <w:jc w:val="left"/>
    </w:pPr>
    <w:rPr>
      <w:kern w:val="0"/>
      <w:sz w:val="20"/>
      <w:szCs w:val="20"/>
    </w:rPr>
  </w:style>
  <w:style w:type="paragraph" w:customStyle="1" w:styleId="3326">
    <w:name w:val="样式 表格内字体1 +3"/>
    <w:basedOn w:val="2173"/>
    <w:next w:val="2085"/>
    <w:autoRedefine/>
    <w:qFormat/>
    <w:uiPriority w:val="0"/>
    <w:rPr>
      <w:rFonts w:hAnsi="Times New Roman" w:cs="宋体"/>
      <w:szCs w:val="20"/>
    </w:rPr>
  </w:style>
  <w:style w:type="paragraph" w:customStyle="1" w:styleId="3327">
    <w:name w:val="默认段落字体 Para Char33"/>
    <w:basedOn w:val="1"/>
    <w:autoRedefine/>
    <w:qFormat/>
    <w:uiPriority w:val="0"/>
    <w:pPr>
      <w:spacing w:line="360" w:lineRule="auto"/>
      <w:ind w:firstLine="200" w:firstLineChars="200"/>
    </w:pPr>
    <w:rPr>
      <w:rFonts w:ascii="宋体" w:hAnsi="宋体" w:cs="宋体"/>
      <w:sz w:val="24"/>
    </w:rPr>
  </w:style>
  <w:style w:type="paragraph" w:customStyle="1" w:styleId="3328">
    <w:name w:val="正文斜体3"/>
    <w:basedOn w:val="403"/>
    <w:next w:val="403"/>
    <w:autoRedefine/>
    <w:qFormat/>
    <w:uiPriority w:val="0"/>
    <w:rPr>
      <w:rFonts w:hAnsi="宋体" w:cs="Times New Roman"/>
      <w:i/>
      <w:iCs/>
    </w:rPr>
  </w:style>
  <w:style w:type="character" w:customStyle="1" w:styleId="3329">
    <w:name w:val="正文斜体 Char3"/>
    <w:autoRedefine/>
    <w:qFormat/>
    <w:uiPriority w:val="0"/>
    <w:rPr>
      <w:rFonts w:ascii="宋体" w:eastAsia="宋体" w:cs="Times New Roman"/>
      <w:i/>
      <w:iCs/>
      <w:kern w:val="2"/>
      <w:sz w:val="24"/>
      <w:szCs w:val="24"/>
      <w:lang w:val="en-US" w:eastAsia="zh-CN" w:bidi="ar-SA"/>
    </w:rPr>
  </w:style>
  <w:style w:type="paragraph" w:customStyle="1" w:styleId="3330">
    <w:name w:val="Char Char2 Char Char Char Char13"/>
    <w:basedOn w:val="1"/>
    <w:autoRedefine/>
    <w:qFormat/>
    <w:uiPriority w:val="0"/>
  </w:style>
  <w:style w:type="paragraph" w:customStyle="1" w:styleId="3331">
    <w:name w:val="Char83"/>
    <w:basedOn w:val="1"/>
    <w:autoRedefine/>
    <w:qFormat/>
    <w:uiPriority w:val="0"/>
    <w:pPr>
      <w:ind w:left="-48"/>
    </w:pPr>
  </w:style>
  <w:style w:type="character" w:customStyle="1" w:styleId="3332">
    <w:name w:val="题注 Char53"/>
    <w:autoRedefine/>
    <w:qFormat/>
    <w:uiPriority w:val="0"/>
    <w:rPr>
      <w:rFonts w:ascii="黑体" w:hAnsi="Arial" w:eastAsia="黑体" w:cs="Arial"/>
      <w:b/>
      <w:kern w:val="2"/>
      <w:sz w:val="24"/>
      <w:szCs w:val="24"/>
      <w:lang w:val="en-US" w:eastAsia="zh-CN" w:bidi="ar-SA"/>
    </w:rPr>
  </w:style>
  <w:style w:type="paragraph" w:customStyle="1" w:styleId="3333">
    <w:name w:val="图题73"/>
    <w:basedOn w:val="403"/>
    <w:next w:val="403"/>
    <w:autoRedefine/>
    <w:qFormat/>
    <w:uiPriority w:val="0"/>
    <w:pPr>
      <w:ind w:firstLine="0"/>
      <w:jc w:val="center"/>
    </w:pPr>
    <w:rPr>
      <w:rFonts w:ascii="黑体" w:hAnsi="宋体" w:eastAsia="黑体"/>
      <w:b/>
      <w:bCs/>
    </w:rPr>
  </w:style>
  <w:style w:type="paragraph" w:customStyle="1" w:styleId="3334">
    <w:name w:val="表格内字体73"/>
    <w:basedOn w:val="403"/>
    <w:next w:val="403"/>
    <w:autoRedefine/>
    <w:qFormat/>
    <w:uiPriority w:val="0"/>
    <w:pPr>
      <w:spacing w:line="240" w:lineRule="auto"/>
      <w:ind w:firstLine="0"/>
      <w:jc w:val="center"/>
    </w:pPr>
    <w:rPr>
      <w:rFonts w:hAnsi="宋体" w:cs="Times New Roman"/>
      <w:sz w:val="21"/>
    </w:rPr>
  </w:style>
  <w:style w:type="paragraph" w:customStyle="1" w:styleId="3335">
    <w:name w:val="Char93"/>
    <w:basedOn w:val="1"/>
    <w:autoRedefine/>
    <w:qFormat/>
    <w:uiPriority w:val="0"/>
    <w:pPr>
      <w:ind w:left="-48"/>
    </w:pPr>
  </w:style>
  <w:style w:type="paragraph" w:customStyle="1" w:styleId="3336">
    <w:name w:val="正文格式＝63"/>
    <w:basedOn w:val="403"/>
    <w:next w:val="403"/>
    <w:autoRedefine/>
    <w:semiHidden/>
    <w:qFormat/>
    <w:uiPriority w:val="0"/>
    <w:rPr>
      <w:rFonts w:hAnsi="宋体" w:cs="Times New Roman"/>
    </w:rPr>
  </w:style>
  <w:style w:type="paragraph" w:customStyle="1" w:styleId="3337">
    <w:name w:val="表题153"/>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338">
    <w:name w:val="表题1 Char63"/>
    <w:autoRedefine/>
    <w:qFormat/>
    <w:uiPriority w:val="0"/>
    <w:rPr>
      <w:rFonts w:ascii="黑体" w:hAnsi="Arial" w:eastAsia="黑体" w:cs="Arial"/>
      <w:b/>
      <w:kern w:val="2"/>
      <w:sz w:val="24"/>
      <w:szCs w:val="24"/>
      <w:lang w:val="en-US" w:eastAsia="zh-CN" w:bidi="ar-SA"/>
    </w:rPr>
  </w:style>
  <w:style w:type="paragraph" w:customStyle="1" w:styleId="3339">
    <w:name w:val="燕山正文43"/>
    <w:basedOn w:val="1"/>
    <w:autoRedefine/>
    <w:qFormat/>
    <w:uiPriority w:val="0"/>
    <w:pPr>
      <w:tabs>
        <w:tab w:val="left" w:pos="4680"/>
      </w:tabs>
      <w:adjustRightInd w:val="0"/>
      <w:snapToGrid w:val="0"/>
      <w:spacing w:line="480" w:lineRule="exact"/>
    </w:pPr>
    <w:rPr>
      <w:rFonts w:ascii="宋体" w:cs="宋体"/>
      <w:sz w:val="24"/>
    </w:rPr>
  </w:style>
  <w:style w:type="paragraph" w:customStyle="1" w:styleId="3340">
    <w:name w:val="正文修改43"/>
    <w:basedOn w:val="2088"/>
    <w:autoRedefine/>
    <w:qFormat/>
    <w:uiPriority w:val="0"/>
    <w:rPr>
      <w:rFonts w:hAnsi="宋体"/>
      <w:color w:val="000000"/>
    </w:rPr>
  </w:style>
  <w:style w:type="character" w:customStyle="1" w:styleId="3341">
    <w:name w:val="正文修改 Char143"/>
    <w:autoRedefine/>
    <w:qFormat/>
    <w:uiPriority w:val="0"/>
  </w:style>
  <w:style w:type="paragraph" w:customStyle="1" w:styleId="3342">
    <w:name w:val="表中文字53"/>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343">
    <w:name w:val="默认段落字体 Para Char Char Char Char53"/>
    <w:basedOn w:val="1"/>
    <w:autoRedefine/>
    <w:qFormat/>
    <w:uiPriority w:val="0"/>
  </w:style>
  <w:style w:type="paragraph" w:customStyle="1" w:styleId="3344">
    <w:name w:val="Char103"/>
    <w:basedOn w:val="1"/>
    <w:autoRedefine/>
    <w:qFormat/>
    <w:uiPriority w:val="0"/>
    <w:pPr>
      <w:adjustRightInd w:val="0"/>
      <w:snapToGrid w:val="0"/>
      <w:spacing w:line="360" w:lineRule="auto"/>
    </w:pPr>
  </w:style>
  <w:style w:type="paragraph" w:customStyle="1" w:styleId="3345">
    <w:name w:val="封面标准文稿编辑信息3"/>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346">
    <w:name w:val="样式 表内小5 + 黑体 加粗 倾斜 下划线3"/>
    <w:basedOn w:val="1"/>
    <w:autoRedefine/>
    <w:qFormat/>
    <w:uiPriority w:val="0"/>
    <w:pPr>
      <w:adjustRightInd w:val="0"/>
      <w:snapToGrid w:val="0"/>
      <w:spacing w:line="300" w:lineRule="auto"/>
      <w:jc w:val="left"/>
    </w:pPr>
    <w:rPr>
      <w:rFonts w:ascii="黑体" w:hAnsi="黑体" w:eastAsia="黑体"/>
      <w:b/>
      <w:bCs/>
      <w:i/>
      <w:iCs/>
      <w:sz w:val="18"/>
      <w:u w:val="single"/>
    </w:rPr>
  </w:style>
  <w:style w:type="character" w:customStyle="1" w:styleId="3347">
    <w:name w:val="样式 表内小5 + 黑体 加粗 倾斜 下划线 Char3"/>
    <w:autoRedefine/>
    <w:qFormat/>
    <w:uiPriority w:val="0"/>
    <w:rPr>
      <w:rFonts w:ascii="黑体" w:hAnsi="黑体" w:eastAsia="黑体" w:cs="Times New Roman"/>
      <w:b/>
      <w:bCs/>
      <w:i/>
      <w:iCs/>
      <w:kern w:val="2"/>
      <w:sz w:val="18"/>
      <w:szCs w:val="24"/>
      <w:u w:val="single"/>
      <w:lang w:val="en-US" w:eastAsia="zh-CN" w:bidi="ar-SA"/>
    </w:rPr>
  </w:style>
  <w:style w:type="paragraph" w:customStyle="1" w:styleId="3348">
    <w:name w:val="表内5中13"/>
    <w:basedOn w:val="1"/>
    <w:autoRedefine/>
    <w:qFormat/>
    <w:uiPriority w:val="0"/>
    <w:pPr>
      <w:adjustRightInd w:val="0"/>
      <w:snapToGrid w:val="0"/>
      <w:jc w:val="center"/>
    </w:pPr>
    <w:rPr>
      <w:rFonts w:ascii="宋体" w:hAnsi="宋体" w:cs="Arial"/>
      <w:snapToGrid w:val="0"/>
      <w:color w:val="000000"/>
      <w:szCs w:val="21"/>
    </w:rPr>
  </w:style>
  <w:style w:type="paragraph" w:customStyle="1" w:styleId="3349">
    <w:name w:val="表内54143"/>
    <w:basedOn w:val="1"/>
    <w:autoRedefine/>
    <w:qFormat/>
    <w:uiPriority w:val="0"/>
    <w:pPr>
      <w:adjustRightInd w:val="0"/>
      <w:snapToGrid w:val="0"/>
      <w:spacing w:line="300" w:lineRule="auto"/>
      <w:jc w:val="center"/>
    </w:pPr>
    <w:rPr>
      <w:rFonts w:ascii="宋体" w:hAnsi="宋体" w:cs="宋体"/>
      <w:szCs w:val="20"/>
    </w:rPr>
  </w:style>
  <w:style w:type="paragraph" w:customStyle="1" w:styleId="3350">
    <w:name w:val="表格13"/>
    <w:basedOn w:val="1"/>
    <w:autoRedefine/>
    <w:qFormat/>
    <w:uiPriority w:val="0"/>
    <w:pPr>
      <w:adjustRightInd w:val="0"/>
      <w:jc w:val="center"/>
      <w:textAlignment w:val="baseline"/>
    </w:pPr>
    <w:rPr>
      <w:rFonts w:ascii="宋体"/>
      <w:kern w:val="0"/>
      <w:sz w:val="24"/>
      <w:szCs w:val="20"/>
    </w:rPr>
  </w:style>
  <w:style w:type="paragraph" w:customStyle="1" w:styleId="3351">
    <w:name w:val="c3"/>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352">
    <w:name w:val="表题93"/>
    <w:basedOn w:val="46"/>
    <w:autoRedefine/>
    <w:qFormat/>
    <w:uiPriority w:val="0"/>
    <w:pPr>
      <w:adjustRightInd w:val="0"/>
      <w:snapToGrid w:val="0"/>
      <w:spacing w:line="300" w:lineRule="auto"/>
      <w:jc w:val="center"/>
    </w:pPr>
    <w:rPr>
      <w:rFonts w:ascii="黑体" w:eastAsia="黑体" w:cs="Times New Roman"/>
      <w:sz w:val="24"/>
      <w:szCs w:val="20"/>
    </w:rPr>
  </w:style>
  <w:style w:type="paragraph" w:customStyle="1" w:styleId="3353">
    <w:name w:val="福建正文缩进3"/>
    <w:basedOn w:val="8"/>
    <w:autoRedefine/>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szCs w:val="24"/>
    </w:rPr>
  </w:style>
  <w:style w:type="character" w:customStyle="1" w:styleId="3354">
    <w:name w:val="福建正文缩进 Char3"/>
    <w:autoRedefine/>
    <w:qFormat/>
    <w:uiPriority w:val="0"/>
    <w:rPr>
      <w:rFonts w:ascii="宋体" w:hAnsi="宋体" w:eastAsia="宋体" w:cs="宋体"/>
      <w:color w:val="000000"/>
      <w:kern w:val="0"/>
      <w:sz w:val="24"/>
      <w:szCs w:val="24"/>
      <w:lang w:val="en-US" w:eastAsia="zh-CN" w:bidi="ar-SA"/>
    </w:rPr>
  </w:style>
  <w:style w:type="paragraph" w:customStyle="1" w:styleId="3355">
    <w:name w:val="表内文字小14"/>
    <w:basedOn w:val="1"/>
    <w:autoRedefine/>
    <w:qFormat/>
    <w:uiPriority w:val="0"/>
    <w:pPr>
      <w:adjustRightInd w:val="0"/>
      <w:snapToGrid w:val="0"/>
      <w:jc w:val="center"/>
    </w:pPr>
    <w:rPr>
      <w:rFonts w:ascii="宋体" w:hAnsi="Times"/>
      <w:szCs w:val="20"/>
    </w:rPr>
  </w:style>
  <w:style w:type="paragraph" w:customStyle="1" w:styleId="3356">
    <w:name w:val="表内593"/>
    <w:basedOn w:val="1"/>
    <w:autoRedefine/>
    <w:qFormat/>
    <w:uiPriority w:val="0"/>
    <w:pPr>
      <w:adjustRightInd w:val="0"/>
      <w:snapToGrid w:val="0"/>
      <w:spacing w:line="300" w:lineRule="auto"/>
      <w:jc w:val="center"/>
    </w:pPr>
    <w:rPr>
      <w:rFonts w:ascii="宋体"/>
      <w:snapToGrid w:val="0"/>
      <w:szCs w:val="21"/>
    </w:rPr>
  </w:style>
  <w:style w:type="character" w:customStyle="1" w:styleId="3357">
    <w:name w:val="正文首行缩进 2 Char3"/>
    <w:autoRedefine/>
    <w:qFormat/>
    <w:uiPriority w:val="0"/>
    <w:rPr>
      <w:rFonts w:ascii="Times New Roman" w:hAnsi="Times New Roman" w:eastAsia="宋体" w:cs="Times New Roman"/>
      <w:kern w:val="2"/>
      <w:sz w:val="28"/>
      <w:lang w:val="en-US" w:eastAsia="zh-CN" w:bidi="ar-SA"/>
    </w:rPr>
  </w:style>
  <w:style w:type="paragraph" w:customStyle="1" w:styleId="3358">
    <w:name w:val="表内小5中3"/>
    <w:basedOn w:val="1"/>
    <w:autoRedefine/>
    <w:qFormat/>
    <w:uiPriority w:val="0"/>
    <w:pPr>
      <w:adjustRightInd w:val="0"/>
      <w:snapToGrid w:val="0"/>
      <w:jc w:val="center"/>
    </w:pPr>
    <w:rPr>
      <w:rFonts w:ascii="宋体" w:hAnsi="宋体"/>
      <w:sz w:val="18"/>
      <w:szCs w:val="20"/>
    </w:rPr>
  </w:style>
  <w:style w:type="paragraph" w:customStyle="1" w:styleId="3359">
    <w:name w:val="表内5中43"/>
    <w:basedOn w:val="1"/>
    <w:autoRedefine/>
    <w:qFormat/>
    <w:uiPriority w:val="0"/>
    <w:pPr>
      <w:adjustRightInd w:val="0"/>
      <w:snapToGrid w:val="0"/>
      <w:jc w:val="center"/>
    </w:pPr>
    <w:rPr>
      <w:rFonts w:ascii="宋体"/>
      <w:bCs/>
      <w:szCs w:val="20"/>
    </w:rPr>
  </w:style>
  <w:style w:type="paragraph" w:customStyle="1" w:styleId="3360">
    <w:name w:val="默认段落字体 Para Char4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361">
    <w:name w:val="燕山正文13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362">
    <w:name w:val="样式 标题 4无效格式无效格式1河石管道4H4H41小小节河石管道41H42H411小小节1河石管道42...4"/>
    <w:basedOn w:val="9"/>
    <w:autoRedefine/>
    <w:qFormat/>
    <w:uiPriority w:val="0"/>
    <w:pPr>
      <w:adjustRightInd w:val="0"/>
      <w:snapToGrid w:val="0"/>
      <w:spacing w:before="0" w:after="0" w:line="360" w:lineRule="auto"/>
      <w:ind w:left="664" w:hanging="864"/>
    </w:pPr>
    <w:rPr>
      <w:rFonts w:ascii="黑体"/>
      <w:b w:val="0"/>
      <w:bCs w:val="0"/>
      <w:sz w:val="24"/>
      <w:szCs w:val="24"/>
      <w:lang w:val="zh-CN"/>
    </w:rPr>
  </w:style>
  <w:style w:type="paragraph" w:customStyle="1" w:styleId="3363">
    <w:name w:val="样式 标题 4无效格式无效格式1河石管道4H4H41小小节河石管道41H42H411小小节1河石管道42...13"/>
    <w:basedOn w:val="9"/>
    <w:autoRedefine/>
    <w:qFormat/>
    <w:uiPriority w:val="0"/>
    <w:pPr>
      <w:adjustRightInd w:val="0"/>
      <w:snapToGrid w:val="0"/>
      <w:spacing w:before="0" w:after="0" w:line="360" w:lineRule="auto"/>
      <w:ind w:left="664" w:hanging="864"/>
      <w:jc w:val="left"/>
    </w:pPr>
    <w:rPr>
      <w:rFonts w:ascii="黑体" w:cs="宋体"/>
      <w:b w:val="0"/>
      <w:bCs w:val="0"/>
      <w:sz w:val="24"/>
      <w:szCs w:val="20"/>
      <w:lang w:val="zh-CN"/>
    </w:rPr>
  </w:style>
  <w:style w:type="paragraph" w:customStyle="1" w:styleId="3364">
    <w:name w:val="正文格式84"/>
    <w:basedOn w:val="1"/>
    <w:autoRedefine/>
    <w:qFormat/>
    <w:uiPriority w:val="0"/>
    <w:pPr>
      <w:spacing w:line="360" w:lineRule="auto"/>
      <w:ind w:firstLine="482"/>
    </w:pPr>
    <w:rPr>
      <w:rFonts w:ascii="宋体" w:hAnsi="宋体"/>
      <w:sz w:val="24"/>
    </w:rPr>
  </w:style>
  <w:style w:type="paragraph" w:customStyle="1" w:styleId="3365">
    <w:name w:val="正文格式93"/>
    <w:basedOn w:val="1"/>
    <w:autoRedefine/>
    <w:qFormat/>
    <w:uiPriority w:val="0"/>
    <w:pPr>
      <w:spacing w:line="360" w:lineRule="auto"/>
      <w:ind w:firstLine="482"/>
    </w:pPr>
    <w:rPr>
      <w:rFonts w:ascii="宋体" w:hAnsi="宋体"/>
      <w:sz w:val="24"/>
    </w:rPr>
  </w:style>
  <w:style w:type="paragraph" w:customStyle="1" w:styleId="3366">
    <w:name w:val="表格内容3"/>
    <w:autoRedefine/>
    <w:qFormat/>
    <w:uiPriority w:val="0"/>
    <w:pPr>
      <w:jc w:val="center"/>
    </w:pPr>
    <w:rPr>
      <w:rFonts w:ascii="Times New Roman" w:hAnsi="Times New Roman" w:eastAsia="宋体" w:cs="Times New Roman"/>
      <w:kern w:val="2"/>
      <w:sz w:val="21"/>
      <w:szCs w:val="21"/>
      <w:lang w:val="en-US" w:eastAsia="zh-CN" w:bidi="ar-SA"/>
    </w:rPr>
  </w:style>
  <w:style w:type="character" w:customStyle="1" w:styleId="3367">
    <w:name w:val="表格内容 Char3"/>
    <w:autoRedefine/>
    <w:qFormat/>
    <w:uiPriority w:val="0"/>
    <w:rPr>
      <w:rFonts w:ascii="Times New Roman" w:hAnsi="Times New Roman" w:eastAsia="宋体" w:cs="Times New Roman"/>
      <w:kern w:val="2"/>
      <w:sz w:val="24"/>
      <w:szCs w:val="21"/>
      <w:lang w:val="en-US" w:eastAsia="zh-CN" w:bidi="ar-SA"/>
    </w:rPr>
  </w:style>
  <w:style w:type="paragraph" w:customStyle="1" w:styleId="3368">
    <w:name w:val="正文格式102"/>
    <w:basedOn w:val="1"/>
    <w:autoRedefine/>
    <w:qFormat/>
    <w:uiPriority w:val="0"/>
    <w:pPr>
      <w:spacing w:line="360" w:lineRule="auto"/>
      <w:ind w:firstLine="482"/>
    </w:pPr>
    <w:rPr>
      <w:rFonts w:ascii="宋体" w:hAnsi="宋体"/>
      <w:sz w:val="24"/>
    </w:rPr>
  </w:style>
  <w:style w:type="character" w:customStyle="1" w:styleId="3369">
    <w:name w:val="题注 Char62"/>
    <w:autoRedefine/>
    <w:qFormat/>
    <w:uiPriority w:val="0"/>
    <w:rPr>
      <w:rFonts w:ascii="黑体" w:hAnsi="Arial" w:eastAsia="黑体" w:cs="Arial"/>
      <w:b/>
      <w:kern w:val="2"/>
      <w:sz w:val="24"/>
      <w:szCs w:val="24"/>
      <w:lang w:val="en-US" w:eastAsia="zh-CN" w:bidi="ar-SA"/>
    </w:rPr>
  </w:style>
  <w:style w:type="paragraph" w:customStyle="1" w:styleId="3370">
    <w:name w:val="图题82"/>
    <w:basedOn w:val="403"/>
    <w:next w:val="403"/>
    <w:autoRedefine/>
    <w:qFormat/>
    <w:uiPriority w:val="0"/>
    <w:pPr>
      <w:ind w:firstLine="0"/>
      <w:jc w:val="center"/>
    </w:pPr>
    <w:rPr>
      <w:rFonts w:ascii="黑体" w:hAnsi="宋体" w:eastAsia="黑体"/>
      <w:b/>
      <w:bCs/>
    </w:rPr>
  </w:style>
  <w:style w:type="paragraph" w:customStyle="1" w:styleId="3371">
    <w:name w:val="表格内字体82"/>
    <w:basedOn w:val="403"/>
    <w:next w:val="403"/>
    <w:autoRedefine/>
    <w:qFormat/>
    <w:uiPriority w:val="0"/>
    <w:pPr>
      <w:spacing w:line="240" w:lineRule="auto"/>
      <w:ind w:firstLine="0"/>
      <w:jc w:val="center"/>
    </w:pPr>
    <w:rPr>
      <w:rFonts w:hAnsi="宋体" w:cs="Times New Roman"/>
      <w:sz w:val="21"/>
    </w:rPr>
  </w:style>
  <w:style w:type="paragraph" w:customStyle="1" w:styleId="3372">
    <w:name w:val="Char116"/>
    <w:basedOn w:val="1"/>
    <w:autoRedefine/>
    <w:qFormat/>
    <w:uiPriority w:val="0"/>
    <w:pPr>
      <w:ind w:left="-48"/>
    </w:pPr>
  </w:style>
  <w:style w:type="paragraph" w:customStyle="1" w:styleId="3373">
    <w:name w:val="正文格式＝72"/>
    <w:basedOn w:val="403"/>
    <w:next w:val="403"/>
    <w:autoRedefine/>
    <w:qFormat/>
    <w:uiPriority w:val="0"/>
    <w:rPr>
      <w:rFonts w:hAnsi="宋体" w:cs="Times New Roman"/>
    </w:rPr>
  </w:style>
  <w:style w:type="paragraph" w:customStyle="1" w:styleId="3374">
    <w:name w:val="表题162"/>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375">
    <w:name w:val="表题1 Char72"/>
    <w:autoRedefine/>
    <w:qFormat/>
    <w:uiPriority w:val="0"/>
    <w:rPr>
      <w:rFonts w:ascii="黑体" w:hAnsi="Arial" w:eastAsia="黑体" w:cs="Arial"/>
      <w:b/>
      <w:kern w:val="2"/>
      <w:sz w:val="24"/>
      <w:szCs w:val="24"/>
      <w:lang w:val="en-US" w:eastAsia="zh-CN" w:bidi="ar-SA"/>
    </w:rPr>
  </w:style>
  <w:style w:type="paragraph" w:customStyle="1" w:styleId="3376">
    <w:name w:val="燕山正文5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377">
    <w:name w:val="正文修改52"/>
    <w:basedOn w:val="2088"/>
    <w:autoRedefine/>
    <w:qFormat/>
    <w:uiPriority w:val="0"/>
    <w:rPr>
      <w:rFonts w:hAnsi="宋体"/>
      <w:color w:val="000000"/>
    </w:rPr>
  </w:style>
  <w:style w:type="character" w:customStyle="1" w:styleId="3378">
    <w:name w:val="正文修改 Char152"/>
    <w:autoRedefine/>
    <w:qFormat/>
    <w:uiPriority w:val="0"/>
    <w:rPr>
      <w:rFonts w:ascii="宋体" w:hAnsi="宋体" w:eastAsia="宋体" w:cs="宋体"/>
      <w:color w:val="000000"/>
      <w:sz w:val="24"/>
      <w:szCs w:val="24"/>
    </w:rPr>
  </w:style>
  <w:style w:type="paragraph" w:customStyle="1" w:styleId="3379">
    <w:name w:val="表中文字6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380">
    <w:name w:val="默认段落字体 Para Char Char Char Char62"/>
    <w:basedOn w:val="1"/>
    <w:autoRedefine/>
    <w:qFormat/>
    <w:uiPriority w:val="0"/>
  </w:style>
  <w:style w:type="paragraph" w:customStyle="1" w:styleId="3381">
    <w:name w:val="Char122"/>
    <w:basedOn w:val="1"/>
    <w:autoRedefine/>
    <w:qFormat/>
    <w:uiPriority w:val="0"/>
    <w:pPr>
      <w:adjustRightInd w:val="0"/>
      <w:snapToGrid w:val="0"/>
      <w:spacing w:line="360" w:lineRule="auto"/>
    </w:pPr>
  </w:style>
  <w:style w:type="paragraph" w:customStyle="1" w:styleId="3382">
    <w:name w:val="封面标准文稿编辑信息12"/>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383">
    <w:name w:val="样式 表内小5 + 黑体 加粗 倾斜 下划线12"/>
    <w:basedOn w:val="1"/>
    <w:autoRedefine/>
    <w:qFormat/>
    <w:uiPriority w:val="0"/>
    <w:pPr>
      <w:adjustRightInd w:val="0"/>
      <w:snapToGrid w:val="0"/>
      <w:spacing w:line="300" w:lineRule="auto"/>
      <w:jc w:val="left"/>
    </w:pPr>
    <w:rPr>
      <w:rFonts w:ascii="黑体" w:hAnsi="黑体" w:eastAsia="黑体"/>
      <w:b/>
      <w:bCs/>
      <w:i/>
      <w:iCs/>
      <w:sz w:val="18"/>
      <w:u w:val="single"/>
    </w:rPr>
  </w:style>
  <w:style w:type="paragraph" w:customStyle="1" w:styleId="3384">
    <w:name w:val="表内5中22"/>
    <w:basedOn w:val="1"/>
    <w:autoRedefine/>
    <w:qFormat/>
    <w:uiPriority w:val="0"/>
    <w:pPr>
      <w:adjustRightInd w:val="0"/>
      <w:snapToGrid w:val="0"/>
      <w:jc w:val="center"/>
    </w:pPr>
    <w:rPr>
      <w:rFonts w:ascii="宋体" w:hAnsi="宋体" w:cs="Arial"/>
      <w:snapToGrid w:val="0"/>
      <w:color w:val="000000"/>
      <w:szCs w:val="21"/>
    </w:rPr>
  </w:style>
  <w:style w:type="paragraph" w:customStyle="1" w:styleId="3385">
    <w:name w:val="表内54152"/>
    <w:basedOn w:val="1"/>
    <w:autoRedefine/>
    <w:qFormat/>
    <w:uiPriority w:val="0"/>
    <w:pPr>
      <w:adjustRightInd w:val="0"/>
      <w:snapToGrid w:val="0"/>
      <w:spacing w:line="300" w:lineRule="auto"/>
      <w:jc w:val="center"/>
    </w:pPr>
    <w:rPr>
      <w:rFonts w:ascii="宋体" w:hAnsi="宋体" w:cs="宋体"/>
      <w:szCs w:val="20"/>
    </w:rPr>
  </w:style>
  <w:style w:type="paragraph" w:customStyle="1" w:styleId="3386">
    <w:name w:val="表格112"/>
    <w:basedOn w:val="1"/>
    <w:autoRedefine/>
    <w:qFormat/>
    <w:uiPriority w:val="0"/>
    <w:pPr>
      <w:adjustRightInd w:val="0"/>
      <w:jc w:val="center"/>
      <w:textAlignment w:val="baseline"/>
    </w:pPr>
    <w:rPr>
      <w:rFonts w:ascii="宋体"/>
      <w:kern w:val="0"/>
      <w:sz w:val="24"/>
      <w:szCs w:val="20"/>
    </w:rPr>
  </w:style>
  <w:style w:type="paragraph" w:customStyle="1" w:styleId="3387">
    <w:name w:val="c12"/>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388">
    <w:name w:val="表题912"/>
    <w:basedOn w:val="46"/>
    <w:autoRedefine/>
    <w:qFormat/>
    <w:uiPriority w:val="0"/>
    <w:pPr>
      <w:adjustRightInd w:val="0"/>
      <w:snapToGrid w:val="0"/>
      <w:spacing w:line="300" w:lineRule="auto"/>
      <w:jc w:val="center"/>
    </w:pPr>
    <w:rPr>
      <w:rFonts w:ascii="黑体" w:eastAsia="黑体" w:cs="Times New Roman"/>
      <w:sz w:val="24"/>
      <w:szCs w:val="20"/>
    </w:rPr>
  </w:style>
  <w:style w:type="paragraph" w:customStyle="1" w:styleId="3389">
    <w:name w:val="福建正文缩进12"/>
    <w:basedOn w:val="8"/>
    <w:autoRedefine/>
    <w:qFormat/>
    <w:uiPriority w:val="0"/>
    <w:pPr>
      <w:adjustRightInd w:val="0"/>
      <w:snapToGrid w:val="0"/>
      <w:spacing w:line="360" w:lineRule="auto"/>
      <w:ind w:firstLine="567" w:firstLineChars="0"/>
    </w:pPr>
    <w:rPr>
      <w:rFonts w:ascii="宋体"/>
      <w:kern w:val="0"/>
      <w:sz w:val="24"/>
      <w:szCs w:val="24"/>
    </w:rPr>
  </w:style>
  <w:style w:type="paragraph" w:customStyle="1" w:styleId="3390">
    <w:name w:val="表内文字小33"/>
    <w:basedOn w:val="1"/>
    <w:autoRedefine/>
    <w:qFormat/>
    <w:uiPriority w:val="0"/>
    <w:pPr>
      <w:adjustRightInd w:val="0"/>
      <w:snapToGrid w:val="0"/>
      <w:jc w:val="center"/>
    </w:pPr>
    <w:rPr>
      <w:rFonts w:ascii="宋体" w:hAnsi="Times"/>
      <w:szCs w:val="20"/>
    </w:rPr>
  </w:style>
  <w:style w:type="paragraph" w:customStyle="1" w:styleId="3391">
    <w:name w:val="表内5912"/>
    <w:basedOn w:val="1"/>
    <w:autoRedefine/>
    <w:qFormat/>
    <w:uiPriority w:val="0"/>
    <w:pPr>
      <w:adjustRightInd w:val="0"/>
      <w:snapToGrid w:val="0"/>
      <w:spacing w:line="300" w:lineRule="auto"/>
      <w:jc w:val="center"/>
    </w:pPr>
    <w:rPr>
      <w:rFonts w:ascii="宋体"/>
      <w:snapToGrid w:val="0"/>
      <w:szCs w:val="21"/>
    </w:rPr>
  </w:style>
  <w:style w:type="paragraph" w:customStyle="1" w:styleId="3392">
    <w:name w:val="表内小5中12"/>
    <w:basedOn w:val="1"/>
    <w:autoRedefine/>
    <w:qFormat/>
    <w:uiPriority w:val="0"/>
    <w:pPr>
      <w:adjustRightInd w:val="0"/>
      <w:snapToGrid w:val="0"/>
      <w:jc w:val="center"/>
    </w:pPr>
    <w:rPr>
      <w:rFonts w:ascii="宋体" w:hAnsi="宋体"/>
      <w:sz w:val="18"/>
      <w:szCs w:val="20"/>
    </w:rPr>
  </w:style>
  <w:style w:type="paragraph" w:customStyle="1" w:styleId="3393">
    <w:name w:val="表内5中412"/>
    <w:basedOn w:val="1"/>
    <w:autoRedefine/>
    <w:qFormat/>
    <w:uiPriority w:val="0"/>
    <w:pPr>
      <w:adjustRightInd w:val="0"/>
      <w:snapToGrid w:val="0"/>
      <w:jc w:val="center"/>
    </w:pPr>
    <w:rPr>
      <w:rFonts w:ascii="宋体"/>
      <w:bCs/>
      <w:szCs w:val="20"/>
    </w:rPr>
  </w:style>
  <w:style w:type="paragraph" w:customStyle="1" w:styleId="3394">
    <w:name w:val="表题4112"/>
    <w:basedOn w:val="36"/>
    <w:autoRedefine/>
    <w:qFormat/>
    <w:uiPriority w:val="0"/>
    <w:pPr>
      <w:tabs>
        <w:tab w:val="left" w:pos="4305"/>
      </w:tabs>
      <w:adjustRightInd w:val="0"/>
      <w:snapToGrid w:val="0"/>
      <w:spacing w:after="0"/>
      <w:ind w:left="0" w:leftChars="0"/>
      <w:jc w:val="center"/>
    </w:pPr>
    <w:rPr>
      <w:rFonts w:ascii="宋体" w:hAnsi="宋体" w:cs="宋体"/>
      <w:color w:val="000000"/>
      <w:kern w:val="2"/>
      <w:szCs w:val="24"/>
    </w:rPr>
  </w:style>
  <w:style w:type="paragraph" w:customStyle="1" w:styleId="3395">
    <w:name w:val="表内文字小2142"/>
    <w:basedOn w:val="1"/>
    <w:autoRedefine/>
    <w:qFormat/>
    <w:uiPriority w:val="0"/>
    <w:pPr>
      <w:adjustRightInd w:val="0"/>
      <w:snapToGrid w:val="0"/>
      <w:jc w:val="center"/>
    </w:pPr>
    <w:rPr>
      <w:rFonts w:ascii="宋体" w:hAnsi="Times"/>
      <w:bCs/>
      <w:color w:val="000000"/>
      <w:szCs w:val="20"/>
    </w:rPr>
  </w:style>
  <w:style w:type="paragraph" w:customStyle="1" w:styleId="3396">
    <w:name w:val="表题3142"/>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397">
    <w:name w:val="Char Char Char Char Char Char Char32"/>
    <w:basedOn w:val="1"/>
    <w:autoRedefine/>
    <w:qFormat/>
    <w:uiPriority w:val="0"/>
  </w:style>
  <w:style w:type="paragraph" w:customStyle="1" w:styleId="3398">
    <w:name w:val="正文22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399">
    <w:name w:val="表文字542"/>
    <w:basedOn w:val="1"/>
    <w:autoRedefine/>
    <w:qFormat/>
    <w:uiPriority w:val="0"/>
    <w:pPr>
      <w:adjustRightInd w:val="0"/>
      <w:jc w:val="left"/>
      <w:textAlignment w:val="baseline"/>
    </w:pPr>
    <w:rPr>
      <w:rFonts w:ascii="宋体"/>
      <w:kern w:val="0"/>
      <w:szCs w:val="20"/>
    </w:rPr>
  </w:style>
  <w:style w:type="paragraph" w:customStyle="1" w:styleId="3400">
    <w:name w:val="表内文字小3142"/>
    <w:basedOn w:val="1"/>
    <w:autoRedefine/>
    <w:qFormat/>
    <w:uiPriority w:val="0"/>
    <w:pPr>
      <w:adjustRightInd w:val="0"/>
      <w:snapToGrid w:val="0"/>
      <w:jc w:val="center"/>
    </w:pPr>
    <w:rPr>
      <w:rFonts w:ascii="宋体" w:hAnsi="Times" w:cs="宋体"/>
      <w:bCs/>
      <w:color w:val="003366"/>
      <w:szCs w:val="20"/>
    </w:rPr>
  </w:style>
  <w:style w:type="paragraph" w:customStyle="1" w:styleId="3401">
    <w:name w:val="表内宋51122"/>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3402">
    <w:name w:val="文本框22"/>
    <w:basedOn w:val="1"/>
    <w:autoRedefine/>
    <w:qFormat/>
    <w:uiPriority w:val="0"/>
    <w:pPr>
      <w:adjustRightInd w:val="0"/>
      <w:snapToGrid w:val="0"/>
      <w:spacing w:after="6"/>
      <w:jc w:val="center"/>
    </w:pPr>
    <w:rPr>
      <w:rFonts w:eastAsia="仿宋_GB2312"/>
    </w:rPr>
  </w:style>
  <w:style w:type="paragraph" w:customStyle="1" w:styleId="3403">
    <w:name w:val="正文.2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404">
    <w:name w:val="表42"/>
    <w:basedOn w:val="1"/>
    <w:autoRedefine/>
    <w:qFormat/>
    <w:uiPriority w:val="0"/>
    <w:pPr>
      <w:adjustRightInd w:val="0"/>
      <w:snapToGrid w:val="0"/>
      <w:jc w:val="center"/>
    </w:pPr>
    <w:rPr>
      <w:rFonts w:eastAsia="仿宋_GB2312"/>
      <w:sz w:val="24"/>
    </w:rPr>
  </w:style>
  <w:style w:type="paragraph" w:customStyle="1" w:styleId="3405">
    <w:name w:val="黑体三号52"/>
    <w:basedOn w:val="403"/>
    <w:autoRedefine/>
    <w:qFormat/>
    <w:uiPriority w:val="0"/>
    <w:pPr>
      <w:jc w:val="center"/>
    </w:pPr>
    <w:rPr>
      <w:rFonts w:ascii="黑体" w:hAnsi="宋体" w:eastAsia="黑体"/>
      <w:b/>
      <w:bCs/>
      <w:sz w:val="32"/>
      <w:szCs w:val="20"/>
    </w:rPr>
  </w:style>
  <w:style w:type="paragraph" w:customStyle="1" w:styleId="3406">
    <w:name w:val="Char Char2 Char Char Char Char22"/>
    <w:basedOn w:val="1"/>
    <w:autoRedefine/>
    <w:qFormat/>
    <w:uiPriority w:val="0"/>
  </w:style>
  <w:style w:type="paragraph" w:customStyle="1" w:styleId="3407">
    <w:name w:val="Char132"/>
    <w:basedOn w:val="1"/>
    <w:autoRedefine/>
    <w:qFormat/>
    <w:uiPriority w:val="0"/>
    <w:pPr>
      <w:ind w:left="-48"/>
    </w:pPr>
  </w:style>
  <w:style w:type="paragraph" w:customStyle="1" w:styleId="3408">
    <w:name w:val="样式132"/>
    <w:basedOn w:val="2137"/>
    <w:autoRedefine/>
    <w:qFormat/>
    <w:uiPriority w:val="0"/>
    <w:pPr>
      <w:spacing w:line="240" w:lineRule="auto"/>
      <w:ind w:firstLine="0"/>
      <w:jc w:val="center"/>
    </w:pPr>
    <w:rPr>
      <w:rFonts w:cs="Times New Roman"/>
      <w:b/>
      <w:color w:val="auto"/>
      <w:szCs w:val="20"/>
    </w:rPr>
  </w:style>
  <w:style w:type="paragraph" w:customStyle="1" w:styleId="3409">
    <w:name w:val="首行缩进:  0.99 厘米 + 首行缩进:  2 字符12"/>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410">
    <w:name w:val="图表名称12"/>
    <w:basedOn w:val="316"/>
    <w:autoRedefine/>
    <w:qFormat/>
    <w:uiPriority w:val="0"/>
    <w:pPr>
      <w:adjustRightInd w:val="0"/>
      <w:snapToGrid w:val="0"/>
      <w:spacing w:after="0" w:line="480" w:lineRule="exact"/>
      <w:ind w:firstLine="0" w:firstLineChars="0"/>
      <w:jc w:val="center"/>
    </w:pPr>
    <w:rPr>
      <w:bCs/>
      <w:kern w:val="2"/>
      <w:lang w:val="zh-CN"/>
    </w:rPr>
  </w:style>
  <w:style w:type="paragraph" w:customStyle="1" w:styleId="3411">
    <w:name w:val="表内文字边12"/>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412">
    <w:name w:val="正文缩12"/>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413">
    <w:name w:val="样式212"/>
    <w:basedOn w:val="1"/>
    <w:autoRedefine/>
    <w:qFormat/>
    <w:uiPriority w:val="0"/>
    <w:pPr>
      <w:adjustRightInd w:val="0"/>
      <w:spacing w:line="360" w:lineRule="auto"/>
      <w:jc w:val="center"/>
      <w:textAlignment w:val="baseline"/>
      <w:outlineLvl w:val="0"/>
    </w:pPr>
    <w:rPr>
      <w:kern w:val="0"/>
      <w:szCs w:val="20"/>
    </w:rPr>
  </w:style>
  <w:style w:type="paragraph" w:customStyle="1" w:styleId="3414">
    <w:name w:val="默认段落字体 Para Char Char Char Char Char12"/>
    <w:basedOn w:val="1"/>
    <w:autoRedefine/>
    <w:qFormat/>
    <w:uiPriority w:val="0"/>
  </w:style>
  <w:style w:type="paragraph" w:customStyle="1" w:styleId="3415">
    <w:name w:val="表内宋5中32"/>
    <w:basedOn w:val="1"/>
    <w:autoRedefine/>
    <w:qFormat/>
    <w:uiPriority w:val="0"/>
    <w:pPr>
      <w:adjustRightInd w:val="0"/>
      <w:snapToGrid w:val="0"/>
      <w:textAlignment w:val="baseline"/>
    </w:pPr>
    <w:rPr>
      <w:color w:val="000000"/>
      <w:kern w:val="0"/>
      <w:szCs w:val="20"/>
    </w:rPr>
  </w:style>
  <w:style w:type="paragraph" w:customStyle="1" w:styleId="3416">
    <w:name w:val="样式 标题 3 + 段前: 12 磅12"/>
    <w:basedOn w:val="7"/>
    <w:autoRedefine/>
    <w:qFormat/>
    <w:uiPriority w:val="0"/>
    <w:pPr>
      <w:keepNext w:val="0"/>
      <w:keepLines w:val="0"/>
      <w:widowControl/>
      <w:autoSpaceDE w:val="0"/>
      <w:autoSpaceDN w:val="0"/>
      <w:snapToGrid w:val="0"/>
      <w:spacing w:before="0" w:line="360" w:lineRule="auto"/>
      <w:jc w:val="both"/>
      <w:textAlignment w:val="auto"/>
    </w:pPr>
    <w:rPr>
      <w:rFonts w:ascii="黑体" w:hAnsi="宋体" w:cs="宋体"/>
      <w:color w:val="000000"/>
      <w:kern w:val="21"/>
      <w:sz w:val="24"/>
      <w:szCs w:val="20"/>
    </w:rPr>
  </w:style>
  <w:style w:type="paragraph" w:customStyle="1" w:styleId="3417">
    <w:name w:val="表内522"/>
    <w:basedOn w:val="1"/>
    <w:autoRedefine/>
    <w:qFormat/>
    <w:uiPriority w:val="0"/>
    <w:pPr>
      <w:adjustRightInd w:val="0"/>
      <w:snapToGrid w:val="0"/>
      <w:spacing w:line="300" w:lineRule="auto"/>
      <w:jc w:val="left"/>
    </w:pPr>
    <w:rPr>
      <w:rFonts w:ascii="宋体"/>
      <w:sz w:val="18"/>
      <w:szCs w:val="20"/>
    </w:rPr>
  </w:style>
  <w:style w:type="paragraph" w:customStyle="1" w:styleId="3418">
    <w:name w:val="表内宋513"/>
    <w:basedOn w:val="2165"/>
    <w:autoRedefine/>
    <w:qFormat/>
    <w:uiPriority w:val="0"/>
    <w:pPr>
      <w:widowControl/>
      <w:autoSpaceDE w:val="0"/>
      <w:autoSpaceDN w:val="0"/>
      <w:jc w:val="left"/>
      <w:textAlignment w:val="auto"/>
    </w:pPr>
    <w:rPr>
      <w:color w:val="auto"/>
      <w:w w:val="90"/>
    </w:rPr>
  </w:style>
  <w:style w:type="paragraph" w:customStyle="1" w:styleId="3419">
    <w:name w:val="Char Char Char Char1 Char Char Char1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420">
    <w:name w:val="正文格式112"/>
    <w:basedOn w:val="1"/>
    <w:autoRedefine/>
    <w:qFormat/>
    <w:uiPriority w:val="0"/>
    <w:pPr>
      <w:spacing w:line="360" w:lineRule="auto"/>
      <w:ind w:firstLine="482"/>
    </w:pPr>
    <w:rPr>
      <w:rFonts w:ascii="宋体" w:hAnsi="宋体"/>
      <w:sz w:val="24"/>
    </w:rPr>
  </w:style>
  <w:style w:type="paragraph" w:customStyle="1" w:styleId="3421">
    <w:name w:val="图题112"/>
    <w:basedOn w:val="403"/>
    <w:next w:val="403"/>
    <w:autoRedefine/>
    <w:qFormat/>
    <w:uiPriority w:val="0"/>
    <w:pPr>
      <w:ind w:firstLine="0"/>
      <w:jc w:val="center"/>
    </w:pPr>
    <w:rPr>
      <w:rFonts w:ascii="黑体" w:hAnsi="宋体" w:eastAsia="黑体"/>
      <w:b/>
      <w:bCs/>
    </w:rPr>
  </w:style>
  <w:style w:type="paragraph" w:customStyle="1" w:styleId="3422">
    <w:name w:val="表格内字体122"/>
    <w:basedOn w:val="403"/>
    <w:next w:val="403"/>
    <w:autoRedefine/>
    <w:qFormat/>
    <w:uiPriority w:val="0"/>
    <w:pPr>
      <w:spacing w:line="240" w:lineRule="auto"/>
      <w:ind w:firstLine="0"/>
      <w:jc w:val="center"/>
    </w:pPr>
    <w:rPr>
      <w:rFonts w:hAnsi="宋体" w:cs="Times New Roman"/>
      <w:sz w:val="21"/>
    </w:rPr>
  </w:style>
  <w:style w:type="paragraph" w:customStyle="1" w:styleId="3423">
    <w:name w:val="Char142"/>
    <w:basedOn w:val="1"/>
    <w:autoRedefine/>
    <w:qFormat/>
    <w:uiPriority w:val="0"/>
    <w:pPr>
      <w:ind w:left="-48"/>
    </w:pPr>
  </w:style>
  <w:style w:type="paragraph" w:customStyle="1" w:styleId="3424">
    <w:name w:val="正文格式＝112"/>
    <w:basedOn w:val="403"/>
    <w:next w:val="403"/>
    <w:autoRedefine/>
    <w:qFormat/>
    <w:uiPriority w:val="0"/>
    <w:rPr>
      <w:rFonts w:hAnsi="宋体" w:cs="Times New Roman"/>
    </w:rPr>
  </w:style>
  <w:style w:type="paragraph" w:customStyle="1" w:styleId="3425">
    <w:name w:val="正文格式222"/>
    <w:basedOn w:val="1"/>
    <w:autoRedefine/>
    <w:qFormat/>
    <w:uiPriority w:val="0"/>
    <w:pPr>
      <w:spacing w:line="360" w:lineRule="auto"/>
      <w:ind w:firstLine="482"/>
    </w:pPr>
    <w:rPr>
      <w:rFonts w:ascii="宋体" w:hAnsi="宋体"/>
      <w:sz w:val="24"/>
    </w:rPr>
  </w:style>
  <w:style w:type="paragraph" w:customStyle="1" w:styleId="3426">
    <w:name w:val="Char152"/>
    <w:basedOn w:val="1"/>
    <w:autoRedefine/>
    <w:qFormat/>
    <w:uiPriority w:val="0"/>
    <w:pPr>
      <w:adjustRightInd w:val="0"/>
      <w:snapToGrid w:val="0"/>
      <w:spacing w:beforeLines="50" w:line="360" w:lineRule="auto"/>
    </w:pPr>
    <w:rPr>
      <w:rFonts w:ascii="黑体" w:eastAsia="黑体"/>
      <w:sz w:val="32"/>
      <w:szCs w:val="32"/>
    </w:rPr>
  </w:style>
  <w:style w:type="character" w:customStyle="1" w:styleId="3427">
    <w:name w:val="题注 Char112"/>
    <w:autoRedefine/>
    <w:qFormat/>
    <w:uiPriority w:val="0"/>
    <w:rPr>
      <w:rFonts w:ascii="黑体" w:hAnsi="Arial" w:eastAsia="黑体" w:cs="Arial"/>
      <w:b/>
      <w:kern w:val="2"/>
      <w:sz w:val="24"/>
      <w:szCs w:val="24"/>
      <w:lang w:val="en-US" w:eastAsia="zh-CN" w:bidi="ar-SA"/>
    </w:rPr>
  </w:style>
  <w:style w:type="paragraph" w:customStyle="1" w:styleId="3428">
    <w:name w:val="图题222"/>
    <w:basedOn w:val="403"/>
    <w:next w:val="403"/>
    <w:autoRedefine/>
    <w:qFormat/>
    <w:uiPriority w:val="0"/>
    <w:pPr>
      <w:ind w:firstLine="0"/>
      <w:jc w:val="center"/>
    </w:pPr>
    <w:rPr>
      <w:rFonts w:ascii="黑体" w:hAnsi="宋体" w:eastAsia="黑体"/>
      <w:b/>
      <w:bCs/>
    </w:rPr>
  </w:style>
  <w:style w:type="paragraph" w:customStyle="1" w:styleId="3429">
    <w:name w:val="表格内字体222"/>
    <w:basedOn w:val="403"/>
    <w:next w:val="403"/>
    <w:autoRedefine/>
    <w:qFormat/>
    <w:uiPriority w:val="0"/>
    <w:pPr>
      <w:spacing w:line="240" w:lineRule="auto"/>
      <w:ind w:firstLine="0"/>
      <w:jc w:val="center"/>
    </w:pPr>
    <w:rPr>
      <w:rFonts w:hAnsi="宋体" w:cs="Times New Roman"/>
      <w:sz w:val="21"/>
    </w:rPr>
  </w:style>
  <w:style w:type="paragraph" w:customStyle="1" w:styleId="3430">
    <w:name w:val="表内541112"/>
    <w:basedOn w:val="1"/>
    <w:autoRedefine/>
    <w:qFormat/>
    <w:uiPriority w:val="0"/>
    <w:pPr>
      <w:adjustRightInd w:val="0"/>
      <w:snapToGrid w:val="0"/>
      <w:spacing w:line="300" w:lineRule="auto"/>
      <w:jc w:val="center"/>
    </w:pPr>
    <w:rPr>
      <w:rFonts w:ascii="宋体" w:hAnsi="宋体" w:cs="宋体"/>
      <w:szCs w:val="20"/>
    </w:rPr>
  </w:style>
  <w:style w:type="paragraph" w:customStyle="1" w:styleId="3431">
    <w:name w:val="表内文字小21112"/>
    <w:basedOn w:val="1"/>
    <w:autoRedefine/>
    <w:qFormat/>
    <w:uiPriority w:val="0"/>
    <w:pPr>
      <w:adjustRightInd w:val="0"/>
      <w:snapToGrid w:val="0"/>
      <w:jc w:val="center"/>
    </w:pPr>
    <w:rPr>
      <w:rFonts w:ascii="宋体" w:hAnsi="Times"/>
      <w:bCs/>
      <w:color w:val="000000"/>
      <w:szCs w:val="20"/>
    </w:rPr>
  </w:style>
  <w:style w:type="paragraph" w:customStyle="1" w:styleId="3432">
    <w:name w:val="表题31112"/>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433">
    <w:name w:val="Char Char Char Char Char Char Char112"/>
    <w:basedOn w:val="1"/>
    <w:autoRedefine/>
    <w:qFormat/>
    <w:uiPriority w:val="0"/>
  </w:style>
  <w:style w:type="paragraph" w:customStyle="1" w:styleId="3434">
    <w:name w:val="标题431112"/>
    <w:basedOn w:val="1"/>
    <w:autoRedefine/>
    <w:qFormat/>
    <w:uiPriority w:val="0"/>
    <w:pPr>
      <w:adjustRightInd w:val="0"/>
      <w:snapToGrid w:val="0"/>
      <w:spacing w:line="480" w:lineRule="exact"/>
      <w:jc w:val="center"/>
    </w:pPr>
    <w:rPr>
      <w:rFonts w:ascii="宋体" w:hAnsi="宋体" w:cs="宋体"/>
      <w:sz w:val="24"/>
    </w:rPr>
  </w:style>
  <w:style w:type="paragraph" w:customStyle="1" w:styleId="3435">
    <w:name w:val="燕山正文1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436">
    <w:name w:val="默认段落字体 Para Char Char Char Char112"/>
    <w:basedOn w:val="1"/>
    <w:autoRedefine/>
    <w:qFormat/>
    <w:uiPriority w:val="0"/>
  </w:style>
  <w:style w:type="paragraph" w:customStyle="1" w:styleId="3437">
    <w:name w:val="附件112"/>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3438">
    <w:name w:val="黑体三号112"/>
    <w:basedOn w:val="403"/>
    <w:autoRedefine/>
    <w:qFormat/>
    <w:uiPriority w:val="0"/>
    <w:pPr>
      <w:jc w:val="center"/>
    </w:pPr>
    <w:rPr>
      <w:rFonts w:ascii="黑体" w:hAnsi="宋体" w:eastAsia="黑体"/>
      <w:b/>
      <w:bCs/>
      <w:sz w:val="32"/>
      <w:szCs w:val="20"/>
    </w:rPr>
  </w:style>
  <w:style w:type="paragraph" w:customStyle="1" w:styleId="3439">
    <w:name w:val="表112"/>
    <w:basedOn w:val="1"/>
    <w:autoRedefine/>
    <w:qFormat/>
    <w:uiPriority w:val="0"/>
    <w:pPr>
      <w:adjustRightInd w:val="0"/>
      <w:snapToGrid w:val="0"/>
      <w:jc w:val="center"/>
    </w:pPr>
    <w:rPr>
      <w:rFonts w:eastAsia="仿宋_GB2312"/>
      <w:sz w:val="24"/>
    </w:rPr>
  </w:style>
  <w:style w:type="paragraph" w:customStyle="1" w:styleId="3440">
    <w:name w:val="表题1122"/>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3441">
    <w:name w:val="燕山正文12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442">
    <w:name w:val="正文修改112"/>
    <w:basedOn w:val="2088"/>
    <w:autoRedefine/>
    <w:qFormat/>
    <w:uiPriority w:val="0"/>
    <w:rPr>
      <w:rFonts w:hAnsi="宋体"/>
      <w:color w:val="000000"/>
    </w:rPr>
  </w:style>
  <w:style w:type="character" w:customStyle="1" w:styleId="3443">
    <w:name w:val="正文修改 Char1112"/>
    <w:autoRedefine/>
    <w:qFormat/>
    <w:uiPriority w:val="0"/>
    <w:rPr>
      <w:rFonts w:ascii="宋体" w:hAnsi="宋体" w:eastAsia="宋体" w:cs="宋体"/>
      <w:color w:val="000000"/>
      <w:sz w:val="24"/>
      <w:szCs w:val="24"/>
    </w:rPr>
  </w:style>
  <w:style w:type="paragraph" w:customStyle="1" w:styleId="3444">
    <w:name w:val="表中文字12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445">
    <w:name w:val="表文字5122"/>
    <w:basedOn w:val="1"/>
    <w:autoRedefine/>
    <w:qFormat/>
    <w:uiPriority w:val="0"/>
    <w:pPr>
      <w:adjustRightInd w:val="0"/>
      <w:jc w:val="left"/>
      <w:textAlignment w:val="baseline"/>
    </w:pPr>
    <w:rPr>
      <w:rFonts w:ascii="宋体"/>
      <w:kern w:val="0"/>
      <w:szCs w:val="20"/>
    </w:rPr>
  </w:style>
  <w:style w:type="paragraph" w:customStyle="1" w:styleId="3446">
    <w:name w:val="表内文字小31112"/>
    <w:basedOn w:val="1"/>
    <w:autoRedefine/>
    <w:qFormat/>
    <w:uiPriority w:val="0"/>
    <w:pPr>
      <w:adjustRightInd w:val="0"/>
      <w:snapToGrid w:val="0"/>
      <w:jc w:val="center"/>
    </w:pPr>
    <w:rPr>
      <w:rFonts w:ascii="宋体" w:hAnsi="Times" w:cs="宋体"/>
      <w:bCs/>
      <w:color w:val="003366"/>
      <w:szCs w:val="20"/>
    </w:rPr>
  </w:style>
  <w:style w:type="paragraph" w:customStyle="1" w:styleId="3447">
    <w:name w:val="样式1112"/>
    <w:basedOn w:val="2137"/>
    <w:autoRedefine/>
    <w:qFormat/>
    <w:uiPriority w:val="0"/>
    <w:pPr>
      <w:spacing w:line="240" w:lineRule="auto"/>
      <w:ind w:firstLine="0"/>
      <w:jc w:val="center"/>
    </w:pPr>
    <w:rPr>
      <w:rFonts w:cs="Times New Roman"/>
      <w:b/>
      <w:color w:val="auto"/>
      <w:szCs w:val="20"/>
    </w:rPr>
  </w:style>
  <w:style w:type="paragraph" w:customStyle="1" w:styleId="3448">
    <w:name w:val="正文格式＝212"/>
    <w:basedOn w:val="403"/>
    <w:next w:val="403"/>
    <w:autoRedefine/>
    <w:qFormat/>
    <w:uiPriority w:val="0"/>
    <w:rPr>
      <w:rFonts w:hAnsi="宋体" w:cs="Times New Roman"/>
    </w:rPr>
  </w:style>
  <w:style w:type="paragraph" w:customStyle="1" w:styleId="3449">
    <w:name w:val="Char212"/>
    <w:basedOn w:val="1"/>
    <w:autoRedefine/>
    <w:qFormat/>
    <w:uiPriority w:val="0"/>
    <w:pPr>
      <w:ind w:left="-48"/>
    </w:pPr>
  </w:style>
  <w:style w:type="paragraph" w:customStyle="1" w:styleId="3450">
    <w:name w:val="表内文字小232"/>
    <w:basedOn w:val="1"/>
    <w:autoRedefine/>
    <w:qFormat/>
    <w:uiPriority w:val="0"/>
    <w:pPr>
      <w:adjustRightInd w:val="0"/>
      <w:snapToGrid w:val="0"/>
      <w:jc w:val="center"/>
    </w:pPr>
    <w:rPr>
      <w:rFonts w:ascii="宋体" w:hAnsi="Times"/>
      <w:bCs/>
      <w:color w:val="000000"/>
      <w:szCs w:val="20"/>
    </w:rPr>
  </w:style>
  <w:style w:type="paragraph" w:customStyle="1" w:styleId="3451">
    <w:name w:val="表内5322"/>
    <w:basedOn w:val="1"/>
    <w:autoRedefine/>
    <w:qFormat/>
    <w:uiPriority w:val="0"/>
    <w:pPr>
      <w:adjustRightInd w:val="0"/>
      <w:snapToGrid w:val="0"/>
      <w:spacing w:line="300" w:lineRule="auto"/>
      <w:jc w:val="left"/>
    </w:pPr>
    <w:rPr>
      <w:rFonts w:ascii="宋体"/>
      <w:szCs w:val="20"/>
    </w:rPr>
  </w:style>
  <w:style w:type="paragraph" w:customStyle="1" w:styleId="3452">
    <w:name w:val="正文格式312"/>
    <w:basedOn w:val="1"/>
    <w:autoRedefine/>
    <w:qFormat/>
    <w:uiPriority w:val="0"/>
    <w:pPr>
      <w:spacing w:line="360" w:lineRule="auto"/>
      <w:ind w:firstLine="482"/>
    </w:pPr>
    <w:rPr>
      <w:rFonts w:ascii="宋体" w:hAnsi="宋体"/>
      <w:sz w:val="24"/>
    </w:rPr>
  </w:style>
  <w:style w:type="paragraph" w:customStyle="1" w:styleId="3453">
    <w:name w:val="Char222"/>
    <w:basedOn w:val="1"/>
    <w:autoRedefine/>
    <w:qFormat/>
    <w:uiPriority w:val="0"/>
    <w:pPr>
      <w:adjustRightInd w:val="0"/>
      <w:snapToGrid w:val="0"/>
      <w:spacing w:beforeLines="50" w:line="360" w:lineRule="auto"/>
    </w:pPr>
    <w:rPr>
      <w:rFonts w:ascii="黑体" w:eastAsia="黑体"/>
      <w:sz w:val="32"/>
      <w:szCs w:val="32"/>
    </w:rPr>
  </w:style>
  <w:style w:type="character" w:customStyle="1" w:styleId="3454">
    <w:name w:val="题注 Char212"/>
    <w:autoRedefine/>
    <w:qFormat/>
    <w:uiPriority w:val="0"/>
    <w:rPr>
      <w:rFonts w:ascii="黑体" w:hAnsi="Arial" w:eastAsia="黑体" w:cs="Arial"/>
      <w:b/>
      <w:kern w:val="2"/>
      <w:sz w:val="24"/>
      <w:szCs w:val="24"/>
      <w:lang w:val="en-US" w:eastAsia="zh-CN" w:bidi="ar-SA"/>
    </w:rPr>
  </w:style>
  <w:style w:type="paragraph" w:customStyle="1" w:styleId="3455">
    <w:name w:val="图题312"/>
    <w:basedOn w:val="403"/>
    <w:next w:val="403"/>
    <w:autoRedefine/>
    <w:qFormat/>
    <w:uiPriority w:val="0"/>
    <w:pPr>
      <w:ind w:firstLine="0"/>
      <w:jc w:val="center"/>
    </w:pPr>
    <w:rPr>
      <w:rFonts w:ascii="黑体" w:hAnsi="宋体" w:eastAsia="黑体"/>
      <w:b/>
      <w:bCs/>
    </w:rPr>
  </w:style>
  <w:style w:type="paragraph" w:customStyle="1" w:styleId="3456">
    <w:name w:val="表格内字体312"/>
    <w:basedOn w:val="403"/>
    <w:next w:val="403"/>
    <w:autoRedefine/>
    <w:qFormat/>
    <w:uiPriority w:val="0"/>
    <w:pPr>
      <w:spacing w:line="240" w:lineRule="auto"/>
      <w:ind w:firstLine="0"/>
      <w:jc w:val="center"/>
    </w:pPr>
    <w:rPr>
      <w:rFonts w:hAnsi="宋体" w:cs="Times New Roman"/>
      <w:sz w:val="21"/>
    </w:rPr>
  </w:style>
  <w:style w:type="paragraph" w:customStyle="1" w:styleId="3457">
    <w:name w:val="表内541212"/>
    <w:basedOn w:val="1"/>
    <w:autoRedefine/>
    <w:qFormat/>
    <w:uiPriority w:val="0"/>
    <w:pPr>
      <w:adjustRightInd w:val="0"/>
      <w:snapToGrid w:val="0"/>
      <w:spacing w:line="300" w:lineRule="auto"/>
      <w:jc w:val="center"/>
    </w:pPr>
    <w:rPr>
      <w:rFonts w:ascii="宋体" w:hAnsi="宋体" w:cs="宋体"/>
      <w:szCs w:val="20"/>
    </w:rPr>
  </w:style>
  <w:style w:type="paragraph" w:customStyle="1" w:styleId="3458">
    <w:name w:val="表内文字小21212"/>
    <w:basedOn w:val="1"/>
    <w:autoRedefine/>
    <w:qFormat/>
    <w:uiPriority w:val="0"/>
    <w:pPr>
      <w:adjustRightInd w:val="0"/>
      <w:snapToGrid w:val="0"/>
      <w:jc w:val="center"/>
    </w:pPr>
    <w:rPr>
      <w:rFonts w:ascii="宋体" w:hAnsi="Times"/>
      <w:bCs/>
      <w:color w:val="000000"/>
      <w:szCs w:val="20"/>
    </w:rPr>
  </w:style>
  <w:style w:type="paragraph" w:customStyle="1" w:styleId="3459">
    <w:name w:val="表题31212"/>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460">
    <w:name w:val="Char Char Char Char Char Char Char42"/>
    <w:basedOn w:val="1"/>
    <w:autoRedefine/>
    <w:qFormat/>
    <w:uiPriority w:val="0"/>
  </w:style>
  <w:style w:type="paragraph" w:customStyle="1" w:styleId="3461">
    <w:name w:val="标题431212"/>
    <w:basedOn w:val="1"/>
    <w:autoRedefine/>
    <w:qFormat/>
    <w:uiPriority w:val="0"/>
    <w:pPr>
      <w:adjustRightInd w:val="0"/>
      <w:snapToGrid w:val="0"/>
      <w:spacing w:line="480" w:lineRule="exact"/>
      <w:jc w:val="center"/>
    </w:pPr>
    <w:rPr>
      <w:rFonts w:ascii="宋体" w:hAnsi="宋体" w:cs="宋体"/>
      <w:sz w:val="24"/>
    </w:rPr>
  </w:style>
  <w:style w:type="paragraph" w:customStyle="1" w:styleId="3462">
    <w:name w:val="燕山正文112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463">
    <w:name w:val="默认段落字体 Para Char Char Char Char212"/>
    <w:basedOn w:val="1"/>
    <w:autoRedefine/>
    <w:qFormat/>
    <w:uiPriority w:val="0"/>
  </w:style>
  <w:style w:type="paragraph" w:customStyle="1" w:styleId="3464">
    <w:name w:val="附件212"/>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3465">
    <w:name w:val="黑体三号212"/>
    <w:basedOn w:val="403"/>
    <w:autoRedefine/>
    <w:qFormat/>
    <w:uiPriority w:val="0"/>
    <w:pPr>
      <w:jc w:val="center"/>
    </w:pPr>
    <w:rPr>
      <w:rFonts w:ascii="黑体" w:hAnsi="宋体" w:eastAsia="黑体"/>
      <w:b/>
      <w:bCs/>
      <w:sz w:val="32"/>
      <w:szCs w:val="20"/>
    </w:rPr>
  </w:style>
  <w:style w:type="paragraph" w:customStyle="1" w:styleId="3466">
    <w:name w:val="表212"/>
    <w:basedOn w:val="1"/>
    <w:autoRedefine/>
    <w:qFormat/>
    <w:uiPriority w:val="0"/>
    <w:pPr>
      <w:adjustRightInd w:val="0"/>
      <w:snapToGrid w:val="0"/>
      <w:jc w:val="center"/>
    </w:pPr>
    <w:rPr>
      <w:rFonts w:eastAsia="仿宋_GB2312"/>
      <w:sz w:val="24"/>
    </w:rPr>
  </w:style>
  <w:style w:type="paragraph" w:customStyle="1" w:styleId="3467">
    <w:name w:val="表题1212"/>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3468">
    <w:name w:val="燕山正文2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469">
    <w:name w:val="正文修改212"/>
    <w:basedOn w:val="2088"/>
    <w:autoRedefine/>
    <w:qFormat/>
    <w:uiPriority w:val="0"/>
    <w:rPr>
      <w:rFonts w:hAnsi="宋体"/>
      <w:color w:val="000000"/>
    </w:rPr>
  </w:style>
  <w:style w:type="character" w:customStyle="1" w:styleId="3470">
    <w:name w:val="正文修改 Char1212"/>
    <w:autoRedefine/>
    <w:qFormat/>
    <w:uiPriority w:val="0"/>
    <w:rPr>
      <w:rFonts w:ascii="宋体" w:hAnsi="宋体" w:eastAsia="宋体" w:cs="宋体"/>
      <w:color w:val="000000"/>
      <w:sz w:val="24"/>
      <w:szCs w:val="24"/>
    </w:rPr>
  </w:style>
  <w:style w:type="paragraph" w:customStyle="1" w:styleId="3471">
    <w:name w:val="表中文字212"/>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472">
    <w:name w:val="表文字5212"/>
    <w:basedOn w:val="1"/>
    <w:autoRedefine/>
    <w:qFormat/>
    <w:uiPriority w:val="0"/>
    <w:pPr>
      <w:adjustRightInd w:val="0"/>
      <w:jc w:val="left"/>
      <w:textAlignment w:val="baseline"/>
    </w:pPr>
    <w:rPr>
      <w:rFonts w:ascii="宋体"/>
      <w:kern w:val="0"/>
      <w:szCs w:val="20"/>
    </w:rPr>
  </w:style>
  <w:style w:type="paragraph" w:customStyle="1" w:styleId="3473">
    <w:name w:val="表内文字小31212"/>
    <w:basedOn w:val="1"/>
    <w:autoRedefine/>
    <w:qFormat/>
    <w:uiPriority w:val="0"/>
    <w:pPr>
      <w:adjustRightInd w:val="0"/>
      <w:snapToGrid w:val="0"/>
      <w:jc w:val="center"/>
    </w:pPr>
    <w:rPr>
      <w:rFonts w:ascii="宋体" w:hAnsi="Times" w:cs="宋体"/>
      <w:bCs/>
      <w:color w:val="003366"/>
      <w:szCs w:val="20"/>
    </w:rPr>
  </w:style>
  <w:style w:type="paragraph" w:customStyle="1" w:styleId="3474">
    <w:name w:val="样式1212"/>
    <w:basedOn w:val="2137"/>
    <w:autoRedefine/>
    <w:qFormat/>
    <w:uiPriority w:val="0"/>
    <w:pPr>
      <w:spacing w:line="240" w:lineRule="auto"/>
      <w:ind w:firstLine="0"/>
      <w:jc w:val="center"/>
    </w:pPr>
    <w:rPr>
      <w:rFonts w:cs="Times New Roman"/>
      <w:b/>
      <w:color w:val="auto"/>
      <w:szCs w:val="20"/>
    </w:rPr>
  </w:style>
  <w:style w:type="paragraph" w:customStyle="1" w:styleId="3475">
    <w:name w:val="正文格式＝312"/>
    <w:basedOn w:val="403"/>
    <w:next w:val="403"/>
    <w:autoRedefine/>
    <w:qFormat/>
    <w:uiPriority w:val="0"/>
    <w:rPr>
      <w:rFonts w:hAnsi="宋体" w:cs="Times New Roman"/>
    </w:rPr>
  </w:style>
  <w:style w:type="paragraph" w:customStyle="1" w:styleId="3476">
    <w:name w:val="Char312"/>
    <w:basedOn w:val="1"/>
    <w:autoRedefine/>
    <w:qFormat/>
    <w:uiPriority w:val="0"/>
    <w:pPr>
      <w:ind w:left="-48"/>
    </w:pPr>
  </w:style>
  <w:style w:type="paragraph" w:customStyle="1" w:styleId="3477">
    <w:name w:val="表内文字小2212"/>
    <w:basedOn w:val="1"/>
    <w:autoRedefine/>
    <w:qFormat/>
    <w:uiPriority w:val="0"/>
    <w:pPr>
      <w:adjustRightInd w:val="0"/>
      <w:snapToGrid w:val="0"/>
      <w:jc w:val="center"/>
    </w:pPr>
    <w:rPr>
      <w:rFonts w:ascii="宋体" w:hAnsi="Times"/>
      <w:bCs/>
      <w:color w:val="000000"/>
      <w:szCs w:val="20"/>
    </w:rPr>
  </w:style>
  <w:style w:type="paragraph" w:customStyle="1" w:styleId="3478">
    <w:name w:val="表内53112"/>
    <w:basedOn w:val="1"/>
    <w:autoRedefine/>
    <w:qFormat/>
    <w:uiPriority w:val="0"/>
    <w:pPr>
      <w:adjustRightInd w:val="0"/>
      <w:snapToGrid w:val="0"/>
      <w:spacing w:line="300" w:lineRule="auto"/>
      <w:jc w:val="left"/>
    </w:pPr>
    <w:rPr>
      <w:rFonts w:ascii="宋体"/>
      <w:szCs w:val="20"/>
    </w:rPr>
  </w:style>
  <w:style w:type="paragraph" w:customStyle="1" w:styleId="3479">
    <w:name w:val="正文格式2112"/>
    <w:basedOn w:val="1"/>
    <w:autoRedefine/>
    <w:qFormat/>
    <w:uiPriority w:val="0"/>
    <w:pPr>
      <w:spacing w:line="360" w:lineRule="auto"/>
      <w:ind w:firstLine="482"/>
    </w:pPr>
    <w:rPr>
      <w:rFonts w:ascii="宋体" w:hAnsi="宋体"/>
      <w:sz w:val="24"/>
    </w:rPr>
  </w:style>
  <w:style w:type="paragraph" w:customStyle="1" w:styleId="3480">
    <w:name w:val="图题2112"/>
    <w:basedOn w:val="403"/>
    <w:next w:val="403"/>
    <w:autoRedefine/>
    <w:qFormat/>
    <w:uiPriority w:val="0"/>
    <w:pPr>
      <w:ind w:firstLine="0"/>
      <w:jc w:val="center"/>
    </w:pPr>
    <w:rPr>
      <w:rFonts w:ascii="黑体" w:hAnsi="宋体" w:eastAsia="黑体"/>
      <w:b/>
      <w:bCs/>
    </w:rPr>
  </w:style>
  <w:style w:type="paragraph" w:customStyle="1" w:styleId="3481">
    <w:name w:val="表格内字体2112"/>
    <w:basedOn w:val="403"/>
    <w:next w:val="403"/>
    <w:autoRedefine/>
    <w:qFormat/>
    <w:uiPriority w:val="0"/>
    <w:pPr>
      <w:spacing w:line="240" w:lineRule="auto"/>
      <w:ind w:firstLine="0"/>
      <w:jc w:val="center"/>
    </w:pPr>
    <w:rPr>
      <w:rFonts w:hAnsi="宋体" w:cs="Times New Roman"/>
      <w:sz w:val="21"/>
    </w:rPr>
  </w:style>
  <w:style w:type="paragraph" w:customStyle="1" w:styleId="3482">
    <w:name w:val="表题11112"/>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paragraph" w:customStyle="1" w:styleId="3483">
    <w:name w:val="表中文字11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484">
    <w:name w:val="表文字51112"/>
    <w:basedOn w:val="1"/>
    <w:autoRedefine/>
    <w:qFormat/>
    <w:uiPriority w:val="0"/>
    <w:pPr>
      <w:adjustRightInd w:val="0"/>
      <w:jc w:val="left"/>
      <w:textAlignment w:val="baseline"/>
    </w:pPr>
    <w:rPr>
      <w:rFonts w:ascii="宋体"/>
      <w:kern w:val="0"/>
      <w:szCs w:val="20"/>
    </w:rPr>
  </w:style>
  <w:style w:type="paragraph" w:customStyle="1" w:styleId="3485">
    <w:name w:val="正文格式412"/>
    <w:basedOn w:val="1"/>
    <w:autoRedefine/>
    <w:qFormat/>
    <w:uiPriority w:val="0"/>
    <w:pPr>
      <w:spacing w:line="360" w:lineRule="auto"/>
      <w:ind w:firstLine="482"/>
    </w:pPr>
    <w:rPr>
      <w:rFonts w:ascii="宋体" w:hAnsi="宋体"/>
      <w:sz w:val="24"/>
    </w:rPr>
  </w:style>
  <w:style w:type="paragraph" w:customStyle="1" w:styleId="3486">
    <w:name w:val="图题412"/>
    <w:basedOn w:val="403"/>
    <w:next w:val="403"/>
    <w:autoRedefine/>
    <w:qFormat/>
    <w:uiPriority w:val="0"/>
    <w:pPr>
      <w:ind w:firstLine="0"/>
      <w:jc w:val="center"/>
    </w:pPr>
    <w:rPr>
      <w:rFonts w:ascii="黑体" w:hAnsi="宋体" w:eastAsia="黑体"/>
      <w:b/>
      <w:bCs/>
    </w:rPr>
  </w:style>
  <w:style w:type="paragraph" w:customStyle="1" w:styleId="3487">
    <w:name w:val="表格内字体412"/>
    <w:basedOn w:val="403"/>
    <w:next w:val="403"/>
    <w:autoRedefine/>
    <w:qFormat/>
    <w:uiPriority w:val="0"/>
    <w:pPr>
      <w:spacing w:line="240" w:lineRule="auto"/>
      <w:ind w:firstLine="0"/>
      <w:jc w:val="center"/>
    </w:pPr>
    <w:rPr>
      <w:rFonts w:hAnsi="宋体" w:cs="Times New Roman"/>
      <w:sz w:val="21"/>
    </w:rPr>
  </w:style>
  <w:style w:type="paragraph" w:customStyle="1" w:styleId="3488">
    <w:name w:val="Char412"/>
    <w:basedOn w:val="1"/>
    <w:autoRedefine/>
    <w:qFormat/>
    <w:uiPriority w:val="0"/>
    <w:pPr>
      <w:ind w:left="-48"/>
    </w:pPr>
  </w:style>
  <w:style w:type="paragraph" w:customStyle="1" w:styleId="3489">
    <w:name w:val="正文格式＝412"/>
    <w:basedOn w:val="403"/>
    <w:next w:val="403"/>
    <w:autoRedefine/>
    <w:qFormat/>
    <w:uiPriority w:val="0"/>
    <w:rPr>
      <w:rFonts w:hAnsi="宋体" w:cs="Times New Roman"/>
    </w:rPr>
  </w:style>
  <w:style w:type="paragraph" w:customStyle="1" w:styleId="3490">
    <w:name w:val="表题1312"/>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paragraph" w:customStyle="1" w:styleId="3491">
    <w:name w:val="默认段落字体 Para Char1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492">
    <w:name w:val="23-47表名12"/>
    <w:basedOn w:val="1"/>
    <w:autoRedefine/>
    <w:qFormat/>
    <w:uiPriority w:val="0"/>
    <w:pPr>
      <w:spacing w:afterLines="50" w:line="440" w:lineRule="exact"/>
      <w:jc w:val="center"/>
    </w:pPr>
    <w:rPr>
      <w:rFonts w:ascii="宋体" w:hAnsi="宋体"/>
      <w:b/>
      <w:sz w:val="24"/>
    </w:rPr>
  </w:style>
  <w:style w:type="paragraph" w:customStyle="1" w:styleId="3493">
    <w:name w:val="xl2412"/>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494">
    <w:name w:val="Char Char Char Char Char Char Char122"/>
    <w:basedOn w:val="1"/>
    <w:autoRedefine/>
    <w:qFormat/>
    <w:uiPriority w:val="0"/>
    <w:rPr>
      <w:szCs w:val="20"/>
    </w:rPr>
  </w:style>
  <w:style w:type="paragraph" w:customStyle="1" w:styleId="3495">
    <w:name w:val="Char512"/>
    <w:basedOn w:val="1"/>
    <w:autoRedefine/>
    <w:qFormat/>
    <w:uiPriority w:val="0"/>
    <w:pPr>
      <w:adjustRightInd w:val="0"/>
      <w:snapToGrid w:val="0"/>
      <w:ind w:left="-45"/>
    </w:pPr>
  </w:style>
  <w:style w:type="paragraph" w:customStyle="1" w:styleId="3496">
    <w:name w:val="燕山正文1131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497">
    <w:name w:val="正文格式512"/>
    <w:basedOn w:val="1"/>
    <w:autoRedefine/>
    <w:qFormat/>
    <w:uiPriority w:val="0"/>
    <w:pPr>
      <w:spacing w:line="360" w:lineRule="auto"/>
      <w:ind w:firstLine="482"/>
    </w:pPr>
    <w:rPr>
      <w:rFonts w:ascii="宋体" w:hAnsi="宋体"/>
      <w:sz w:val="24"/>
    </w:rPr>
  </w:style>
  <w:style w:type="paragraph" w:customStyle="1" w:styleId="3498">
    <w:name w:val="Char322"/>
    <w:basedOn w:val="1"/>
    <w:autoRedefine/>
    <w:qFormat/>
    <w:uiPriority w:val="0"/>
    <w:pPr>
      <w:ind w:left="-48"/>
    </w:pPr>
  </w:style>
  <w:style w:type="character" w:customStyle="1" w:styleId="3499">
    <w:name w:val="题注 Char312"/>
    <w:autoRedefine/>
    <w:qFormat/>
    <w:uiPriority w:val="0"/>
    <w:rPr>
      <w:rFonts w:ascii="黑体" w:hAnsi="Arial" w:eastAsia="黑体" w:cs="Arial"/>
      <w:b/>
      <w:kern w:val="2"/>
      <w:sz w:val="24"/>
      <w:szCs w:val="24"/>
      <w:lang w:val="en-US" w:eastAsia="zh-CN" w:bidi="ar-SA"/>
    </w:rPr>
  </w:style>
  <w:style w:type="paragraph" w:customStyle="1" w:styleId="3500">
    <w:name w:val="图题512"/>
    <w:basedOn w:val="403"/>
    <w:next w:val="403"/>
    <w:autoRedefine/>
    <w:qFormat/>
    <w:uiPriority w:val="0"/>
    <w:pPr>
      <w:ind w:firstLine="0"/>
      <w:jc w:val="center"/>
    </w:pPr>
    <w:rPr>
      <w:rFonts w:ascii="黑体" w:hAnsi="宋体" w:eastAsia="黑体"/>
      <w:b/>
      <w:bCs/>
    </w:rPr>
  </w:style>
  <w:style w:type="paragraph" w:customStyle="1" w:styleId="3501">
    <w:name w:val="表格内字体512"/>
    <w:basedOn w:val="403"/>
    <w:next w:val="403"/>
    <w:autoRedefine/>
    <w:qFormat/>
    <w:uiPriority w:val="0"/>
    <w:pPr>
      <w:adjustRightInd w:val="0"/>
      <w:snapToGrid w:val="0"/>
      <w:spacing w:line="240" w:lineRule="auto"/>
      <w:ind w:firstLine="0"/>
    </w:pPr>
    <w:rPr>
      <w:rFonts w:hAnsi="宋体" w:cs="Times New Roman"/>
      <w:sz w:val="21"/>
    </w:rPr>
  </w:style>
  <w:style w:type="paragraph" w:customStyle="1" w:styleId="3502">
    <w:name w:val="表312"/>
    <w:basedOn w:val="1"/>
    <w:autoRedefine/>
    <w:qFormat/>
    <w:uiPriority w:val="0"/>
    <w:pPr>
      <w:adjustRightInd w:val="0"/>
      <w:snapToGrid w:val="0"/>
      <w:jc w:val="center"/>
    </w:pPr>
    <w:rPr>
      <w:rFonts w:eastAsia="仿宋_GB2312"/>
      <w:sz w:val="24"/>
    </w:rPr>
  </w:style>
  <w:style w:type="paragraph" w:customStyle="1" w:styleId="3503">
    <w:name w:val="正文.1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04">
    <w:name w:val="文本框112"/>
    <w:basedOn w:val="1"/>
    <w:autoRedefine/>
    <w:qFormat/>
    <w:uiPriority w:val="0"/>
    <w:pPr>
      <w:adjustRightInd w:val="0"/>
      <w:snapToGrid w:val="0"/>
      <w:spacing w:after="6"/>
      <w:jc w:val="center"/>
    </w:pPr>
    <w:rPr>
      <w:rFonts w:eastAsia="仿宋_GB2312"/>
    </w:rPr>
  </w:style>
  <w:style w:type="paragraph" w:customStyle="1" w:styleId="3505">
    <w:name w:val="表内宋511112"/>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3506">
    <w:name w:val="表内文字小31312"/>
    <w:basedOn w:val="1"/>
    <w:autoRedefine/>
    <w:qFormat/>
    <w:uiPriority w:val="0"/>
    <w:pPr>
      <w:adjustRightInd w:val="0"/>
      <w:snapToGrid w:val="0"/>
      <w:jc w:val="center"/>
    </w:pPr>
    <w:rPr>
      <w:rFonts w:ascii="宋体" w:hAnsi="Times" w:cs="宋体"/>
      <w:bCs/>
      <w:color w:val="003366"/>
      <w:szCs w:val="20"/>
    </w:rPr>
  </w:style>
  <w:style w:type="paragraph" w:customStyle="1" w:styleId="3507">
    <w:name w:val="表文字5312"/>
    <w:basedOn w:val="1"/>
    <w:autoRedefine/>
    <w:qFormat/>
    <w:uiPriority w:val="0"/>
    <w:pPr>
      <w:adjustRightInd w:val="0"/>
      <w:jc w:val="left"/>
      <w:textAlignment w:val="baseline"/>
    </w:pPr>
    <w:rPr>
      <w:rFonts w:ascii="宋体"/>
      <w:kern w:val="0"/>
      <w:szCs w:val="20"/>
    </w:rPr>
  </w:style>
  <w:style w:type="paragraph" w:customStyle="1" w:styleId="3508">
    <w:name w:val="正文2112"/>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509">
    <w:name w:val="Char Char Char Char Char Char Char212"/>
    <w:basedOn w:val="1"/>
    <w:autoRedefine/>
    <w:qFormat/>
    <w:uiPriority w:val="0"/>
  </w:style>
  <w:style w:type="paragraph" w:customStyle="1" w:styleId="3510">
    <w:name w:val="表题31312"/>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511">
    <w:name w:val="表内文字小21312"/>
    <w:basedOn w:val="1"/>
    <w:autoRedefine/>
    <w:qFormat/>
    <w:uiPriority w:val="0"/>
    <w:pPr>
      <w:adjustRightInd w:val="0"/>
      <w:snapToGrid w:val="0"/>
      <w:jc w:val="center"/>
      <w:textAlignment w:val="baseline"/>
    </w:pPr>
    <w:rPr>
      <w:rFonts w:ascii="宋体" w:hAnsi="Times"/>
      <w:bCs/>
      <w:color w:val="000000"/>
      <w:szCs w:val="20"/>
    </w:rPr>
  </w:style>
  <w:style w:type="paragraph" w:customStyle="1" w:styleId="3512">
    <w:name w:val="燕山正文3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513">
    <w:name w:val="正文修改312"/>
    <w:basedOn w:val="2088"/>
    <w:autoRedefine/>
    <w:qFormat/>
    <w:uiPriority w:val="0"/>
    <w:rPr>
      <w:rFonts w:hAnsi="宋体"/>
      <w:color w:val="000000"/>
    </w:rPr>
  </w:style>
  <w:style w:type="character" w:customStyle="1" w:styleId="3514">
    <w:name w:val="正文修改 Char1312"/>
    <w:autoRedefine/>
    <w:qFormat/>
    <w:uiPriority w:val="0"/>
    <w:rPr>
      <w:rFonts w:ascii="宋体" w:hAnsi="宋体" w:eastAsia="宋体" w:cs="宋体"/>
      <w:color w:val="000000"/>
      <w:sz w:val="24"/>
      <w:szCs w:val="24"/>
    </w:rPr>
  </w:style>
  <w:style w:type="paragraph" w:customStyle="1" w:styleId="3515">
    <w:name w:val="表题1422"/>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516">
    <w:name w:val="表题1 Char412"/>
    <w:autoRedefine/>
    <w:qFormat/>
    <w:uiPriority w:val="0"/>
    <w:rPr>
      <w:rFonts w:ascii="黑体" w:hAnsi="Arial" w:eastAsia="黑体" w:cs="Arial"/>
      <w:b/>
      <w:kern w:val="2"/>
      <w:sz w:val="24"/>
      <w:szCs w:val="24"/>
      <w:lang w:val="en-US" w:eastAsia="zh-CN" w:bidi="ar-SA"/>
    </w:rPr>
  </w:style>
  <w:style w:type="paragraph" w:customStyle="1" w:styleId="3517">
    <w:name w:val="表中文字3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518">
    <w:name w:val="黑体三号312"/>
    <w:basedOn w:val="403"/>
    <w:autoRedefine/>
    <w:qFormat/>
    <w:uiPriority w:val="0"/>
    <w:pPr>
      <w:jc w:val="center"/>
    </w:pPr>
    <w:rPr>
      <w:rFonts w:ascii="黑体" w:hAnsi="宋体" w:eastAsia="黑体"/>
      <w:b/>
      <w:bCs/>
      <w:sz w:val="32"/>
      <w:szCs w:val="20"/>
    </w:rPr>
  </w:style>
  <w:style w:type="paragraph" w:customStyle="1" w:styleId="3519">
    <w:name w:val="默认段落字体 Para Char Char Char Char312"/>
    <w:basedOn w:val="1"/>
    <w:autoRedefine/>
    <w:qFormat/>
    <w:uiPriority w:val="0"/>
  </w:style>
  <w:style w:type="paragraph" w:customStyle="1" w:styleId="3520">
    <w:name w:val="表内541312"/>
    <w:basedOn w:val="1"/>
    <w:autoRedefine/>
    <w:qFormat/>
    <w:uiPriority w:val="0"/>
    <w:pPr>
      <w:adjustRightInd w:val="0"/>
      <w:snapToGrid w:val="0"/>
      <w:spacing w:line="300" w:lineRule="auto"/>
      <w:jc w:val="center"/>
    </w:pPr>
    <w:rPr>
      <w:rFonts w:ascii="宋体" w:hAnsi="宋体" w:cs="宋体"/>
      <w:szCs w:val="20"/>
    </w:rPr>
  </w:style>
  <w:style w:type="paragraph" w:customStyle="1" w:styleId="3521">
    <w:name w:val="标题422"/>
    <w:basedOn w:val="1"/>
    <w:autoRedefine/>
    <w:qFormat/>
    <w:uiPriority w:val="0"/>
    <w:pPr>
      <w:adjustRightInd w:val="0"/>
      <w:snapToGrid w:val="0"/>
      <w:spacing w:line="300" w:lineRule="auto"/>
      <w:jc w:val="left"/>
    </w:pPr>
    <w:rPr>
      <w:rFonts w:ascii="黑体" w:eastAsia="黑体"/>
      <w:bCs/>
      <w:sz w:val="24"/>
    </w:rPr>
  </w:style>
  <w:style w:type="paragraph" w:customStyle="1" w:styleId="3522">
    <w:name w:val="Char612"/>
    <w:basedOn w:val="1"/>
    <w:autoRedefine/>
    <w:qFormat/>
    <w:uiPriority w:val="0"/>
    <w:pPr>
      <w:adjustRightInd w:val="0"/>
      <w:snapToGrid w:val="0"/>
      <w:spacing w:beforeLines="50" w:line="360" w:lineRule="auto"/>
    </w:pPr>
    <w:rPr>
      <w:rFonts w:ascii="黑体" w:eastAsia="黑体"/>
      <w:sz w:val="32"/>
      <w:szCs w:val="32"/>
    </w:rPr>
  </w:style>
  <w:style w:type="paragraph" w:customStyle="1" w:styleId="3523">
    <w:name w:val="表题21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524">
    <w:name w:val="表内宋5中111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525">
    <w:name w:val="表内宋5中122"/>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526">
    <w:name w:val="表内文字小1112"/>
    <w:basedOn w:val="1"/>
    <w:autoRedefine/>
    <w:qFormat/>
    <w:uiPriority w:val="0"/>
    <w:pPr>
      <w:adjustRightInd w:val="0"/>
      <w:snapToGrid w:val="0"/>
    </w:pPr>
    <w:rPr>
      <w:rFonts w:ascii="宋体" w:hAnsi="Times" w:cs="宋体"/>
      <w:szCs w:val="20"/>
    </w:rPr>
  </w:style>
  <w:style w:type="paragraph" w:customStyle="1" w:styleId="3527">
    <w:name w:val="标题41112"/>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528">
    <w:name w:val="表题14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529">
    <w:name w:val="表内文字小812"/>
    <w:basedOn w:val="1"/>
    <w:autoRedefine/>
    <w:qFormat/>
    <w:uiPriority w:val="0"/>
    <w:pPr>
      <w:adjustRightInd w:val="0"/>
      <w:snapToGrid w:val="0"/>
      <w:jc w:val="center"/>
    </w:pPr>
    <w:rPr>
      <w:rFonts w:ascii="宋体" w:hAnsi="Times" w:cs="宋体"/>
      <w:szCs w:val="20"/>
    </w:rPr>
  </w:style>
  <w:style w:type="paragraph" w:customStyle="1" w:styleId="3530">
    <w:name w:val="默认段落字体 Para Char2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531">
    <w:name w:val="Default12"/>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532">
    <w:name w:val="正文格式612"/>
    <w:basedOn w:val="1"/>
    <w:autoRedefine/>
    <w:qFormat/>
    <w:uiPriority w:val="0"/>
    <w:pPr>
      <w:spacing w:line="360" w:lineRule="auto"/>
      <w:ind w:firstLine="482"/>
    </w:pPr>
    <w:rPr>
      <w:rFonts w:ascii="宋体" w:hAnsi="宋体"/>
      <w:sz w:val="24"/>
    </w:rPr>
  </w:style>
  <w:style w:type="paragraph" w:customStyle="1" w:styleId="3533">
    <w:name w:val="正文格式＝512"/>
    <w:basedOn w:val="403"/>
    <w:next w:val="403"/>
    <w:autoRedefine/>
    <w:qFormat/>
    <w:uiPriority w:val="0"/>
    <w:rPr>
      <w:rFonts w:hAnsi="宋体" w:cs="Times New Roman"/>
    </w:rPr>
  </w:style>
  <w:style w:type="paragraph" w:customStyle="1" w:styleId="3534">
    <w:name w:val="附件312"/>
    <w:basedOn w:val="5"/>
    <w:next w:val="403"/>
    <w:autoRedefine/>
    <w:qFormat/>
    <w:uiPriority w:val="0"/>
    <w:pPr>
      <w:keepLines/>
      <w:overflowPunct/>
      <w:adjustRightInd w:val="0"/>
      <w:spacing w:before="0" w:after="0" w:line="360" w:lineRule="auto"/>
      <w:ind w:left="0" w:firstLine="0"/>
      <w:jc w:val="left"/>
    </w:pPr>
    <w:rPr>
      <w:rFonts w:ascii="黑体" w:hAnsi="宋体"/>
      <w:b w:val="0"/>
      <w:color w:val="auto"/>
      <w:sz w:val="32"/>
      <w:szCs w:val="32"/>
    </w:rPr>
  </w:style>
  <w:style w:type="paragraph" w:customStyle="1" w:styleId="3535">
    <w:name w:val="图题612"/>
    <w:basedOn w:val="403"/>
    <w:next w:val="403"/>
    <w:autoRedefine/>
    <w:qFormat/>
    <w:uiPriority w:val="0"/>
    <w:pPr>
      <w:ind w:firstLine="0"/>
      <w:jc w:val="center"/>
    </w:pPr>
    <w:rPr>
      <w:rFonts w:ascii="黑体" w:hAnsi="宋体" w:eastAsia="黑体"/>
      <w:b/>
      <w:bCs/>
      <w:kern w:val="0"/>
    </w:rPr>
  </w:style>
  <w:style w:type="paragraph" w:customStyle="1" w:styleId="3536">
    <w:name w:val="表格内字体612"/>
    <w:basedOn w:val="403"/>
    <w:next w:val="403"/>
    <w:autoRedefine/>
    <w:qFormat/>
    <w:uiPriority w:val="0"/>
    <w:pPr>
      <w:spacing w:line="240" w:lineRule="auto"/>
      <w:ind w:firstLine="0"/>
      <w:jc w:val="center"/>
    </w:pPr>
    <w:rPr>
      <w:rFonts w:hAnsi="宋体" w:cs="Times New Roman"/>
      <w:sz w:val="21"/>
    </w:rPr>
  </w:style>
  <w:style w:type="paragraph" w:customStyle="1" w:styleId="3537">
    <w:name w:val="黑体三号412"/>
    <w:basedOn w:val="403"/>
    <w:autoRedefine/>
    <w:qFormat/>
    <w:uiPriority w:val="0"/>
    <w:pPr>
      <w:jc w:val="center"/>
    </w:pPr>
    <w:rPr>
      <w:rFonts w:ascii="黑体" w:hAnsi="宋体" w:eastAsia="黑体"/>
      <w:b/>
      <w:bCs/>
      <w:sz w:val="32"/>
      <w:szCs w:val="20"/>
    </w:rPr>
  </w:style>
  <w:style w:type="paragraph" w:customStyle="1" w:styleId="3538">
    <w:name w:val="默认段落字体 Para Char Char Char Char412"/>
    <w:basedOn w:val="1"/>
    <w:autoRedefine/>
    <w:qFormat/>
    <w:uiPriority w:val="0"/>
  </w:style>
  <w:style w:type="paragraph" w:customStyle="1" w:styleId="3539">
    <w:name w:val="图表题12"/>
    <w:basedOn w:val="403"/>
    <w:next w:val="403"/>
    <w:autoRedefine/>
    <w:qFormat/>
    <w:uiPriority w:val="0"/>
    <w:pPr>
      <w:ind w:firstLine="0"/>
      <w:jc w:val="center"/>
    </w:pPr>
    <w:rPr>
      <w:rFonts w:ascii="黑体" w:hAnsi="宋体" w:eastAsia="黑体"/>
      <w:b/>
      <w:bCs/>
    </w:rPr>
  </w:style>
  <w:style w:type="character" w:customStyle="1" w:styleId="3540">
    <w:name w:val="图表题 Char12"/>
    <w:autoRedefine/>
    <w:qFormat/>
    <w:uiPriority w:val="0"/>
    <w:rPr>
      <w:rFonts w:ascii="黑体" w:eastAsia="黑体" w:cs="宋体"/>
      <w:b/>
      <w:bCs/>
      <w:kern w:val="2"/>
      <w:sz w:val="24"/>
      <w:szCs w:val="24"/>
      <w:lang w:val="en-US" w:eastAsia="zh-CN" w:bidi="ar-SA"/>
    </w:rPr>
  </w:style>
  <w:style w:type="paragraph" w:customStyle="1" w:styleId="3541">
    <w:name w:val="样式 表格内字体 +12"/>
    <w:basedOn w:val="2085"/>
    <w:autoRedefine/>
    <w:qFormat/>
    <w:uiPriority w:val="0"/>
    <w:pPr>
      <w:spacing w:line="280" w:lineRule="exact"/>
      <w:ind w:firstLine="36"/>
      <w:jc w:val="both"/>
    </w:pPr>
    <w:rPr>
      <w:kern w:val="0"/>
    </w:rPr>
  </w:style>
  <w:style w:type="character" w:customStyle="1" w:styleId="3542">
    <w:name w:val="样式 表格内字体 + Char12"/>
    <w:autoRedefine/>
    <w:qFormat/>
    <w:uiPriority w:val="0"/>
    <w:rPr>
      <w:rFonts w:ascii="宋体" w:hAnsi="宋体" w:eastAsia="宋体" w:cs="Times New Roman"/>
      <w:szCs w:val="24"/>
    </w:rPr>
  </w:style>
  <w:style w:type="paragraph" w:customStyle="1" w:styleId="3543">
    <w:name w:val="A正文1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544">
    <w:name w:val="图题注12"/>
    <w:basedOn w:val="24"/>
    <w:autoRedefine/>
    <w:qFormat/>
    <w:uiPriority w:val="0"/>
    <w:pPr>
      <w:keepNext w:val="0"/>
      <w:widowControl w:val="0"/>
      <w:adjustRightInd/>
      <w:snapToGrid/>
      <w:spacing w:line="240" w:lineRule="auto"/>
    </w:pPr>
    <w:rPr>
      <w:rFonts w:ascii="黑体" w:hAnsi="Arial" w:eastAsia="黑体" w:cs="宋体"/>
      <w:bCs/>
      <w:kern w:val="2"/>
      <w:sz w:val="24"/>
      <w:szCs w:val="24"/>
      <w:lang w:val="en-US"/>
    </w:rPr>
  </w:style>
  <w:style w:type="paragraph" w:customStyle="1" w:styleId="3545">
    <w:name w:val="Char712"/>
    <w:basedOn w:val="1"/>
    <w:autoRedefine/>
    <w:qFormat/>
    <w:uiPriority w:val="0"/>
    <w:pPr>
      <w:ind w:left="-48"/>
    </w:pPr>
  </w:style>
  <w:style w:type="paragraph" w:customStyle="1" w:styleId="3546">
    <w:name w:val="表格内字体1112"/>
    <w:basedOn w:val="403"/>
    <w:autoRedefine/>
    <w:qFormat/>
    <w:uiPriority w:val="0"/>
    <w:pPr>
      <w:spacing w:line="240" w:lineRule="auto"/>
      <w:ind w:firstLine="0"/>
      <w:jc w:val="center"/>
    </w:pPr>
    <w:rPr>
      <w:sz w:val="21"/>
      <w:szCs w:val="20"/>
    </w:rPr>
  </w:style>
  <w:style w:type="paragraph" w:customStyle="1" w:styleId="3547">
    <w:name w:val="Char Char2 Char Char Char Char32"/>
    <w:basedOn w:val="1"/>
    <w:autoRedefine/>
    <w:qFormat/>
    <w:uiPriority w:val="0"/>
  </w:style>
  <w:style w:type="paragraph" w:customStyle="1" w:styleId="3548">
    <w:name w:val="样式 正文缩进 + 宋体 黑色 首行缩进:  2 字符12"/>
    <w:basedOn w:val="8"/>
    <w:autoRedefine/>
    <w:qFormat/>
    <w:uiPriority w:val="0"/>
    <w:pPr>
      <w:spacing w:line="360" w:lineRule="auto"/>
      <w:ind w:firstLine="480"/>
      <w:jc w:val="left"/>
    </w:pPr>
    <w:rPr>
      <w:rFonts w:ascii="宋体" w:hAnsi="宋体" w:cs="宋体"/>
      <w:color w:val="FF00FF"/>
      <w:sz w:val="24"/>
    </w:rPr>
  </w:style>
  <w:style w:type="paragraph" w:customStyle="1" w:styleId="3549">
    <w:name w:val="环评正文12"/>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550">
    <w:name w:val="注释12"/>
    <w:basedOn w:val="403"/>
    <w:next w:val="2"/>
    <w:autoRedefine/>
    <w:qFormat/>
    <w:uiPriority w:val="0"/>
    <w:pPr>
      <w:spacing w:before="120" w:after="120" w:line="240" w:lineRule="auto"/>
      <w:ind w:firstLine="200" w:firstLineChars="200"/>
    </w:pPr>
    <w:rPr>
      <w:sz w:val="21"/>
      <w:szCs w:val="20"/>
    </w:rPr>
  </w:style>
  <w:style w:type="paragraph" w:customStyle="1" w:styleId="3551">
    <w:name w:val="样式412"/>
    <w:basedOn w:val="2"/>
    <w:autoRedefine/>
    <w:qFormat/>
    <w:uiPriority w:val="0"/>
    <w:pPr>
      <w:widowControl w:val="0"/>
      <w:tabs>
        <w:tab w:val="left" w:pos="1820"/>
      </w:tabs>
      <w:spacing w:before="0" w:after="0" w:line="240" w:lineRule="atLeast"/>
      <w:ind w:right="0"/>
      <w:jc w:val="center"/>
    </w:pPr>
    <w:rPr>
      <w:rFonts w:eastAsia="幼圆"/>
      <w:sz w:val="21"/>
    </w:rPr>
  </w:style>
  <w:style w:type="paragraph" w:customStyle="1" w:styleId="3552">
    <w:name w:val="标题4122"/>
    <w:basedOn w:val="9"/>
    <w:next w:val="1"/>
    <w:autoRedefine/>
    <w:qFormat/>
    <w:uiPriority w:val="0"/>
    <w:pPr>
      <w:spacing w:before="160" w:after="170" w:line="360" w:lineRule="auto"/>
    </w:pPr>
    <w:rPr>
      <w:rFonts w:ascii="黑体"/>
      <w:kern w:val="0"/>
      <w:sz w:val="24"/>
      <w:lang w:val="zh-CN"/>
    </w:rPr>
  </w:style>
  <w:style w:type="paragraph" w:customStyle="1" w:styleId="3553">
    <w:name w:val="表中文字412"/>
    <w:basedOn w:val="1"/>
    <w:autoRedefine/>
    <w:qFormat/>
    <w:uiPriority w:val="0"/>
    <w:pPr>
      <w:snapToGrid w:val="0"/>
      <w:spacing w:line="340" w:lineRule="exact"/>
      <w:ind w:firstLine="480" w:firstLineChars="200"/>
      <w:jc w:val="center"/>
    </w:pPr>
    <w:rPr>
      <w:rFonts w:ascii="Arial" w:hAnsi="Arial"/>
      <w:kern w:val="0"/>
      <w:sz w:val="20"/>
      <w:lang w:eastAsia="zh-TW"/>
    </w:rPr>
  </w:style>
  <w:style w:type="paragraph" w:customStyle="1" w:styleId="3554">
    <w:name w:val="样式 正文缩进 + 宋体 黑色12"/>
    <w:basedOn w:val="8"/>
    <w:autoRedefine/>
    <w:qFormat/>
    <w:uiPriority w:val="0"/>
    <w:pPr>
      <w:spacing w:line="360" w:lineRule="auto"/>
      <w:ind w:firstLine="200"/>
      <w:jc w:val="left"/>
    </w:pPr>
    <w:rPr>
      <w:rFonts w:ascii="宋体" w:hAnsi="宋体"/>
      <w:color w:val="000000"/>
      <w:sz w:val="24"/>
      <w:szCs w:val="24"/>
    </w:rPr>
  </w:style>
  <w:style w:type="paragraph" w:customStyle="1" w:styleId="3555">
    <w:name w:val="表内5112"/>
    <w:basedOn w:val="1"/>
    <w:autoRedefine/>
    <w:qFormat/>
    <w:uiPriority w:val="0"/>
    <w:pPr>
      <w:adjustRightInd w:val="0"/>
      <w:snapToGrid w:val="0"/>
      <w:jc w:val="center"/>
    </w:pPr>
    <w:rPr>
      <w:rFonts w:ascii="宋体" w:hAnsi="宋体"/>
      <w:kern w:val="0"/>
      <w:sz w:val="20"/>
      <w:szCs w:val="20"/>
    </w:rPr>
  </w:style>
  <w:style w:type="paragraph" w:customStyle="1" w:styleId="3556">
    <w:name w:val="样式 样式 宋体 + 首行缩进:  2 字符112"/>
    <w:basedOn w:val="1"/>
    <w:autoRedefine/>
    <w:qFormat/>
    <w:uiPriority w:val="0"/>
    <w:pPr>
      <w:spacing w:line="360" w:lineRule="auto"/>
      <w:ind w:firstLine="480" w:firstLineChars="200"/>
      <w:jc w:val="left"/>
    </w:pPr>
    <w:rPr>
      <w:rFonts w:ascii="宋体" w:cs="宋体"/>
      <w:sz w:val="24"/>
    </w:rPr>
  </w:style>
  <w:style w:type="paragraph" w:customStyle="1" w:styleId="3557">
    <w:name w:val="表内宋5中212"/>
    <w:basedOn w:val="1"/>
    <w:autoRedefine/>
    <w:qFormat/>
    <w:uiPriority w:val="0"/>
    <w:pPr>
      <w:adjustRightInd w:val="0"/>
      <w:snapToGrid w:val="0"/>
      <w:jc w:val="center"/>
      <w:textAlignment w:val="baseline"/>
    </w:pPr>
    <w:rPr>
      <w:rFonts w:ascii="宋体" w:hAnsi="宋体"/>
      <w:kern w:val="0"/>
      <w:szCs w:val="20"/>
    </w:rPr>
  </w:style>
  <w:style w:type="paragraph" w:customStyle="1" w:styleId="3558">
    <w:name w:val="xl6312"/>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559">
    <w:name w:val="标准12"/>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3560">
    <w:name w:val="Fax Header12"/>
    <w:basedOn w:val="1"/>
    <w:autoRedefine/>
    <w:qFormat/>
    <w:uiPriority w:val="0"/>
    <w:pPr>
      <w:widowControl/>
      <w:spacing w:before="240" w:after="60"/>
      <w:jc w:val="left"/>
    </w:pPr>
    <w:rPr>
      <w:kern w:val="0"/>
      <w:sz w:val="20"/>
      <w:szCs w:val="20"/>
    </w:rPr>
  </w:style>
  <w:style w:type="paragraph" w:customStyle="1" w:styleId="3561">
    <w:name w:val="样式 表格内字体1 +12"/>
    <w:basedOn w:val="2173"/>
    <w:next w:val="2085"/>
    <w:autoRedefine/>
    <w:qFormat/>
    <w:uiPriority w:val="0"/>
    <w:rPr>
      <w:rFonts w:hAnsi="Times New Roman" w:cs="宋体"/>
      <w:szCs w:val="20"/>
    </w:rPr>
  </w:style>
  <w:style w:type="paragraph" w:customStyle="1" w:styleId="3562">
    <w:name w:val="默认段落字体 Para Char312"/>
    <w:basedOn w:val="1"/>
    <w:autoRedefine/>
    <w:qFormat/>
    <w:uiPriority w:val="0"/>
    <w:pPr>
      <w:spacing w:line="360" w:lineRule="auto"/>
      <w:ind w:firstLine="200" w:firstLineChars="200"/>
    </w:pPr>
    <w:rPr>
      <w:rFonts w:ascii="宋体" w:hAnsi="宋体" w:cs="宋体"/>
      <w:sz w:val="24"/>
    </w:rPr>
  </w:style>
  <w:style w:type="paragraph" w:customStyle="1" w:styleId="3563">
    <w:name w:val="正文斜体12"/>
    <w:basedOn w:val="403"/>
    <w:next w:val="403"/>
    <w:autoRedefine/>
    <w:qFormat/>
    <w:uiPriority w:val="0"/>
    <w:rPr>
      <w:rFonts w:hAnsi="宋体" w:cs="Times New Roman"/>
      <w:i/>
      <w:iCs/>
    </w:rPr>
  </w:style>
  <w:style w:type="character" w:customStyle="1" w:styleId="3564">
    <w:name w:val="正文斜体 Char12"/>
    <w:autoRedefine/>
    <w:qFormat/>
    <w:uiPriority w:val="0"/>
    <w:rPr>
      <w:rFonts w:ascii="宋体" w:eastAsia="宋体" w:cs="Times New Roman"/>
      <w:i/>
      <w:iCs/>
      <w:kern w:val="2"/>
      <w:sz w:val="24"/>
      <w:szCs w:val="24"/>
      <w:lang w:val="en-US" w:eastAsia="zh-CN" w:bidi="ar-SA"/>
    </w:rPr>
  </w:style>
  <w:style w:type="paragraph" w:customStyle="1" w:styleId="3565">
    <w:name w:val="Char Char2 Char Char Char Char112"/>
    <w:basedOn w:val="1"/>
    <w:autoRedefine/>
    <w:qFormat/>
    <w:uiPriority w:val="0"/>
  </w:style>
  <w:style w:type="paragraph" w:customStyle="1" w:styleId="3566">
    <w:name w:val="Char812"/>
    <w:basedOn w:val="1"/>
    <w:autoRedefine/>
    <w:qFormat/>
    <w:uiPriority w:val="0"/>
    <w:pPr>
      <w:ind w:left="-48"/>
    </w:pPr>
  </w:style>
  <w:style w:type="paragraph" w:customStyle="1" w:styleId="3567">
    <w:name w:val="正文格式712"/>
    <w:basedOn w:val="1"/>
    <w:autoRedefine/>
    <w:qFormat/>
    <w:uiPriority w:val="0"/>
    <w:pPr>
      <w:spacing w:line="360" w:lineRule="auto"/>
      <w:ind w:firstLine="482"/>
    </w:pPr>
    <w:rPr>
      <w:rFonts w:ascii="宋体" w:hAnsi="宋体"/>
      <w:sz w:val="24"/>
    </w:rPr>
  </w:style>
  <w:style w:type="character" w:customStyle="1" w:styleId="3568">
    <w:name w:val="题注 Char512"/>
    <w:autoRedefine/>
    <w:qFormat/>
    <w:uiPriority w:val="0"/>
    <w:rPr>
      <w:rFonts w:ascii="黑体" w:hAnsi="Arial" w:eastAsia="黑体" w:cs="Arial"/>
      <w:b/>
      <w:kern w:val="2"/>
      <w:sz w:val="24"/>
      <w:szCs w:val="24"/>
      <w:lang w:val="en-US" w:eastAsia="zh-CN" w:bidi="ar-SA"/>
    </w:rPr>
  </w:style>
  <w:style w:type="paragraph" w:customStyle="1" w:styleId="3569">
    <w:name w:val="图题712"/>
    <w:basedOn w:val="403"/>
    <w:next w:val="403"/>
    <w:autoRedefine/>
    <w:qFormat/>
    <w:uiPriority w:val="0"/>
    <w:pPr>
      <w:ind w:firstLine="0"/>
      <w:jc w:val="center"/>
    </w:pPr>
    <w:rPr>
      <w:rFonts w:ascii="黑体" w:hAnsi="宋体" w:eastAsia="黑体"/>
      <w:b/>
      <w:bCs/>
    </w:rPr>
  </w:style>
  <w:style w:type="paragraph" w:customStyle="1" w:styleId="3570">
    <w:name w:val="表格内字体712"/>
    <w:basedOn w:val="403"/>
    <w:next w:val="403"/>
    <w:autoRedefine/>
    <w:qFormat/>
    <w:uiPriority w:val="0"/>
    <w:pPr>
      <w:spacing w:line="240" w:lineRule="auto"/>
      <w:ind w:firstLine="0"/>
      <w:jc w:val="center"/>
    </w:pPr>
    <w:rPr>
      <w:rFonts w:hAnsi="宋体" w:cs="Times New Roman"/>
      <w:sz w:val="21"/>
    </w:rPr>
  </w:style>
  <w:style w:type="paragraph" w:customStyle="1" w:styleId="3571">
    <w:name w:val="Char912"/>
    <w:basedOn w:val="1"/>
    <w:autoRedefine/>
    <w:qFormat/>
    <w:uiPriority w:val="0"/>
    <w:pPr>
      <w:ind w:left="-48"/>
    </w:pPr>
  </w:style>
  <w:style w:type="paragraph" w:customStyle="1" w:styleId="3572">
    <w:name w:val="正文格式＝612"/>
    <w:basedOn w:val="403"/>
    <w:next w:val="403"/>
    <w:autoRedefine/>
    <w:semiHidden/>
    <w:qFormat/>
    <w:uiPriority w:val="0"/>
    <w:rPr>
      <w:rFonts w:hAnsi="宋体" w:cs="Times New Roman"/>
    </w:rPr>
  </w:style>
  <w:style w:type="paragraph" w:customStyle="1" w:styleId="3573">
    <w:name w:val="表题1512"/>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574">
    <w:name w:val="表题1 Char612"/>
    <w:autoRedefine/>
    <w:qFormat/>
    <w:uiPriority w:val="0"/>
    <w:rPr>
      <w:rFonts w:ascii="黑体" w:hAnsi="Arial" w:eastAsia="黑体" w:cs="Arial"/>
      <w:b/>
      <w:kern w:val="2"/>
      <w:sz w:val="24"/>
      <w:szCs w:val="24"/>
      <w:lang w:val="en-US" w:eastAsia="zh-CN" w:bidi="ar-SA"/>
    </w:rPr>
  </w:style>
  <w:style w:type="paragraph" w:customStyle="1" w:styleId="3575">
    <w:name w:val="燕山正文412"/>
    <w:basedOn w:val="1"/>
    <w:autoRedefine/>
    <w:qFormat/>
    <w:uiPriority w:val="0"/>
    <w:pPr>
      <w:tabs>
        <w:tab w:val="left" w:pos="4680"/>
      </w:tabs>
      <w:adjustRightInd w:val="0"/>
      <w:snapToGrid w:val="0"/>
      <w:spacing w:line="480" w:lineRule="exact"/>
    </w:pPr>
    <w:rPr>
      <w:rFonts w:ascii="宋体" w:cs="宋体"/>
      <w:sz w:val="24"/>
    </w:rPr>
  </w:style>
  <w:style w:type="paragraph" w:customStyle="1" w:styleId="3576">
    <w:name w:val="正文修改412"/>
    <w:basedOn w:val="2088"/>
    <w:autoRedefine/>
    <w:qFormat/>
    <w:uiPriority w:val="0"/>
    <w:rPr>
      <w:rFonts w:hAnsi="宋体"/>
      <w:color w:val="000000"/>
    </w:rPr>
  </w:style>
  <w:style w:type="character" w:customStyle="1" w:styleId="3577">
    <w:name w:val="正文修改 Char1412"/>
    <w:autoRedefine/>
    <w:qFormat/>
    <w:uiPriority w:val="0"/>
  </w:style>
  <w:style w:type="paragraph" w:customStyle="1" w:styleId="3578">
    <w:name w:val="表中文字512"/>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579">
    <w:name w:val="默认段落字体 Para Char Char Char Char512"/>
    <w:basedOn w:val="1"/>
    <w:autoRedefine/>
    <w:qFormat/>
    <w:uiPriority w:val="0"/>
  </w:style>
  <w:style w:type="paragraph" w:customStyle="1" w:styleId="3580">
    <w:name w:val="Char1012"/>
    <w:basedOn w:val="1"/>
    <w:autoRedefine/>
    <w:qFormat/>
    <w:uiPriority w:val="0"/>
    <w:pPr>
      <w:adjustRightInd w:val="0"/>
      <w:snapToGrid w:val="0"/>
      <w:spacing w:line="360" w:lineRule="auto"/>
    </w:pPr>
  </w:style>
  <w:style w:type="paragraph" w:customStyle="1" w:styleId="3581">
    <w:name w:val="表内5中112"/>
    <w:basedOn w:val="1"/>
    <w:autoRedefine/>
    <w:qFormat/>
    <w:uiPriority w:val="0"/>
    <w:pPr>
      <w:adjustRightInd w:val="0"/>
      <w:snapToGrid w:val="0"/>
      <w:jc w:val="center"/>
    </w:pPr>
    <w:rPr>
      <w:rFonts w:ascii="宋体" w:hAnsi="宋体" w:cs="Arial"/>
      <w:snapToGrid w:val="0"/>
      <w:color w:val="000000"/>
      <w:szCs w:val="21"/>
    </w:rPr>
  </w:style>
  <w:style w:type="paragraph" w:customStyle="1" w:styleId="3582">
    <w:name w:val="表内541412"/>
    <w:basedOn w:val="1"/>
    <w:autoRedefine/>
    <w:qFormat/>
    <w:uiPriority w:val="0"/>
    <w:pPr>
      <w:adjustRightInd w:val="0"/>
      <w:snapToGrid w:val="0"/>
      <w:spacing w:line="300" w:lineRule="auto"/>
      <w:jc w:val="center"/>
    </w:pPr>
    <w:rPr>
      <w:rFonts w:ascii="宋体" w:hAnsi="宋体" w:cs="宋体"/>
      <w:szCs w:val="20"/>
    </w:rPr>
  </w:style>
  <w:style w:type="paragraph" w:customStyle="1" w:styleId="3583">
    <w:name w:val="表内文字小122"/>
    <w:basedOn w:val="1"/>
    <w:autoRedefine/>
    <w:qFormat/>
    <w:uiPriority w:val="0"/>
    <w:pPr>
      <w:adjustRightInd w:val="0"/>
      <w:snapToGrid w:val="0"/>
      <w:jc w:val="center"/>
    </w:pPr>
    <w:rPr>
      <w:rFonts w:ascii="宋体" w:hAnsi="Times"/>
      <w:szCs w:val="20"/>
    </w:rPr>
  </w:style>
  <w:style w:type="character" w:customStyle="1" w:styleId="3584">
    <w:name w:val="正文首行缩进 2 Char12"/>
    <w:autoRedefine/>
    <w:qFormat/>
    <w:uiPriority w:val="0"/>
    <w:rPr>
      <w:rFonts w:ascii="Times New Roman" w:hAnsi="Times New Roman" w:eastAsia="宋体"/>
      <w:kern w:val="2"/>
      <w:sz w:val="21"/>
      <w:lang w:val="en-US" w:eastAsia="zh-CN" w:bidi="ar-SA"/>
    </w:rPr>
  </w:style>
  <w:style w:type="paragraph" w:customStyle="1" w:styleId="3585">
    <w:name w:val="默认段落字体 Para Char4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586">
    <w:name w:val="正文格式812"/>
    <w:basedOn w:val="1"/>
    <w:autoRedefine/>
    <w:qFormat/>
    <w:uiPriority w:val="0"/>
    <w:pPr>
      <w:spacing w:line="360" w:lineRule="auto"/>
      <w:ind w:firstLine="482"/>
    </w:pPr>
    <w:rPr>
      <w:rFonts w:ascii="宋体" w:hAnsi="宋体"/>
      <w:sz w:val="24"/>
    </w:rPr>
  </w:style>
  <w:style w:type="paragraph" w:customStyle="1" w:styleId="3587">
    <w:name w:val="正文格式912"/>
    <w:basedOn w:val="1"/>
    <w:autoRedefine/>
    <w:qFormat/>
    <w:uiPriority w:val="0"/>
    <w:pPr>
      <w:spacing w:line="360" w:lineRule="auto"/>
      <w:ind w:firstLine="482"/>
    </w:pPr>
    <w:rPr>
      <w:rFonts w:ascii="宋体" w:hAnsi="宋体"/>
      <w:sz w:val="24"/>
    </w:rPr>
  </w:style>
  <w:style w:type="paragraph" w:customStyle="1" w:styleId="3588">
    <w:name w:val="Char422"/>
    <w:basedOn w:val="1"/>
    <w:autoRedefine/>
    <w:qFormat/>
    <w:uiPriority w:val="0"/>
    <w:pPr>
      <w:ind w:left="-48"/>
    </w:pPr>
  </w:style>
  <w:style w:type="paragraph" w:customStyle="1" w:styleId="3589">
    <w:name w:val="Char Char Char Char Char Char Char52"/>
    <w:basedOn w:val="1"/>
    <w:autoRedefine/>
    <w:qFormat/>
    <w:uiPriority w:val="0"/>
  </w:style>
  <w:style w:type="paragraph" w:customStyle="1" w:styleId="3590">
    <w:name w:val="Char Char2 Char Char Char Char42"/>
    <w:basedOn w:val="1"/>
    <w:autoRedefine/>
    <w:qFormat/>
    <w:uiPriority w:val="0"/>
  </w:style>
  <w:style w:type="paragraph" w:customStyle="1" w:styleId="3591">
    <w:name w:val="Char162"/>
    <w:basedOn w:val="1"/>
    <w:autoRedefine/>
    <w:qFormat/>
    <w:uiPriority w:val="0"/>
    <w:pPr>
      <w:ind w:left="-48"/>
    </w:pPr>
  </w:style>
  <w:style w:type="paragraph" w:customStyle="1" w:styleId="3592">
    <w:name w:val="Char Char Char Char1 Char Char Char2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593">
    <w:name w:val="Char172"/>
    <w:basedOn w:val="1"/>
    <w:autoRedefine/>
    <w:qFormat/>
    <w:uiPriority w:val="0"/>
    <w:pPr>
      <w:ind w:left="-48"/>
    </w:pPr>
  </w:style>
  <w:style w:type="paragraph" w:customStyle="1" w:styleId="3594">
    <w:name w:val="Char Char Char Char Char Char Char132"/>
    <w:basedOn w:val="1"/>
    <w:autoRedefine/>
    <w:qFormat/>
    <w:uiPriority w:val="0"/>
  </w:style>
  <w:style w:type="paragraph" w:customStyle="1" w:styleId="3595">
    <w:name w:val="Char232"/>
    <w:basedOn w:val="1"/>
    <w:autoRedefine/>
    <w:qFormat/>
    <w:uiPriority w:val="0"/>
    <w:pPr>
      <w:ind w:left="-48"/>
    </w:pPr>
  </w:style>
  <w:style w:type="paragraph" w:customStyle="1" w:styleId="3596">
    <w:name w:val="Char332"/>
    <w:basedOn w:val="1"/>
    <w:autoRedefine/>
    <w:qFormat/>
    <w:uiPriority w:val="0"/>
    <w:pPr>
      <w:ind w:left="-48"/>
    </w:pPr>
  </w:style>
  <w:style w:type="paragraph" w:customStyle="1" w:styleId="3597">
    <w:name w:val="Char Char Char Char Char Char Char222"/>
    <w:basedOn w:val="1"/>
    <w:autoRedefine/>
    <w:qFormat/>
    <w:uiPriority w:val="0"/>
  </w:style>
  <w:style w:type="paragraph" w:customStyle="1" w:styleId="3598">
    <w:name w:val="Char432"/>
    <w:basedOn w:val="1"/>
    <w:autoRedefine/>
    <w:qFormat/>
    <w:uiPriority w:val="0"/>
    <w:pPr>
      <w:ind w:left="-48"/>
    </w:pPr>
  </w:style>
  <w:style w:type="paragraph" w:customStyle="1" w:styleId="3599">
    <w:name w:val="表格内容12"/>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3600">
    <w:name w:val="正文格式822"/>
    <w:basedOn w:val="1"/>
    <w:autoRedefine/>
    <w:qFormat/>
    <w:uiPriority w:val="0"/>
    <w:pPr>
      <w:spacing w:line="360" w:lineRule="auto"/>
      <w:ind w:firstLine="482"/>
    </w:pPr>
    <w:rPr>
      <w:rFonts w:ascii="宋体" w:hAnsi="宋体"/>
      <w:sz w:val="24"/>
    </w:rPr>
  </w:style>
  <w:style w:type="paragraph" w:customStyle="1" w:styleId="3601">
    <w:name w:val="正文格式16"/>
    <w:basedOn w:val="1"/>
    <w:autoRedefine/>
    <w:qFormat/>
    <w:uiPriority w:val="0"/>
    <w:pPr>
      <w:spacing w:line="360" w:lineRule="auto"/>
      <w:ind w:firstLine="482"/>
    </w:pPr>
    <w:rPr>
      <w:rFonts w:ascii="宋体" w:hAnsi="宋体"/>
      <w:sz w:val="24"/>
    </w:rPr>
  </w:style>
  <w:style w:type="character" w:customStyle="1" w:styleId="3602">
    <w:name w:val="正文格式 Char13"/>
    <w:autoRedefine/>
    <w:qFormat/>
    <w:uiPriority w:val="0"/>
    <w:rPr>
      <w:rFonts w:ascii="宋体" w:hAnsi="宋体" w:eastAsia="宋体"/>
      <w:kern w:val="2"/>
      <w:sz w:val="24"/>
      <w:szCs w:val="24"/>
      <w:lang w:val="en-US" w:eastAsia="zh-CN" w:bidi="ar-SA"/>
    </w:rPr>
  </w:style>
  <w:style w:type="paragraph" w:customStyle="1" w:styleId="3603">
    <w:name w:val="Char39"/>
    <w:basedOn w:val="1"/>
    <w:autoRedefine/>
    <w:qFormat/>
    <w:uiPriority w:val="0"/>
    <w:pPr>
      <w:adjustRightInd w:val="0"/>
      <w:snapToGrid w:val="0"/>
      <w:spacing w:beforeLines="50" w:line="360" w:lineRule="auto"/>
    </w:pPr>
    <w:rPr>
      <w:rFonts w:ascii="黑体" w:eastAsia="黑体"/>
      <w:sz w:val="32"/>
      <w:szCs w:val="32"/>
    </w:rPr>
  </w:style>
  <w:style w:type="character" w:customStyle="1" w:styleId="3604">
    <w:name w:val="节 Char13"/>
    <w:autoRedefine/>
    <w:qFormat/>
    <w:uiPriority w:val="0"/>
    <w:rPr>
      <w:rFonts w:ascii="黑体" w:hAnsi="Arial" w:eastAsia="黑体"/>
      <w:bCs/>
      <w:kern w:val="2"/>
      <w:sz w:val="30"/>
      <w:szCs w:val="30"/>
      <w:lang w:val="en-US" w:eastAsia="zh-CN" w:bidi="ar-SA"/>
    </w:rPr>
  </w:style>
  <w:style w:type="character" w:customStyle="1" w:styleId="3605">
    <w:name w:val="三级标题 Char23"/>
    <w:autoRedefine/>
    <w:qFormat/>
    <w:uiPriority w:val="0"/>
    <w:rPr>
      <w:rFonts w:ascii="黑体" w:hAnsi="宋体" w:eastAsia="黑体"/>
      <w:bCs/>
      <w:kern w:val="2"/>
      <w:sz w:val="28"/>
      <w:szCs w:val="28"/>
      <w:lang w:val="en-US" w:eastAsia="zh-CN" w:bidi="ar-SA"/>
    </w:rPr>
  </w:style>
  <w:style w:type="character" w:customStyle="1" w:styleId="3606">
    <w:name w:val="表题 Char9"/>
    <w:autoRedefine/>
    <w:qFormat/>
    <w:uiPriority w:val="0"/>
    <w:rPr>
      <w:rFonts w:ascii="黑体" w:hAnsi="Arial" w:eastAsia="黑体" w:cs="Arial"/>
      <w:b/>
      <w:kern w:val="2"/>
      <w:sz w:val="24"/>
      <w:szCs w:val="24"/>
      <w:lang w:val="en-US" w:eastAsia="zh-CN" w:bidi="ar-SA"/>
    </w:rPr>
  </w:style>
  <w:style w:type="paragraph" w:customStyle="1" w:styleId="3607">
    <w:name w:val="图题14"/>
    <w:basedOn w:val="403"/>
    <w:next w:val="403"/>
    <w:autoRedefine/>
    <w:qFormat/>
    <w:uiPriority w:val="0"/>
    <w:pPr>
      <w:ind w:firstLine="0"/>
      <w:jc w:val="center"/>
    </w:pPr>
    <w:rPr>
      <w:rFonts w:ascii="黑体" w:hAnsi="宋体" w:eastAsia="黑体"/>
      <w:b/>
      <w:bCs/>
    </w:rPr>
  </w:style>
  <w:style w:type="paragraph" w:customStyle="1" w:styleId="3608">
    <w:name w:val="表格内字体15"/>
    <w:basedOn w:val="403"/>
    <w:next w:val="403"/>
    <w:autoRedefine/>
    <w:qFormat/>
    <w:uiPriority w:val="0"/>
    <w:pPr>
      <w:spacing w:line="240" w:lineRule="auto"/>
      <w:ind w:firstLine="0"/>
      <w:jc w:val="center"/>
    </w:pPr>
    <w:rPr>
      <w:rFonts w:hAnsi="宋体" w:cs="Times New Roman"/>
      <w:sz w:val="21"/>
    </w:rPr>
  </w:style>
  <w:style w:type="character" w:customStyle="1" w:styleId="3609">
    <w:name w:val="表格内字体 Char11"/>
    <w:autoRedefine/>
    <w:qFormat/>
    <w:uiPriority w:val="0"/>
    <w:rPr>
      <w:rFonts w:ascii="宋体" w:hAnsi="宋体" w:eastAsia="宋体"/>
      <w:kern w:val="2"/>
      <w:sz w:val="21"/>
      <w:szCs w:val="24"/>
      <w:lang w:val="en-US" w:eastAsia="zh-CN" w:bidi="ar-SA"/>
    </w:rPr>
  </w:style>
  <w:style w:type="character" w:customStyle="1" w:styleId="3610">
    <w:name w:val="标题2 Char12"/>
    <w:autoRedefine/>
    <w:qFormat/>
    <w:uiPriority w:val="0"/>
    <w:rPr>
      <w:rFonts w:ascii="宋体" w:hAnsi="宋体" w:eastAsia="宋体" w:cs="宋体"/>
      <w:color w:val="000000"/>
      <w:kern w:val="2"/>
      <w:sz w:val="24"/>
      <w:szCs w:val="24"/>
      <w:lang w:val="en-US" w:eastAsia="zh-CN" w:bidi="ar-SA"/>
    </w:rPr>
  </w:style>
  <w:style w:type="paragraph" w:customStyle="1" w:styleId="3611">
    <w:name w:val="表内5418"/>
    <w:basedOn w:val="1"/>
    <w:autoRedefine/>
    <w:qFormat/>
    <w:uiPriority w:val="0"/>
    <w:pPr>
      <w:adjustRightInd w:val="0"/>
      <w:snapToGrid w:val="0"/>
      <w:spacing w:line="300" w:lineRule="auto"/>
      <w:jc w:val="center"/>
    </w:pPr>
    <w:rPr>
      <w:rFonts w:ascii="宋体" w:hAnsi="宋体" w:cs="宋体"/>
      <w:szCs w:val="20"/>
    </w:rPr>
  </w:style>
  <w:style w:type="paragraph" w:customStyle="1" w:styleId="3612">
    <w:name w:val="表内文字小217"/>
    <w:basedOn w:val="1"/>
    <w:autoRedefine/>
    <w:qFormat/>
    <w:uiPriority w:val="0"/>
    <w:pPr>
      <w:adjustRightInd w:val="0"/>
      <w:snapToGrid w:val="0"/>
      <w:jc w:val="center"/>
    </w:pPr>
    <w:rPr>
      <w:rFonts w:ascii="宋体" w:hAnsi="Times"/>
      <w:bCs/>
      <w:color w:val="000000"/>
      <w:szCs w:val="20"/>
    </w:rPr>
  </w:style>
  <w:style w:type="paragraph" w:customStyle="1" w:styleId="3613">
    <w:name w:val="表题317"/>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614">
    <w:name w:val="Char Char Char Char Char Char Char19"/>
    <w:basedOn w:val="1"/>
    <w:autoRedefine/>
    <w:qFormat/>
    <w:uiPriority w:val="0"/>
  </w:style>
  <w:style w:type="paragraph" w:customStyle="1" w:styleId="3615">
    <w:name w:val="标题4316"/>
    <w:basedOn w:val="1"/>
    <w:autoRedefine/>
    <w:qFormat/>
    <w:uiPriority w:val="0"/>
    <w:pPr>
      <w:adjustRightInd w:val="0"/>
      <w:snapToGrid w:val="0"/>
      <w:spacing w:line="480" w:lineRule="exact"/>
      <w:jc w:val="center"/>
    </w:pPr>
    <w:rPr>
      <w:rFonts w:ascii="宋体" w:hAnsi="宋体" w:cs="宋体"/>
      <w:sz w:val="24"/>
    </w:rPr>
  </w:style>
  <w:style w:type="paragraph" w:customStyle="1" w:styleId="3616">
    <w:name w:val="燕山正文117"/>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617">
    <w:name w:val="默认段落字体 Para Char Char Char Char9"/>
    <w:basedOn w:val="1"/>
    <w:autoRedefine/>
    <w:qFormat/>
    <w:uiPriority w:val="0"/>
  </w:style>
  <w:style w:type="paragraph" w:customStyle="1" w:styleId="3618">
    <w:name w:val="附件7"/>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3619">
    <w:name w:val="黑体三号8"/>
    <w:basedOn w:val="403"/>
    <w:autoRedefine/>
    <w:qFormat/>
    <w:uiPriority w:val="0"/>
    <w:pPr>
      <w:jc w:val="center"/>
    </w:pPr>
    <w:rPr>
      <w:rFonts w:ascii="黑体" w:hAnsi="宋体" w:eastAsia="黑体"/>
      <w:b/>
      <w:bCs/>
      <w:sz w:val="32"/>
      <w:szCs w:val="20"/>
    </w:rPr>
  </w:style>
  <w:style w:type="paragraph" w:customStyle="1" w:styleId="3620">
    <w:name w:val="表7"/>
    <w:basedOn w:val="1"/>
    <w:autoRedefine/>
    <w:qFormat/>
    <w:uiPriority w:val="0"/>
    <w:pPr>
      <w:adjustRightInd w:val="0"/>
      <w:snapToGrid w:val="0"/>
      <w:jc w:val="center"/>
    </w:pPr>
    <w:rPr>
      <w:rFonts w:eastAsia="仿宋_GB2312"/>
      <w:sz w:val="24"/>
    </w:rPr>
  </w:style>
  <w:style w:type="character" w:customStyle="1" w:styleId="3621">
    <w:name w:val="Char Char81"/>
    <w:autoRedefine/>
    <w:qFormat/>
    <w:uiPriority w:val="0"/>
    <w:rPr>
      <w:rFonts w:eastAsia="宋体"/>
      <w:kern w:val="2"/>
      <w:sz w:val="16"/>
      <w:szCs w:val="16"/>
      <w:lang w:val="en-US" w:eastAsia="zh-CN" w:bidi="ar-SA"/>
    </w:rPr>
  </w:style>
  <w:style w:type="paragraph" w:customStyle="1" w:styleId="3622">
    <w:name w:val="表题19"/>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character" w:customStyle="1" w:styleId="3623">
    <w:name w:val="表题1 Char10"/>
    <w:autoRedefine/>
    <w:qFormat/>
    <w:uiPriority w:val="0"/>
    <w:rPr>
      <w:rFonts w:hAnsi="Arial" w:eastAsia="宋体" w:cs="Arial"/>
      <w:kern w:val="2"/>
      <w:sz w:val="24"/>
      <w:szCs w:val="24"/>
      <w:lang w:val="en-US" w:eastAsia="zh-CN" w:bidi="ar-SA"/>
    </w:rPr>
  </w:style>
  <w:style w:type="paragraph" w:customStyle="1" w:styleId="3624">
    <w:name w:val="燕山正文8"/>
    <w:basedOn w:val="1"/>
    <w:autoRedefine/>
    <w:qFormat/>
    <w:uiPriority w:val="0"/>
    <w:pPr>
      <w:tabs>
        <w:tab w:val="left" w:pos="4680"/>
      </w:tabs>
      <w:adjustRightInd w:val="0"/>
      <w:snapToGrid w:val="0"/>
      <w:spacing w:line="480" w:lineRule="exact"/>
    </w:pPr>
    <w:rPr>
      <w:rFonts w:ascii="宋体" w:cs="宋体"/>
      <w:sz w:val="24"/>
    </w:rPr>
  </w:style>
  <w:style w:type="character" w:customStyle="1" w:styleId="3625">
    <w:name w:val="燕山正文 Char18"/>
    <w:autoRedefine/>
    <w:qFormat/>
    <w:uiPriority w:val="0"/>
    <w:rPr>
      <w:rFonts w:ascii="宋体" w:eastAsia="宋体" w:cs="宋体"/>
      <w:kern w:val="2"/>
      <w:sz w:val="24"/>
      <w:szCs w:val="24"/>
      <w:lang w:val="en-US" w:eastAsia="zh-CN" w:bidi="ar-SA"/>
    </w:rPr>
  </w:style>
  <w:style w:type="paragraph" w:customStyle="1" w:styleId="3626">
    <w:name w:val="正文修改8"/>
    <w:basedOn w:val="2088"/>
    <w:autoRedefine/>
    <w:qFormat/>
    <w:uiPriority w:val="0"/>
    <w:rPr>
      <w:rFonts w:hAnsi="宋体"/>
      <w:color w:val="000000"/>
    </w:rPr>
  </w:style>
  <w:style w:type="character" w:customStyle="1" w:styleId="3627">
    <w:name w:val="正文修改 Char18"/>
    <w:autoRedefine/>
    <w:qFormat/>
    <w:uiPriority w:val="0"/>
    <w:rPr>
      <w:rFonts w:ascii="宋体" w:hAnsi="宋体" w:eastAsia="宋体" w:cs="宋体"/>
      <w:color w:val="000000"/>
      <w:sz w:val="24"/>
      <w:szCs w:val="24"/>
    </w:rPr>
  </w:style>
  <w:style w:type="character" w:customStyle="1" w:styleId="3628">
    <w:name w:val="标题正文黑 Char2"/>
    <w:autoRedefine/>
    <w:qFormat/>
    <w:uiPriority w:val="0"/>
    <w:rPr>
      <w:rFonts w:ascii="黑体" w:eastAsia="黑体"/>
      <w:kern w:val="2"/>
      <w:sz w:val="28"/>
      <w:szCs w:val="28"/>
      <w:lang w:val="en-US" w:eastAsia="zh-CN" w:bidi="ar-SA"/>
    </w:rPr>
  </w:style>
  <w:style w:type="paragraph" w:customStyle="1" w:styleId="3629">
    <w:name w:val="表中文字9"/>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character" w:customStyle="1" w:styleId="3630">
    <w:name w:val="表中文字 Char28"/>
    <w:autoRedefine/>
    <w:qFormat/>
    <w:uiPriority w:val="0"/>
    <w:rPr>
      <w:rFonts w:ascii="宋体" w:eastAsia="宋体"/>
      <w:kern w:val="2"/>
      <w:sz w:val="21"/>
      <w:szCs w:val="21"/>
      <w:lang w:val="en-US" w:eastAsia="zh-CN" w:bidi="ar-SA"/>
    </w:rPr>
  </w:style>
  <w:style w:type="paragraph" w:customStyle="1" w:styleId="3631">
    <w:name w:val="表文字57"/>
    <w:basedOn w:val="1"/>
    <w:autoRedefine/>
    <w:qFormat/>
    <w:uiPriority w:val="0"/>
    <w:pPr>
      <w:adjustRightInd w:val="0"/>
      <w:jc w:val="left"/>
      <w:textAlignment w:val="baseline"/>
    </w:pPr>
    <w:rPr>
      <w:rFonts w:ascii="宋体"/>
      <w:kern w:val="0"/>
      <w:szCs w:val="20"/>
    </w:rPr>
  </w:style>
  <w:style w:type="paragraph" w:customStyle="1" w:styleId="3632">
    <w:name w:val="表内文字小317"/>
    <w:basedOn w:val="1"/>
    <w:autoRedefine/>
    <w:qFormat/>
    <w:uiPriority w:val="0"/>
    <w:pPr>
      <w:adjustRightInd w:val="0"/>
      <w:snapToGrid w:val="0"/>
      <w:jc w:val="center"/>
    </w:pPr>
    <w:rPr>
      <w:rFonts w:ascii="宋体" w:hAnsi="Times" w:cs="宋体"/>
      <w:bCs/>
      <w:color w:val="003366"/>
      <w:szCs w:val="20"/>
    </w:rPr>
  </w:style>
  <w:style w:type="paragraph" w:customStyle="1" w:styleId="3633">
    <w:name w:val="正文格式＝10"/>
    <w:basedOn w:val="403"/>
    <w:next w:val="403"/>
    <w:autoRedefine/>
    <w:qFormat/>
    <w:uiPriority w:val="0"/>
    <w:rPr>
      <w:rFonts w:hAnsi="宋体" w:cs="Times New Roman"/>
    </w:rPr>
  </w:style>
  <w:style w:type="character" w:customStyle="1" w:styleId="3634">
    <w:name w:val="样式 表内小5 + 黑体 加粗 倾斜 下划线 Char52"/>
    <w:autoRedefine/>
    <w:qFormat/>
    <w:uiPriority w:val="0"/>
    <w:rPr>
      <w:rFonts w:ascii="黑体" w:hAnsi="黑体" w:eastAsia="黑体"/>
      <w:b/>
      <w:bCs/>
      <w:i/>
      <w:iCs/>
      <w:kern w:val="2"/>
      <w:sz w:val="18"/>
      <w:szCs w:val="24"/>
      <w:u w:val="single"/>
      <w:lang w:val="en-US" w:eastAsia="zh-CN" w:bidi="ar-SA"/>
    </w:rPr>
  </w:style>
  <w:style w:type="character" w:customStyle="1" w:styleId="3635">
    <w:name w:val="标题2 Char9"/>
    <w:autoRedefine/>
    <w:qFormat/>
    <w:uiPriority w:val="0"/>
    <w:rPr>
      <w:rFonts w:ascii="宋体" w:hAnsi="宋体" w:eastAsia="宋体" w:cs="宋体"/>
      <w:color w:val="000000"/>
      <w:kern w:val="2"/>
      <w:sz w:val="24"/>
      <w:szCs w:val="24"/>
      <w:lang w:val="en-US" w:eastAsia="zh-CN" w:bidi="ar-SA"/>
    </w:rPr>
  </w:style>
  <w:style w:type="paragraph" w:customStyle="1" w:styleId="3636">
    <w:name w:val="Char40"/>
    <w:basedOn w:val="1"/>
    <w:autoRedefine/>
    <w:qFormat/>
    <w:uiPriority w:val="0"/>
    <w:pPr>
      <w:ind w:left="-48"/>
    </w:pPr>
  </w:style>
  <w:style w:type="paragraph" w:customStyle="1" w:styleId="3637">
    <w:name w:val="表内文字小26"/>
    <w:basedOn w:val="1"/>
    <w:autoRedefine/>
    <w:qFormat/>
    <w:uiPriority w:val="0"/>
    <w:pPr>
      <w:adjustRightInd w:val="0"/>
      <w:snapToGrid w:val="0"/>
      <w:jc w:val="center"/>
    </w:pPr>
    <w:rPr>
      <w:rFonts w:ascii="宋体" w:hAnsi="Times"/>
      <w:bCs/>
      <w:color w:val="000000"/>
      <w:szCs w:val="20"/>
    </w:rPr>
  </w:style>
  <w:style w:type="paragraph" w:customStyle="1" w:styleId="3638">
    <w:name w:val="表内535"/>
    <w:basedOn w:val="1"/>
    <w:autoRedefine/>
    <w:qFormat/>
    <w:uiPriority w:val="0"/>
    <w:pPr>
      <w:adjustRightInd w:val="0"/>
      <w:snapToGrid w:val="0"/>
      <w:spacing w:line="300" w:lineRule="auto"/>
      <w:jc w:val="left"/>
    </w:pPr>
    <w:rPr>
      <w:rFonts w:ascii="宋体"/>
      <w:szCs w:val="20"/>
    </w:rPr>
  </w:style>
  <w:style w:type="paragraph" w:customStyle="1" w:styleId="3639">
    <w:name w:val="正文格式25"/>
    <w:basedOn w:val="1"/>
    <w:autoRedefine/>
    <w:qFormat/>
    <w:uiPriority w:val="0"/>
    <w:pPr>
      <w:spacing w:line="360" w:lineRule="auto"/>
      <w:ind w:firstLine="482"/>
    </w:pPr>
    <w:rPr>
      <w:rFonts w:ascii="宋体" w:hAnsi="宋体"/>
      <w:sz w:val="24"/>
    </w:rPr>
  </w:style>
  <w:style w:type="paragraph" w:customStyle="1" w:styleId="3640">
    <w:name w:val="图题25"/>
    <w:basedOn w:val="403"/>
    <w:next w:val="403"/>
    <w:autoRedefine/>
    <w:qFormat/>
    <w:uiPriority w:val="0"/>
    <w:pPr>
      <w:ind w:firstLine="0"/>
      <w:jc w:val="center"/>
    </w:pPr>
    <w:rPr>
      <w:rFonts w:ascii="黑体" w:hAnsi="宋体" w:eastAsia="黑体"/>
      <w:b/>
      <w:bCs/>
    </w:rPr>
  </w:style>
  <w:style w:type="paragraph" w:customStyle="1" w:styleId="3641">
    <w:name w:val="表格内字体25"/>
    <w:basedOn w:val="403"/>
    <w:next w:val="403"/>
    <w:autoRedefine/>
    <w:qFormat/>
    <w:uiPriority w:val="0"/>
    <w:pPr>
      <w:spacing w:line="240" w:lineRule="auto"/>
      <w:ind w:firstLine="0"/>
      <w:jc w:val="center"/>
    </w:pPr>
    <w:rPr>
      <w:rFonts w:hAnsi="宋体" w:cs="Times New Roman"/>
      <w:sz w:val="21"/>
    </w:rPr>
  </w:style>
  <w:style w:type="character" w:customStyle="1" w:styleId="3642">
    <w:name w:val="Char Char67"/>
    <w:autoRedefine/>
    <w:qFormat/>
    <w:uiPriority w:val="0"/>
    <w:rPr>
      <w:rFonts w:eastAsia="宋体"/>
      <w:b/>
      <w:bCs/>
      <w:kern w:val="2"/>
      <w:sz w:val="28"/>
      <w:szCs w:val="28"/>
      <w:lang w:val="en-US" w:eastAsia="zh-CN" w:bidi="ar-SA"/>
    </w:rPr>
  </w:style>
  <w:style w:type="paragraph" w:customStyle="1" w:styleId="3643">
    <w:name w:val="表题115"/>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character" w:customStyle="1" w:styleId="3644">
    <w:name w:val="表题1 Char12"/>
    <w:autoRedefine/>
    <w:qFormat/>
    <w:uiPriority w:val="0"/>
    <w:rPr>
      <w:rFonts w:hAnsi="Arial" w:eastAsia="宋体" w:cs="Arial"/>
      <w:kern w:val="2"/>
      <w:sz w:val="24"/>
      <w:szCs w:val="24"/>
      <w:lang w:val="en-US" w:eastAsia="zh-CN" w:bidi="ar-SA"/>
    </w:rPr>
  </w:style>
  <w:style w:type="paragraph" w:customStyle="1" w:styleId="3645">
    <w:name w:val="表中文字15"/>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646">
    <w:name w:val="表文字515"/>
    <w:basedOn w:val="1"/>
    <w:autoRedefine/>
    <w:qFormat/>
    <w:uiPriority w:val="0"/>
    <w:pPr>
      <w:adjustRightInd w:val="0"/>
      <w:jc w:val="left"/>
      <w:textAlignment w:val="baseline"/>
    </w:pPr>
    <w:rPr>
      <w:rFonts w:ascii="宋体"/>
      <w:kern w:val="0"/>
      <w:szCs w:val="20"/>
    </w:rPr>
  </w:style>
  <w:style w:type="paragraph" w:customStyle="1" w:styleId="3647">
    <w:name w:val="默认段落字体 Para Char8"/>
    <w:basedOn w:val="1"/>
    <w:autoRedefine/>
    <w:qFormat/>
    <w:uiPriority w:val="0"/>
    <w:pPr>
      <w:spacing w:line="360" w:lineRule="auto"/>
      <w:ind w:firstLine="200" w:firstLineChars="200"/>
    </w:pPr>
    <w:rPr>
      <w:rFonts w:ascii="宋体" w:hAnsi="宋体" w:cs="宋体"/>
      <w:sz w:val="24"/>
    </w:rPr>
  </w:style>
  <w:style w:type="character" w:customStyle="1" w:styleId="3648">
    <w:name w:val="占位符文本1"/>
    <w:autoRedefine/>
    <w:qFormat/>
    <w:uiPriority w:val="0"/>
    <w:rPr>
      <w:rFonts w:eastAsia="宋体"/>
      <w:color w:val="808080"/>
      <w:kern w:val="2"/>
      <w:sz w:val="24"/>
      <w:szCs w:val="24"/>
      <w:lang w:val="en-US" w:eastAsia="zh-CN" w:bidi="ar-SA"/>
    </w:rPr>
  </w:style>
  <w:style w:type="paragraph" w:customStyle="1" w:styleId="3649">
    <w:name w:val="表题414"/>
    <w:basedOn w:val="36"/>
    <w:autoRedefine/>
    <w:qFormat/>
    <w:uiPriority w:val="0"/>
    <w:pPr>
      <w:tabs>
        <w:tab w:val="left" w:pos="4305"/>
      </w:tabs>
      <w:adjustRightInd w:val="0"/>
      <w:snapToGrid w:val="0"/>
      <w:spacing w:after="0"/>
      <w:ind w:left="0" w:leftChars="0"/>
      <w:jc w:val="center"/>
    </w:pPr>
    <w:rPr>
      <w:rFonts w:ascii="宋体" w:hAnsi="宋体" w:cs="宋体"/>
      <w:color w:val="000000"/>
      <w:kern w:val="2"/>
      <w:szCs w:val="24"/>
    </w:rPr>
  </w:style>
  <w:style w:type="paragraph" w:customStyle="1" w:styleId="3650">
    <w:name w:val="Char Char Char Char Char Char Char20"/>
    <w:basedOn w:val="1"/>
    <w:autoRedefine/>
    <w:qFormat/>
    <w:uiPriority w:val="0"/>
  </w:style>
  <w:style w:type="paragraph" w:customStyle="1" w:styleId="3651">
    <w:name w:val="正文25"/>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character" w:customStyle="1" w:styleId="3652">
    <w:name w:val="表内5 Char21"/>
    <w:autoRedefine/>
    <w:qFormat/>
    <w:uiPriority w:val="0"/>
    <w:rPr>
      <w:rFonts w:ascii="宋体" w:hAnsi="宋体" w:eastAsia="宋体" w:cs="宋体"/>
      <w:kern w:val="2"/>
      <w:sz w:val="21"/>
      <w:szCs w:val="24"/>
      <w:lang w:val="en-US" w:eastAsia="zh-CN" w:bidi="ar-SA"/>
    </w:rPr>
  </w:style>
  <w:style w:type="paragraph" w:customStyle="1" w:styleId="3653">
    <w:name w:val="表内宋5115"/>
    <w:basedOn w:val="81"/>
    <w:autoRedefine/>
    <w:qFormat/>
    <w:uiPriority w:val="0"/>
    <w:pPr>
      <w:widowControl w:val="0"/>
      <w:spacing w:before="0" w:beforeAutospacing="0" w:after="0" w:afterAutospacing="0"/>
      <w:jc w:val="both"/>
    </w:pPr>
    <w:rPr>
      <w:rFonts w:ascii="Times New Roman" w:hAnsi="Times New Roman"/>
      <w:kern w:val="2"/>
      <w:szCs w:val="24"/>
      <w:lang w:val="zh-CN"/>
    </w:rPr>
  </w:style>
  <w:style w:type="paragraph" w:customStyle="1" w:styleId="3654">
    <w:name w:val="文本框5"/>
    <w:basedOn w:val="1"/>
    <w:autoRedefine/>
    <w:qFormat/>
    <w:uiPriority w:val="0"/>
    <w:pPr>
      <w:adjustRightInd w:val="0"/>
      <w:snapToGrid w:val="0"/>
      <w:spacing w:after="6"/>
      <w:jc w:val="center"/>
    </w:pPr>
    <w:rPr>
      <w:rFonts w:eastAsia="仿宋_GB2312"/>
    </w:rPr>
  </w:style>
  <w:style w:type="paragraph" w:customStyle="1" w:styleId="3655">
    <w:name w:val="正文.5"/>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656">
    <w:name w:val="Char Char2 Char Char Char Char10"/>
    <w:basedOn w:val="1"/>
    <w:autoRedefine/>
    <w:qFormat/>
    <w:uiPriority w:val="0"/>
  </w:style>
  <w:style w:type="paragraph" w:customStyle="1" w:styleId="3657">
    <w:name w:val="Char49"/>
    <w:basedOn w:val="1"/>
    <w:autoRedefine/>
    <w:qFormat/>
    <w:uiPriority w:val="0"/>
    <w:pPr>
      <w:ind w:left="-48"/>
    </w:pPr>
  </w:style>
  <w:style w:type="character" w:customStyle="1" w:styleId="3658">
    <w:name w:val="Char Char44"/>
    <w:autoRedefine/>
    <w:qFormat/>
    <w:uiPriority w:val="0"/>
    <w:rPr>
      <w:rFonts w:ascii="黑体" w:hAnsi="Arial" w:eastAsia="黑体"/>
      <w:b/>
      <w:bCs/>
      <w:kern w:val="2"/>
      <w:sz w:val="30"/>
      <w:szCs w:val="30"/>
      <w:lang w:val="en-US" w:eastAsia="zh-CN" w:bidi="ar-SA"/>
    </w:rPr>
  </w:style>
  <w:style w:type="character" w:customStyle="1" w:styleId="3659">
    <w:name w:val="Char Char33"/>
    <w:autoRedefine/>
    <w:qFormat/>
    <w:uiPriority w:val="0"/>
    <w:rPr>
      <w:rFonts w:ascii="黑体" w:hAnsi="宋体" w:eastAsia="黑体"/>
      <w:b/>
      <w:bCs/>
      <w:kern w:val="2"/>
      <w:sz w:val="28"/>
      <w:szCs w:val="28"/>
      <w:lang w:val="en-US" w:eastAsia="zh-CN" w:bidi="ar-SA"/>
    </w:rPr>
  </w:style>
  <w:style w:type="character" w:customStyle="1" w:styleId="3660">
    <w:name w:val="标题 2 Char Char2"/>
    <w:autoRedefine/>
    <w:qFormat/>
    <w:uiPriority w:val="0"/>
    <w:rPr>
      <w:rFonts w:ascii="黑体" w:hAnsi="Arial" w:eastAsia="黑体"/>
      <w:b/>
      <w:bCs/>
      <w:kern w:val="2"/>
      <w:sz w:val="30"/>
      <w:szCs w:val="30"/>
      <w:lang w:val="en-US" w:eastAsia="zh-CN" w:bidi="ar-SA"/>
    </w:rPr>
  </w:style>
  <w:style w:type="character" w:customStyle="1" w:styleId="3661">
    <w:name w:val="标题 3 Char Char12"/>
    <w:autoRedefine/>
    <w:qFormat/>
    <w:uiPriority w:val="0"/>
    <w:rPr>
      <w:rFonts w:ascii="黑体" w:hAnsi="宋体" w:eastAsia="黑体"/>
      <w:b/>
      <w:bCs/>
      <w:kern w:val="2"/>
      <w:sz w:val="28"/>
      <w:szCs w:val="28"/>
      <w:lang w:val="en-US" w:eastAsia="zh-CN" w:bidi="ar-SA"/>
    </w:rPr>
  </w:style>
  <w:style w:type="paragraph" w:customStyle="1" w:styleId="3662">
    <w:name w:val="首行缩进:  0.99 厘米 + 首行缩进:  2 字符4"/>
    <w:basedOn w:val="1"/>
    <w:autoRedefine/>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663">
    <w:name w:val="图表名称4"/>
    <w:basedOn w:val="316"/>
    <w:autoRedefine/>
    <w:qFormat/>
    <w:uiPriority w:val="0"/>
    <w:pPr>
      <w:adjustRightInd w:val="0"/>
      <w:snapToGrid w:val="0"/>
      <w:spacing w:after="0" w:line="480" w:lineRule="exact"/>
      <w:ind w:firstLine="0" w:firstLineChars="0"/>
      <w:jc w:val="center"/>
    </w:pPr>
    <w:rPr>
      <w:bCs/>
      <w:kern w:val="2"/>
      <w:lang w:val="zh-CN"/>
    </w:rPr>
  </w:style>
  <w:style w:type="paragraph" w:customStyle="1" w:styleId="3664">
    <w:name w:val="表内文字边4"/>
    <w:basedOn w:val="1"/>
    <w:autoRedefine/>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665">
    <w:name w:val="正文缩4"/>
    <w:basedOn w:val="1"/>
    <w:autoRedefine/>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666">
    <w:name w:val="样式24"/>
    <w:basedOn w:val="1"/>
    <w:autoRedefine/>
    <w:qFormat/>
    <w:uiPriority w:val="0"/>
    <w:pPr>
      <w:adjustRightInd w:val="0"/>
      <w:spacing w:line="360" w:lineRule="auto"/>
      <w:jc w:val="center"/>
      <w:textAlignment w:val="baseline"/>
      <w:outlineLvl w:val="0"/>
    </w:pPr>
    <w:rPr>
      <w:kern w:val="0"/>
      <w:szCs w:val="20"/>
    </w:rPr>
  </w:style>
  <w:style w:type="character" w:customStyle="1" w:styleId="3667">
    <w:name w:val="样式 黑色1"/>
    <w:autoRedefine/>
    <w:qFormat/>
    <w:uiPriority w:val="0"/>
    <w:rPr>
      <w:rFonts w:eastAsia="宋体"/>
      <w:color w:val="auto"/>
      <w:kern w:val="2"/>
      <w:sz w:val="24"/>
      <w:szCs w:val="24"/>
      <w:lang w:val="en-US" w:eastAsia="zh-CN" w:bidi="ar-SA"/>
    </w:rPr>
  </w:style>
  <w:style w:type="paragraph" w:customStyle="1" w:styleId="3668">
    <w:name w:val="默认段落字体 Para Char Char Char Char Char4"/>
    <w:basedOn w:val="1"/>
    <w:autoRedefine/>
    <w:qFormat/>
    <w:uiPriority w:val="0"/>
  </w:style>
  <w:style w:type="paragraph" w:customStyle="1" w:styleId="3669">
    <w:name w:val="表内宋5中6"/>
    <w:basedOn w:val="1"/>
    <w:autoRedefine/>
    <w:qFormat/>
    <w:uiPriority w:val="0"/>
    <w:pPr>
      <w:adjustRightInd w:val="0"/>
      <w:snapToGrid w:val="0"/>
      <w:textAlignment w:val="baseline"/>
    </w:pPr>
    <w:rPr>
      <w:color w:val="000000"/>
      <w:kern w:val="0"/>
      <w:szCs w:val="20"/>
    </w:rPr>
  </w:style>
  <w:style w:type="paragraph" w:customStyle="1" w:styleId="3670">
    <w:name w:val="样式 标题 3 + 段前: 12 磅4"/>
    <w:basedOn w:val="7"/>
    <w:autoRedefine/>
    <w:qFormat/>
    <w:uiPriority w:val="0"/>
    <w:pPr>
      <w:keepNext w:val="0"/>
      <w:keepLines w:val="0"/>
      <w:widowControl/>
      <w:autoSpaceDE w:val="0"/>
      <w:autoSpaceDN w:val="0"/>
      <w:snapToGrid w:val="0"/>
      <w:spacing w:before="0" w:line="360" w:lineRule="auto"/>
      <w:jc w:val="both"/>
      <w:textAlignment w:val="auto"/>
    </w:pPr>
    <w:rPr>
      <w:rFonts w:ascii="黑体" w:hAnsi="宋体" w:cs="宋体"/>
      <w:color w:val="000000"/>
      <w:kern w:val="21"/>
      <w:sz w:val="24"/>
      <w:szCs w:val="20"/>
    </w:rPr>
  </w:style>
  <w:style w:type="paragraph" w:customStyle="1" w:styleId="3671">
    <w:name w:val="表内文字小6"/>
    <w:basedOn w:val="1"/>
    <w:autoRedefine/>
    <w:qFormat/>
    <w:uiPriority w:val="0"/>
    <w:pPr>
      <w:adjustRightInd w:val="0"/>
      <w:snapToGrid w:val="0"/>
      <w:jc w:val="center"/>
    </w:pPr>
    <w:rPr>
      <w:rFonts w:ascii="宋体" w:hAnsi="Times"/>
      <w:szCs w:val="20"/>
    </w:rPr>
  </w:style>
  <w:style w:type="paragraph" w:customStyle="1" w:styleId="3672">
    <w:name w:val="表内56"/>
    <w:basedOn w:val="1"/>
    <w:autoRedefine/>
    <w:qFormat/>
    <w:uiPriority w:val="0"/>
    <w:pPr>
      <w:adjustRightInd w:val="0"/>
      <w:snapToGrid w:val="0"/>
      <w:spacing w:line="300" w:lineRule="auto"/>
      <w:jc w:val="left"/>
    </w:pPr>
    <w:rPr>
      <w:rFonts w:ascii="宋体"/>
      <w:sz w:val="18"/>
      <w:szCs w:val="20"/>
    </w:rPr>
  </w:style>
  <w:style w:type="paragraph" w:customStyle="1" w:styleId="3673">
    <w:name w:val="表内宋54"/>
    <w:basedOn w:val="2165"/>
    <w:autoRedefine/>
    <w:qFormat/>
    <w:uiPriority w:val="0"/>
    <w:pPr>
      <w:widowControl/>
      <w:autoSpaceDE w:val="0"/>
      <w:autoSpaceDN w:val="0"/>
      <w:jc w:val="left"/>
      <w:textAlignment w:val="auto"/>
    </w:pPr>
    <w:rPr>
      <w:color w:val="auto"/>
      <w:w w:val="90"/>
    </w:rPr>
  </w:style>
  <w:style w:type="paragraph" w:customStyle="1" w:styleId="3674">
    <w:name w:val="Char Char Char Char1 Char Char Char7"/>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675">
    <w:name w:val="正文格式17"/>
    <w:basedOn w:val="1"/>
    <w:autoRedefine/>
    <w:qFormat/>
    <w:uiPriority w:val="0"/>
    <w:pPr>
      <w:spacing w:line="360" w:lineRule="auto"/>
      <w:ind w:firstLine="482"/>
    </w:pPr>
    <w:rPr>
      <w:rFonts w:ascii="宋体" w:hAnsi="宋体"/>
      <w:sz w:val="24"/>
    </w:rPr>
  </w:style>
  <w:style w:type="paragraph" w:customStyle="1" w:styleId="3676">
    <w:name w:val="图题15"/>
    <w:basedOn w:val="403"/>
    <w:next w:val="403"/>
    <w:autoRedefine/>
    <w:qFormat/>
    <w:uiPriority w:val="0"/>
    <w:pPr>
      <w:ind w:firstLine="0"/>
      <w:jc w:val="center"/>
    </w:pPr>
    <w:rPr>
      <w:rFonts w:ascii="黑体" w:hAnsi="宋体" w:eastAsia="黑体"/>
      <w:b/>
      <w:bCs/>
    </w:rPr>
  </w:style>
  <w:style w:type="paragraph" w:customStyle="1" w:styleId="3677">
    <w:name w:val="表格内字体16"/>
    <w:basedOn w:val="403"/>
    <w:next w:val="403"/>
    <w:autoRedefine/>
    <w:qFormat/>
    <w:uiPriority w:val="0"/>
    <w:pPr>
      <w:spacing w:line="240" w:lineRule="auto"/>
      <w:ind w:firstLine="0"/>
      <w:jc w:val="center"/>
    </w:pPr>
    <w:rPr>
      <w:rFonts w:hAnsi="宋体" w:cs="Times New Roman"/>
      <w:sz w:val="21"/>
    </w:rPr>
  </w:style>
  <w:style w:type="character" w:customStyle="1" w:styleId="3678">
    <w:name w:val="表格内字体 Char12"/>
    <w:autoRedefine/>
    <w:qFormat/>
    <w:uiPriority w:val="0"/>
    <w:rPr>
      <w:rFonts w:ascii="宋体" w:hAnsi="宋体" w:eastAsia="宋体"/>
      <w:kern w:val="2"/>
      <w:sz w:val="21"/>
      <w:szCs w:val="24"/>
      <w:lang w:val="en-US" w:eastAsia="zh-CN" w:bidi="ar-SA"/>
    </w:rPr>
  </w:style>
  <w:style w:type="character" w:customStyle="1" w:styleId="3679">
    <w:name w:val="正文格式 Char14"/>
    <w:autoRedefine/>
    <w:qFormat/>
    <w:uiPriority w:val="0"/>
    <w:rPr>
      <w:rFonts w:ascii="宋体" w:hAnsi="宋体" w:eastAsia="宋体"/>
      <w:kern w:val="2"/>
      <w:sz w:val="24"/>
      <w:szCs w:val="24"/>
      <w:lang w:val="en-US" w:eastAsia="zh-CN" w:bidi="ar-SA"/>
    </w:rPr>
  </w:style>
  <w:style w:type="character" w:customStyle="1" w:styleId="3680">
    <w:name w:val="Char Char117"/>
    <w:autoRedefine/>
    <w:qFormat/>
    <w:uiPriority w:val="0"/>
    <w:rPr>
      <w:rFonts w:ascii="黑体" w:hAnsi="Arial" w:eastAsia="黑体"/>
      <w:bCs/>
      <w:kern w:val="2"/>
      <w:sz w:val="30"/>
      <w:szCs w:val="30"/>
      <w:lang w:val="en-US" w:eastAsia="zh-CN" w:bidi="ar-SA"/>
    </w:rPr>
  </w:style>
  <w:style w:type="character" w:customStyle="1" w:styleId="3681">
    <w:name w:val="Char Char53"/>
    <w:autoRedefine/>
    <w:qFormat/>
    <w:uiPriority w:val="0"/>
    <w:rPr>
      <w:rFonts w:ascii="黑体" w:hAnsi="宋体" w:eastAsia="黑体"/>
      <w:bCs/>
      <w:kern w:val="2"/>
      <w:sz w:val="28"/>
      <w:szCs w:val="28"/>
      <w:lang w:val="en-US" w:eastAsia="zh-CN" w:bidi="ar-SA"/>
    </w:rPr>
  </w:style>
  <w:style w:type="paragraph" w:customStyle="1" w:styleId="3682">
    <w:name w:val="Char117"/>
    <w:basedOn w:val="1"/>
    <w:autoRedefine/>
    <w:qFormat/>
    <w:uiPriority w:val="0"/>
    <w:pPr>
      <w:ind w:left="-48"/>
    </w:pPr>
  </w:style>
  <w:style w:type="paragraph" w:customStyle="1" w:styleId="3683">
    <w:name w:val="正文格式＝14"/>
    <w:basedOn w:val="403"/>
    <w:next w:val="403"/>
    <w:autoRedefine/>
    <w:qFormat/>
    <w:uiPriority w:val="0"/>
    <w:rPr>
      <w:rFonts w:hAnsi="宋体" w:cs="Times New Roman"/>
    </w:rPr>
  </w:style>
  <w:style w:type="character" w:customStyle="1" w:styleId="3684">
    <w:name w:val="正文缩进 Char14"/>
    <w:autoRedefine/>
    <w:qFormat/>
    <w:uiPriority w:val="0"/>
    <w:rPr>
      <w:rFonts w:ascii="宋体" w:hAnsi="宋体" w:eastAsia="宋体" w:cs="宋体"/>
      <w:color w:val="000000"/>
      <w:kern w:val="2"/>
      <w:sz w:val="24"/>
      <w:szCs w:val="24"/>
      <w:lang w:val="en-US" w:eastAsia="zh-CN" w:bidi="ar-SA"/>
    </w:rPr>
  </w:style>
  <w:style w:type="character" w:customStyle="1" w:styleId="3685">
    <w:name w:val="正文格式 Char21"/>
    <w:autoRedefine/>
    <w:qFormat/>
    <w:uiPriority w:val="0"/>
    <w:rPr>
      <w:rFonts w:ascii="宋体" w:hAnsi="宋体" w:eastAsia="宋体"/>
      <w:kern w:val="2"/>
      <w:sz w:val="24"/>
      <w:szCs w:val="24"/>
      <w:lang w:val="en-US" w:eastAsia="zh-CN" w:bidi="ar-SA"/>
    </w:rPr>
  </w:style>
  <w:style w:type="paragraph" w:customStyle="1" w:styleId="3686">
    <w:name w:val="Char118"/>
    <w:basedOn w:val="1"/>
    <w:autoRedefine/>
    <w:qFormat/>
    <w:uiPriority w:val="0"/>
    <w:pPr>
      <w:adjustRightInd w:val="0"/>
      <w:snapToGrid w:val="0"/>
      <w:spacing w:beforeLines="50" w:line="360" w:lineRule="auto"/>
    </w:pPr>
    <w:rPr>
      <w:rFonts w:ascii="黑体" w:eastAsia="黑体"/>
      <w:sz w:val="32"/>
      <w:szCs w:val="32"/>
    </w:rPr>
  </w:style>
  <w:style w:type="character" w:customStyle="1" w:styleId="3687">
    <w:name w:val="标题 2 Char Char11"/>
    <w:autoRedefine/>
    <w:qFormat/>
    <w:uiPriority w:val="0"/>
    <w:rPr>
      <w:rFonts w:ascii="黑体" w:hAnsi="Arial" w:eastAsia="黑体"/>
      <w:bCs/>
      <w:kern w:val="2"/>
      <w:sz w:val="30"/>
      <w:szCs w:val="30"/>
      <w:lang w:val="en-US" w:eastAsia="zh-CN" w:bidi="ar-SA"/>
    </w:rPr>
  </w:style>
  <w:style w:type="character" w:customStyle="1" w:styleId="3688">
    <w:name w:val="标题 3 Char Char111"/>
    <w:autoRedefine/>
    <w:qFormat/>
    <w:uiPriority w:val="0"/>
    <w:rPr>
      <w:rFonts w:ascii="黑体" w:hAnsi="宋体" w:eastAsia="黑体"/>
      <w:bCs/>
      <w:kern w:val="2"/>
      <w:sz w:val="28"/>
      <w:szCs w:val="28"/>
      <w:lang w:val="en-US" w:eastAsia="zh-CN" w:bidi="ar-SA"/>
    </w:rPr>
  </w:style>
  <w:style w:type="character" w:customStyle="1" w:styleId="3689">
    <w:name w:val="题注 Char14"/>
    <w:autoRedefine/>
    <w:qFormat/>
    <w:uiPriority w:val="0"/>
    <w:rPr>
      <w:rFonts w:ascii="黑体" w:hAnsi="Arial" w:eastAsia="黑体" w:cs="Arial"/>
      <w:b/>
      <w:kern w:val="2"/>
      <w:sz w:val="24"/>
      <w:szCs w:val="24"/>
      <w:lang w:val="en-US" w:eastAsia="zh-CN" w:bidi="ar-SA"/>
    </w:rPr>
  </w:style>
  <w:style w:type="character" w:customStyle="1" w:styleId="3690">
    <w:name w:val="表格内字体 Char21"/>
    <w:autoRedefine/>
    <w:qFormat/>
    <w:uiPriority w:val="0"/>
    <w:rPr>
      <w:rFonts w:ascii="宋体" w:hAnsi="宋体" w:eastAsia="宋体"/>
      <w:kern w:val="2"/>
      <w:sz w:val="21"/>
      <w:szCs w:val="24"/>
      <w:lang w:val="en-US" w:eastAsia="zh-CN" w:bidi="ar-SA"/>
    </w:rPr>
  </w:style>
  <w:style w:type="character" w:customStyle="1" w:styleId="3691">
    <w:name w:val="正文缩进 Char21"/>
    <w:autoRedefine/>
    <w:qFormat/>
    <w:uiPriority w:val="0"/>
    <w:rPr>
      <w:rFonts w:ascii="宋体" w:hAnsi="宋体" w:eastAsia="宋体" w:cs="宋体"/>
      <w:color w:val="000000"/>
      <w:kern w:val="2"/>
      <w:sz w:val="24"/>
      <w:szCs w:val="24"/>
      <w:lang w:val="en-US" w:eastAsia="zh-CN" w:bidi="ar-SA"/>
    </w:rPr>
  </w:style>
  <w:style w:type="paragraph" w:customStyle="1" w:styleId="3692">
    <w:name w:val="表内54114"/>
    <w:basedOn w:val="1"/>
    <w:autoRedefine/>
    <w:qFormat/>
    <w:uiPriority w:val="0"/>
    <w:pPr>
      <w:adjustRightInd w:val="0"/>
      <w:snapToGrid w:val="0"/>
      <w:spacing w:line="300" w:lineRule="auto"/>
      <w:jc w:val="center"/>
    </w:pPr>
    <w:rPr>
      <w:rFonts w:ascii="宋体" w:hAnsi="宋体" w:cs="宋体"/>
      <w:szCs w:val="20"/>
    </w:rPr>
  </w:style>
  <w:style w:type="paragraph" w:customStyle="1" w:styleId="3693">
    <w:name w:val="表内文字小2114"/>
    <w:basedOn w:val="1"/>
    <w:autoRedefine/>
    <w:qFormat/>
    <w:uiPriority w:val="0"/>
    <w:pPr>
      <w:adjustRightInd w:val="0"/>
      <w:snapToGrid w:val="0"/>
      <w:jc w:val="center"/>
    </w:pPr>
    <w:rPr>
      <w:rFonts w:ascii="宋体" w:hAnsi="Times"/>
      <w:bCs/>
      <w:color w:val="000000"/>
      <w:szCs w:val="20"/>
    </w:rPr>
  </w:style>
  <w:style w:type="paragraph" w:customStyle="1" w:styleId="3694">
    <w:name w:val="表题3114"/>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695">
    <w:name w:val="Char Char Char Char Char Char Char110"/>
    <w:basedOn w:val="1"/>
    <w:autoRedefine/>
    <w:qFormat/>
    <w:uiPriority w:val="0"/>
  </w:style>
  <w:style w:type="paragraph" w:customStyle="1" w:styleId="3696">
    <w:name w:val="标题43114"/>
    <w:basedOn w:val="1"/>
    <w:autoRedefine/>
    <w:qFormat/>
    <w:uiPriority w:val="0"/>
    <w:pPr>
      <w:adjustRightInd w:val="0"/>
      <w:snapToGrid w:val="0"/>
      <w:spacing w:line="480" w:lineRule="exact"/>
      <w:jc w:val="center"/>
    </w:pPr>
    <w:rPr>
      <w:rFonts w:ascii="宋体" w:hAnsi="宋体" w:cs="宋体"/>
      <w:sz w:val="24"/>
    </w:rPr>
  </w:style>
  <w:style w:type="paragraph" w:customStyle="1" w:styleId="3697">
    <w:name w:val="燕山正文1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698">
    <w:name w:val="默认段落字体 Para Char Char Char Char14"/>
    <w:basedOn w:val="1"/>
    <w:autoRedefine/>
    <w:qFormat/>
    <w:uiPriority w:val="0"/>
  </w:style>
  <w:style w:type="paragraph" w:customStyle="1" w:styleId="3699">
    <w:name w:val="附件14"/>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3700">
    <w:name w:val="黑体三号14"/>
    <w:basedOn w:val="403"/>
    <w:autoRedefine/>
    <w:qFormat/>
    <w:uiPriority w:val="0"/>
    <w:pPr>
      <w:jc w:val="center"/>
    </w:pPr>
    <w:rPr>
      <w:rFonts w:ascii="黑体" w:hAnsi="宋体" w:eastAsia="黑体"/>
      <w:b/>
      <w:bCs/>
      <w:sz w:val="32"/>
      <w:szCs w:val="20"/>
    </w:rPr>
  </w:style>
  <w:style w:type="paragraph" w:customStyle="1" w:styleId="3701">
    <w:name w:val="表14"/>
    <w:basedOn w:val="1"/>
    <w:autoRedefine/>
    <w:qFormat/>
    <w:uiPriority w:val="0"/>
    <w:pPr>
      <w:adjustRightInd w:val="0"/>
      <w:snapToGrid w:val="0"/>
      <w:jc w:val="center"/>
    </w:pPr>
    <w:rPr>
      <w:rFonts w:eastAsia="仿宋_GB2312"/>
      <w:sz w:val="24"/>
    </w:rPr>
  </w:style>
  <w:style w:type="character" w:customStyle="1" w:styleId="3702">
    <w:name w:val="Char Char213"/>
    <w:autoRedefine/>
    <w:qFormat/>
    <w:uiPriority w:val="0"/>
    <w:rPr>
      <w:rFonts w:ascii="黑体" w:eastAsia="宋体"/>
      <w:kern w:val="2"/>
      <w:sz w:val="16"/>
      <w:szCs w:val="16"/>
      <w:lang w:val="en-US" w:eastAsia="zh-CN" w:bidi="ar-SA"/>
    </w:rPr>
  </w:style>
  <w:style w:type="character" w:customStyle="1" w:styleId="3703">
    <w:name w:val="Char Char123"/>
    <w:autoRedefine/>
    <w:qFormat/>
    <w:uiPriority w:val="0"/>
    <w:rPr>
      <w:rFonts w:ascii="黑体" w:hAnsi="Arial" w:eastAsia="黑体"/>
      <w:b/>
      <w:bCs/>
      <w:kern w:val="2"/>
      <w:sz w:val="30"/>
      <w:szCs w:val="30"/>
      <w:lang w:val="en-US" w:eastAsia="zh-CN" w:bidi="ar-SA"/>
    </w:rPr>
  </w:style>
  <w:style w:type="character" w:customStyle="1" w:styleId="3704">
    <w:name w:val="Char Char68"/>
    <w:autoRedefine/>
    <w:qFormat/>
    <w:uiPriority w:val="0"/>
    <w:rPr>
      <w:rFonts w:ascii="黑体" w:eastAsia="黑体"/>
      <w:b/>
      <w:bCs/>
      <w:kern w:val="2"/>
      <w:sz w:val="28"/>
      <w:szCs w:val="28"/>
      <w:lang w:val="en-US" w:eastAsia="zh-CN" w:bidi="ar-SA"/>
    </w:rPr>
  </w:style>
  <w:style w:type="paragraph" w:customStyle="1" w:styleId="3705">
    <w:name w:val="燕山正文16"/>
    <w:basedOn w:val="1"/>
    <w:autoRedefine/>
    <w:qFormat/>
    <w:uiPriority w:val="0"/>
    <w:pPr>
      <w:tabs>
        <w:tab w:val="left" w:pos="4680"/>
      </w:tabs>
      <w:adjustRightInd w:val="0"/>
      <w:snapToGrid w:val="0"/>
      <w:spacing w:line="480" w:lineRule="exact"/>
    </w:pPr>
    <w:rPr>
      <w:rFonts w:ascii="宋体" w:cs="宋体"/>
      <w:sz w:val="24"/>
    </w:rPr>
  </w:style>
  <w:style w:type="character" w:customStyle="1" w:styleId="3706">
    <w:name w:val="燕山正文 Char111"/>
    <w:autoRedefine/>
    <w:qFormat/>
    <w:uiPriority w:val="0"/>
    <w:rPr>
      <w:rFonts w:ascii="宋体" w:eastAsia="宋体" w:cs="宋体"/>
      <w:kern w:val="2"/>
      <w:sz w:val="24"/>
      <w:szCs w:val="24"/>
      <w:lang w:val="en-US" w:eastAsia="zh-CN" w:bidi="ar-SA"/>
    </w:rPr>
  </w:style>
  <w:style w:type="paragraph" w:customStyle="1" w:styleId="3707">
    <w:name w:val="正文修改14"/>
    <w:basedOn w:val="2088"/>
    <w:autoRedefine/>
    <w:qFormat/>
    <w:uiPriority w:val="0"/>
    <w:rPr>
      <w:rFonts w:hAnsi="宋体"/>
      <w:color w:val="000000"/>
    </w:rPr>
  </w:style>
  <w:style w:type="character" w:customStyle="1" w:styleId="3708">
    <w:name w:val="正文修改 Char114"/>
    <w:autoRedefine/>
    <w:qFormat/>
    <w:uiPriority w:val="0"/>
    <w:rPr>
      <w:rFonts w:ascii="宋体" w:hAnsi="宋体" w:eastAsia="宋体" w:cs="宋体"/>
      <w:color w:val="000000"/>
      <w:sz w:val="24"/>
      <w:szCs w:val="24"/>
    </w:rPr>
  </w:style>
  <w:style w:type="character" w:customStyle="1" w:styleId="3709">
    <w:name w:val="表中文字 Char211"/>
    <w:autoRedefine/>
    <w:qFormat/>
    <w:uiPriority w:val="0"/>
    <w:rPr>
      <w:rFonts w:ascii="宋体" w:eastAsia="宋体"/>
      <w:kern w:val="2"/>
      <w:sz w:val="21"/>
      <w:szCs w:val="21"/>
      <w:lang w:val="en-US" w:eastAsia="zh-CN" w:bidi="ar-SA"/>
    </w:rPr>
  </w:style>
  <w:style w:type="paragraph" w:customStyle="1" w:styleId="3710">
    <w:name w:val="表内文字小3114"/>
    <w:basedOn w:val="1"/>
    <w:autoRedefine/>
    <w:qFormat/>
    <w:uiPriority w:val="0"/>
    <w:pPr>
      <w:adjustRightInd w:val="0"/>
      <w:snapToGrid w:val="0"/>
      <w:jc w:val="center"/>
    </w:pPr>
    <w:rPr>
      <w:rFonts w:ascii="宋体" w:hAnsi="Times" w:cs="宋体"/>
      <w:bCs/>
      <w:color w:val="003366"/>
      <w:szCs w:val="20"/>
    </w:rPr>
  </w:style>
  <w:style w:type="paragraph" w:customStyle="1" w:styleId="3711">
    <w:name w:val="样式114"/>
    <w:basedOn w:val="2137"/>
    <w:autoRedefine/>
    <w:qFormat/>
    <w:uiPriority w:val="0"/>
    <w:pPr>
      <w:spacing w:line="240" w:lineRule="auto"/>
      <w:ind w:firstLine="0"/>
      <w:jc w:val="center"/>
    </w:pPr>
    <w:rPr>
      <w:rFonts w:cs="Times New Roman"/>
      <w:b/>
      <w:color w:val="auto"/>
      <w:szCs w:val="20"/>
    </w:rPr>
  </w:style>
  <w:style w:type="paragraph" w:customStyle="1" w:styleId="3712">
    <w:name w:val="正文格式＝24"/>
    <w:basedOn w:val="403"/>
    <w:next w:val="403"/>
    <w:autoRedefine/>
    <w:semiHidden/>
    <w:qFormat/>
    <w:uiPriority w:val="0"/>
    <w:rPr>
      <w:rFonts w:hAnsi="宋体" w:cs="Times New Roman"/>
    </w:rPr>
  </w:style>
  <w:style w:type="paragraph" w:customStyle="1" w:styleId="3713">
    <w:name w:val="Char213"/>
    <w:basedOn w:val="1"/>
    <w:autoRedefine/>
    <w:qFormat/>
    <w:uiPriority w:val="0"/>
    <w:pPr>
      <w:ind w:left="-48"/>
    </w:pPr>
  </w:style>
  <w:style w:type="paragraph" w:customStyle="1" w:styleId="3714">
    <w:name w:val="正文格式34"/>
    <w:basedOn w:val="1"/>
    <w:autoRedefine/>
    <w:qFormat/>
    <w:uiPriority w:val="0"/>
    <w:pPr>
      <w:spacing w:line="360" w:lineRule="auto"/>
      <w:ind w:firstLine="482"/>
    </w:pPr>
    <w:rPr>
      <w:rFonts w:ascii="宋体" w:hAnsi="宋体"/>
      <w:sz w:val="24"/>
    </w:rPr>
  </w:style>
  <w:style w:type="character" w:customStyle="1" w:styleId="3715">
    <w:name w:val="正文格式 Char31"/>
    <w:autoRedefine/>
    <w:qFormat/>
    <w:uiPriority w:val="0"/>
    <w:rPr>
      <w:rFonts w:ascii="宋体" w:hAnsi="宋体" w:eastAsia="宋体"/>
      <w:kern w:val="2"/>
      <w:sz w:val="24"/>
      <w:szCs w:val="24"/>
      <w:lang w:val="en-US" w:eastAsia="zh-CN" w:bidi="ar-SA"/>
    </w:rPr>
  </w:style>
  <w:style w:type="paragraph" w:customStyle="1" w:styleId="3716">
    <w:name w:val="Char214"/>
    <w:basedOn w:val="1"/>
    <w:autoRedefine/>
    <w:qFormat/>
    <w:uiPriority w:val="0"/>
    <w:pPr>
      <w:adjustRightInd w:val="0"/>
      <w:snapToGrid w:val="0"/>
      <w:spacing w:beforeLines="50" w:line="360" w:lineRule="auto"/>
    </w:pPr>
    <w:rPr>
      <w:rFonts w:ascii="黑体" w:eastAsia="黑体"/>
      <w:sz w:val="32"/>
      <w:szCs w:val="32"/>
    </w:rPr>
  </w:style>
  <w:style w:type="character" w:customStyle="1" w:styleId="3717">
    <w:name w:val="标题 2 Char11"/>
    <w:autoRedefine/>
    <w:qFormat/>
    <w:uiPriority w:val="0"/>
    <w:rPr>
      <w:rFonts w:hAnsi="Arial" w:eastAsia="宋体"/>
      <w:bCs/>
      <w:kern w:val="2"/>
      <w:sz w:val="30"/>
      <w:szCs w:val="30"/>
      <w:lang w:val="en-US" w:eastAsia="zh-CN" w:bidi="ar-SA"/>
    </w:rPr>
  </w:style>
  <w:style w:type="character" w:customStyle="1" w:styleId="3718">
    <w:name w:val="标题 3 Char15"/>
    <w:autoRedefine/>
    <w:qFormat/>
    <w:uiPriority w:val="0"/>
    <w:rPr>
      <w:rFonts w:hAnsi="宋体" w:eastAsia="宋体"/>
      <w:bCs/>
      <w:kern w:val="2"/>
      <w:sz w:val="28"/>
      <w:szCs w:val="28"/>
      <w:lang w:val="en-US" w:eastAsia="zh-CN" w:bidi="ar-SA"/>
    </w:rPr>
  </w:style>
  <w:style w:type="character" w:customStyle="1" w:styleId="3719">
    <w:name w:val="题注 Char24"/>
    <w:autoRedefine/>
    <w:qFormat/>
    <w:uiPriority w:val="0"/>
    <w:rPr>
      <w:rFonts w:ascii="黑体" w:hAnsi="Arial" w:eastAsia="黑体" w:cs="Arial"/>
      <w:b/>
      <w:kern w:val="2"/>
      <w:sz w:val="24"/>
      <w:szCs w:val="24"/>
      <w:lang w:val="en-US" w:eastAsia="zh-CN" w:bidi="ar-SA"/>
    </w:rPr>
  </w:style>
  <w:style w:type="paragraph" w:customStyle="1" w:styleId="3720">
    <w:name w:val="图题34"/>
    <w:basedOn w:val="403"/>
    <w:next w:val="403"/>
    <w:autoRedefine/>
    <w:qFormat/>
    <w:uiPriority w:val="0"/>
    <w:pPr>
      <w:ind w:firstLine="0"/>
      <w:jc w:val="center"/>
    </w:pPr>
    <w:rPr>
      <w:rFonts w:ascii="黑体" w:hAnsi="宋体" w:eastAsia="黑体"/>
      <w:b/>
      <w:bCs/>
    </w:rPr>
  </w:style>
  <w:style w:type="paragraph" w:customStyle="1" w:styleId="3721">
    <w:name w:val="表格内字体34"/>
    <w:basedOn w:val="403"/>
    <w:next w:val="403"/>
    <w:autoRedefine/>
    <w:qFormat/>
    <w:uiPriority w:val="0"/>
    <w:pPr>
      <w:spacing w:line="240" w:lineRule="auto"/>
      <w:ind w:firstLine="0"/>
      <w:jc w:val="center"/>
    </w:pPr>
    <w:rPr>
      <w:rFonts w:hAnsi="宋体" w:cs="Times New Roman"/>
      <w:sz w:val="21"/>
    </w:rPr>
  </w:style>
  <w:style w:type="character" w:customStyle="1" w:styleId="3722">
    <w:name w:val="表格内字体 Char31"/>
    <w:autoRedefine/>
    <w:qFormat/>
    <w:uiPriority w:val="0"/>
    <w:rPr>
      <w:rFonts w:ascii="宋体" w:hAnsi="宋体" w:eastAsia="宋体"/>
      <w:kern w:val="2"/>
      <w:sz w:val="21"/>
      <w:szCs w:val="24"/>
      <w:lang w:val="en-US" w:eastAsia="zh-CN" w:bidi="ar-SA"/>
    </w:rPr>
  </w:style>
  <w:style w:type="character" w:customStyle="1" w:styleId="3723">
    <w:name w:val="正文缩进 Char41"/>
    <w:autoRedefine/>
    <w:qFormat/>
    <w:uiPriority w:val="0"/>
    <w:rPr>
      <w:rFonts w:ascii="宋体" w:hAnsi="宋体" w:eastAsia="宋体" w:cs="宋体"/>
      <w:color w:val="000000"/>
      <w:kern w:val="2"/>
      <w:sz w:val="24"/>
      <w:szCs w:val="24"/>
      <w:lang w:val="en-US" w:eastAsia="zh-CN" w:bidi="ar-SA"/>
    </w:rPr>
  </w:style>
  <w:style w:type="paragraph" w:customStyle="1" w:styleId="3724">
    <w:name w:val="表内54124"/>
    <w:basedOn w:val="1"/>
    <w:autoRedefine/>
    <w:qFormat/>
    <w:uiPriority w:val="0"/>
    <w:pPr>
      <w:adjustRightInd w:val="0"/>
      <w:snapToGrid w:val="0"/>
      <w:spacing w:line="300" w:lineRule="auto"/>
      <w:jc w:val="center"/>
    </w:pPr>
    <w:rPr>
      <w:rFonts w:ascii="宋体" w:hAnsi="宋体" w:cs="宋体"/>
      <w:szCs w:val="20"/>
    </w:rPr>
  </w:style>
  <w:style w:type="paragraph" w:customStyle="1" w:styleId="3725">
    <w:name w:val="表内文字小2124"/>
    <w:basedOn w:val="1"/>
    <w:autoRedefine/>
    <w:qFormat/>
    <w:uiPriority w:val="0"/>
    <w:pPr>
      <w:adjustRightInd w:val="0"/>
      <w:snapToGrid w:val="0"/>
      <w:jc w:val="center"/>
    </w:pPr>
    <w:rPr>
      <w:rFonts w:ascii="宋体" w:hAnsi="Times"/>
      <w:bCs/>
      <w:color w:val="000000"/>
      <w:szCs w:val="20"/>
    </w:rPr>
  </w:style>
  <w:style w:type="paragraph" w:customStyle="1" w:styleId="3726">
    <w:name w:val="表题3124"/>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727">
    <w:name w:val="标题43124"/>
    <w:basedOn w:val="1"/>
    <w:autoRedefine/>
    <w:qFormat/>
    <w:uiPriority w:val="0"/>
    <w:pPr>
      <w:adjustRightInd w:val="0"/>
      <w:snapToGrid w:val="0"/>
      <w:spacing w:line="480" w:lineRule="exact"/>
      <w:jc w:val="center"/>
    </w:pPr>
    <w:rPr>
      <w:rFonts w:ascii="宋体" w:hAnsi="宋体" w:cs="宋体"/>
      <w:sz w:val="24"/>
    </w:rPr>
  </w:style>
  <w:style w:type="paragraph" w:customStyle="1" w:styleId="3728">
    <w:name w:val="燕山正文112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29">
    <w:name w:val="默认段落字体 Para Char Char Char Char24"/>
    <w:basedOn w:val="1"/>
    <w:autoRedefine/>
    <w:qFormat/>
    <w:uiPriority w:val="0"/>
  </w:style>
  <w:style w:type="paragraph" w:customStyle="1" w:styleId="3730">
    <w:name w:val="附件24"/>
    <w:basedOn w:val="5"/>
    <w:next w:val="403"/>
    <w:autoRedefine/>
    <w:qFormat/>
    <w:uiPriority w:val="0"/>
    <w:pPr>
      <w:keepLines/>
      <w:overflowPunct/>
      <w:snapToGrid/>
      <w:spacing w:before="0" w:after="0" w:line="360" w:lineRule="auto"/>
      <w:ind w:left="0" w:firstLine="0"/>
      <w:jc w:val="left"/>
    </w:pPr>
    <w:rPr>
      <w:rFonts w:ascii="黑体" w:hAnsi="宋体"/>
      <w:b w:val="0"/>
      <w:color w:val="auto"/>
      <w:sz w:val="32"/>
      <w:szCs w:val="32"/>
    </w:rPr>
  </w:style>
  <w:style w:type="paragraph" w:customStyle="1" w:styleId="3731">
    <w:name w:val="黑体三号24"/>
    <w:basedOn w:val="403"/>
    <w:autoRedefine/>
    <w:qFormat/>
    <w:uiPriority w:val="0"/>
    <w:pPr>
      <w:jc w:val="center"/>
    </w:pPr>
    <w:rPr>
      <w:rFonts w:ascii="黑体" w:hAnsi="宋体" w:eastAsia="黑体"/>
      <w:b/>
      <w:bCs/>
      <w:sz w:val="32"/>
      <w:szCs w:val="20"/>
    </w:rPr>
  </w:style>
  <w:style w:type="paragraph" w:customStyle="1" w:styleId="3732">
    <w:name w:val="表24"/>
    <w:basedOn w:val="1"/>
    <w:autoRedefine/>
    <w:qFormat/>
    <w:uiPriority w:val="0"/>
    <w:pPr>
      <w:adjustRightInd w:val="0"/>
      <w:snapToGrid w:val="0"/>
      <w:jc w:val="center"/>
    </w:pPr>
    <w:rPr>
      <w:rFonts w:eastAsia="仿宋_GB2312"/>
      <w:sz w:val="24"/>
    </w:rPr>
  </w:style>
  <w:style w:type="character" w:customStyle="1" w:styleId="3733">
    <w:name w:val="正文文本缩进 3 Char11"/>
    <w:autoRedefine/>
    <w:qFormat/>
    <w:uiPriority w:val="0"/>
    <w:rPr>
      <w:rFonts w:eastAsia="宋体"/>
      <w:kern w:val="2"/>
      <w:sz w:val="16"/>
      <w:szCs w:val="16"/>
      <w:lang w:val="en-US" w:eastAsia="zh-CN" w:bidi="ar-SA"/>
    </w:rPr>
  </w:style>
  <w:style w:type="paragraph" w:customStyle="1" w:styleId="3734">
    <w:name w:val="表题124"/>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character" w:customStyle="1" w:styleId="3735">
    <w:name w:val="表题1 Char21"/>
    <w:autoRedefine/>
    <w:qFormat/>
    <w:uiPriority w:val="0"/>
    <w:rPr>
      <w:rFonts w:hAnsi="Arial" w:eastAsia="宋体" w:cs="Arial"/>
      <w:kern w:val="2"/>
      <w:sz w:val="24"/>
      <w:szCs w:val="24"/>
      <w:lang w:val="en-US" w:eastAsia="zh-CN" w:bidi="ar-SA"/>
    </w:rPr>
  </w:style>
  <w:style w:type="paragraph" w:customStyle="1" w:styleId="3736">
    <w:name w:val="燕山正文24"/>
    <w:basedOn w:val="1"/>
    <w:autoRedefine/>
    <w:qFormat/>
    <w:uiPriority w:val="0"/>
    <w:pPr>
      <w:tabs>
        <w:tab w:val="left" w:pos="4680"/>
      </w:tabs>
      <w:adjustRightInd w:val="0"/>
      <w:snapToGrid w:val="0"/>
      <w:spacing w:line="480" w:lineRule="exact"/>
    </w:pPr>
    <w:rPr>
      <w:rFonts w:ascii="宋体" w:cs="宋体"/>
      <w:sz w:val="24"/>
    </w:rPr>
  </w:style>
  <w:style w:type="character" w:customStyle="1" w:styleId="3737">
    <w:name w:val="燕山正文 Char121"/>
    <w:autoRedefine/>
    <w:qFormat/>
    <w:uiPriority w:val="0"/>
    <w:rPr>
      <w:rFonts w:ascii="宋体" w:eastAsia="宋体" w:cs="宋体"/>
      <w:kern w:val="2"/>
      <w:sz w:val="24"/>
      <w:szCs w:val="24"/>
      <w:lang w:val="en-US" w:eastAsia="zh-CN" w:bidi="ar-SA"/>
    </w:rPr>
  </w:style>
  <w:style w:type="paragraph" w:customStyle="1" w:styleId="3738">
    <w:name w:val="正文修改24"/>
    <w:basedOn w:val="2088"/>
    <w:autoRedefine/>
    <w:qFormat/>
    <w:uiPriority w:val="0"/>
    <w:rPr>
      <w:rFonts w:hAnsi="宋体"/>
      <w:color w:val="000000"/>
    </w:rPr>
  </w:style>
  <w:style w:type="character" w:customStyle="1" w:styleId="3739">
    <w:name w:val="正文修改 Char124"/>
    <w:autoRedefine/>
    <w:qFormat/>
    <w:uiPriority w:val="0"/>
    <w:rPr>
      <w:rFonts w:ascii="宋体" w:hAnsi="宋体" w:eastAsia="宋体" w:cs="宋体"/>
      <w:color w:val="000000"/>
      <w:sz w:val="24"/>
      <w:szCs w:val="24"/>
    </w:rPr>
  </w:style>
  <w:style w:type="character" w:customStyle="1" w:styleId="3740">
    <w:name w:val="标题正文黑 Char11"/>
    <w:autoRedefine/>
    <w:qFormat/>
    <w:uiPriority w:val="0"/>
    <w:rPr>
      <w:rFonts w:ascii="黑体" w:eastAsia="黑体"/>
      <w:kern w:val="2"/>
      <w:sz w:val="28"/>
      <w:szCs w:val="28"/>
      <w:lang w:val="en-US" w:eastAsia="zh-CN" w:bidi="ar-SA"/>
    </w:rPr>
  </w:style>
  <w:style w:type="paragraph" w:customStyle="1" w:styleId="3741">
    <w:name w:val="表中文字24"/>
    <w:basedOn w:val="1"/>
    <w:autoRedefine/>
    <w:qFormat/>
    <w:uiPriority w:val="0"/>
    <w:pPr>
      <w:widowControl/>
      <w:adjustRightInd w:val="0"/>
      <w:spacing w:line="240" w:lineRule="atLeast"/>
      <w:ind w:right="-42" w:rightChars="-20"/>
      <w:jc w:val="center"/>
      <w:textAlignment w:val="baseline"/>
    </w:pPr>
    <w:rPr>
      <w:rFonts w:ascii="宋体"/>
      <w:kern w:val="0"/>
      <w:szCs w:val="21"/>
    </w:rPr>
  </w:style>
  <w:style w:type="character" w:customStyle="1" w:styleId="3742">
    <w:name w:val="表中文字 Char221"/>
    <w:autoRedefine/>
    <w:qFormat/>
    <w:uiPriority w:val="0"/>
    <w:rPr>
      <w:rFonts w:ascii="宋体" w:eastAsia="宋体"/>
      <w:kern w:val="2"/>
      <w:sz w:val="21"/>
      <w:szCs w:val="21"/>
      <w:lang w:val="en-US" w:eastAsia="zh-CN" w:bidi="ar-SA"/>
    </w:rPr>
  </w:style>
  <w:style w:type="paragraph" w:customStyle="1" w:styleId="3743">
    <w:name w:val="表文字524"/>
    <w:basedOn w:val="1"/>
    <w:autoRedefine/>
    <w:qFormat/>
    <w:uiPriority w:val="0"/>
    <w:pPr>
      <w:adjustRightInd w:val="0"/>
      <w:jc w:val="left"/>
      <w:textAlignment w:val="baseline"/>
    </w:pPr>
    <w:rPr>
      <w:rFonts w:ascii="宋体"/>
      <w:kern w:val="0"/>
      <w:szCs w:val="20"/>
    </w:rPr>
  </w:style>
  <w:style w:type="paragraph" w:customStyle="1" w:styleId="3744">
    <w:name w:val="表内文字小3124"/>
    <w:basedOn w:val="1"/>
    <w:autoRedefine/>
    <w:qFormat/>
    <w:uiPriority w:val="0"/>
    <w:pPr>
      <w:adjustRightInd w:val="0"/>
      <w:snapToGrid w:val="0"/>
      <w:jc w:val="center"/>
    </w:pPr>
    <w:rPr>
      <w:rFonts w:ascii="宋体" w:hAnsi="Times" w:cs="宋体"/>
      <w:bCs/>
      <w:color w:val="003366"/>
      <w:szCs w:val="20"/>
    </w:rPr>
  </w:style>
  <w:style w:type="paragraph" w:customStyle="1" w:styleId="3745">
    <w:name w:val="样式124"/>
    <w:basedOn w:val="2137"/>
    <w:autoRedefine/>
    <w:qFormat/>
    <w:uiPriority w:val="0"/>
    <w:pPr>
      <w:spacing w:line="240" w:lineRule="auto"/>
      <w:ind w:firstLine="0"/>
      <w:jc w:val="center"/>
    </w:pPr>
    <w:rPr>
      <w:rFonts w:cs="Times New Roman"/>
      <w:b/>
      <w:color w:val="auto"/>
      <w:szCs w:val="20"/>
    </w:rPr>
  </w:style>
  <w:style w:type="paragraph" w:customStyle="1" w:styleId="3746">
    <w:name w:val="正文格式＝34"/>
    <w:basedOn w:val="403"/>
    <w:next w:val="403"/>
    <w:autoRedefine/>
    <w:qFormat/>
    <w:uiPriority w:val="0"/>
    <w:rPr>
      <w:rFonts w:hAnsi="宋体" w:cs="Times New Roman"/>
    </w:rPr>
  </w:style>
  <w:style w:type="character" w:customStyle="1" w:styleId="3747">
    <w:name w:val="样式 表内小5 + 黑体 加粗 倾斜 下划线 Char511"/>
    <w:autoRedefine/>
    <w:qFormat/>
    <w:uiPriority w:val="0"/>
    <w:rPr>
      <w:rFonts w:ascii="黑体" w:hAnsi="黑体" w:eastAsia="黑体"/>
      <w:b/>
      <w:bCs/>
      <w:i/>
      <w:iCs/>
      <w:kern w:val="2"/>
      <w:sz w:val="18"/>
      <w:szCs w:val="24"/>
      <w:u w:val="single"/>
      <w:lang w:val="en-US" w:eastAsia="zh-CN" w:bidi="ar-SA"/>
    </w:rPr>
  </w:style>
  <w:style w:type="character" w:customStyle="1" w:styleId="3748">
    <w:name w:val="标题2 Char21"/>
    <w:autoRedefine/>
    <w:qFormat/>
    <w:uiPriority w:val="0"/>
    <w:rPr>
      <w:rFonts w:ascii="宋体" w:hAnsi="宋体" w:eastAsia="宋体" w:cs="宋体"/>
      <w:color w:val="000000"/>
      <w:kern w:val="2"/>
      <w:sz w:val="24"/>
      <w:szCs w:val="24"/>
      <w:lang w:val="en-US" w:eastAsia="zh-CN" w:bidi="ar-SA"/>
    </w:rPr>
  </w:style>
  <w:style w:type="paragraph" w:customStyle="1" w:styleId="3749">
    <w:name w:val="Char310"/>
    <w:basedOn w:val="1"/>
    <w:autoRedefine/>
    <w:qFormat/>
    <w:uiPriority w:val="0"/>
    <w:pPr>
      <w:ind w:left="-48"/>
    </w:pPr>
  </w:style>
  <w:style w:type="paragraph" w:customStyle="1" w:styleId="3750">
    <w:name w:val="表内文字小224"/>
    <w:basedOn w:val="1"/>
    <w:autoRedefine/>
    <w:qFormat/>
    <w:uiPriority w:val="0"/>
    <w:pPr>
      <w:adjustRightInd w:val="0"/>
      <w:snapToGrid w:val="0"/>
      <w:jc w:val="center"/>
    </w:pPr>
    <w:rPr>
      <w:rFonts w:ascii="宋体" w:hAnsi="Times"/>
      <w:bCs/>
      <w:color w:val="000000"/>
      <w:szCs w:val="20"/>
    </w:rPr>
  </w:style>
  <w:style w:type="paragraph" w:customStyle="1" w:styleId="3751">
    <w:name w:val="表内5314"/>
    <w:basedOn w:val="1"/>
    <w:autoRedefine/>
    <w:qFormat/>
    <w:uiPriority w:val="0"/>
    <w:pPr>
      <w:adjustRightInd w:val="0"/>
      <w:snapToGrid w:val="0"/>
      <w:spacing w:line="300" w:lineRule="auto"/>
      <w:jc w:val="left"/>
    </w:pPr>
    <w:rPr>
      <w:rFonts w:ascii="宋体"/>
      <w:szCs w:val="20"/>
    </w:rPr>
  </w:style>
  <w:style w:type="paragraph" w:customStyle="1" w:styleId="3752">
    <w:name w:val="正文格式214"/>
    <w:basedOn w:val="1"/>
    <w:autoRedefine/>
    <w:qFormat/>
    <w:uiPriority w:val="0"/>
    <w:pPr>
      <w:spacing w:line="360" w:lineRule="auto"/>
      <w:ind w:firstLine="482"/>
    </w:pPr>
    <w:rPr>
      <w:rFonts w:ascii="宋体" w:hAnsi="宋体"/>
      <w:sz w:val="24"/>
    </w:rPr>
  </w:style>
  <w:style w:type="paragraph" w:customStyle="1" w:styleId="3753">
    <w:name w:val="图题214"/>
    <w:basedOn w:val="403"/>
    <w:next w:val="403"/>
    <w:autoRedefine/>
    <w:qFormat/>
    <w:uiPriority w:val="0"/>
    <w:pPr>
      <w:ind w:firstLine="0"/>
      <w:jc w:val="center"/>
    </w:pPr>
    <w:rPr>
      <w:rFonts w:ascii="黑体" w:hAnsi="宋体" w:eastAsia="黑体"/>
      <w:b/>
      <w:bCs/>
    </w:rPr>
  </w:style>
  <w:style w:type="paragraph" w:customStyle="1" w:styleId="3754">
    <w:name w:val="表格内字体214"/>
    <w:basedOn w:val="403"/>
    <w:next w:val="403"/>
    <w:autoRedefine/>
    <w:qFormat/>
    <w:uiPriority w:val="0"/>
    <w:pPr>
      <w:spacing w:line="240" w:lineRule="auto"/>
      <w:ind w:firstLine="0"/>
      <w:jc w:val="center"/>
    </w:pPr>
    <w:rPr>
      <w:rFonts w:hAnsi="宋体" w:cs="Times New Roman"/>
      <w:sz w:val="21"/>
    </w:rPr>
  </w:style>
  <w:style w:type="paragraph" w:customStyle="1" w:styleId="3755">
    <w:name w:val="表题1114"/>
    <w:basedOn w:val="24"/>
    <w:autoRedefine/>
    <w:qFormat/>
    <w:uiPriority w:val="0"/>
    <w:pPr>
      <w:keepNext w:val="0"/>
      <w:widowControl w:val="0"/>
      <w:adjustRightInd/>
      <w:snapToGrid/>
      <w:spacing w:line="360" w:lineRule="auto"/>
    </w:pPr>
    <w:rPr>
      <w:rFonts w:ascii="黑体" w:hAnsi="Arial" w:eastAsia="黑体"/>
      <w:b w:val="0"/>
      <w:kern w:val="2"/>
      <w:sz w:val="24"/>
      <w:szCs w:val="24"/>
      <w:lang w:val="en-US"/>
    </w:rPr>
  </w:style>
  <w:style w:type="character" w:customStyle="1" w:styleId="3756">
    <w:name w:val="表题1 Char111"/>
    <w:autoRedefine/>
    <w:qFormat/>
    <w:uiPriority w:val="0"/>
    <w:rPr>
      <w:rFonts w:hAnsi="Arial" w:eastAsia="宋体" w:cs="Arial"/>
      <w:kern w:val="2"/>
      <w:sz w:val="24"/>
      <w:szCs w:val="24"/>
      <w:lang w:val="en-US" w:eastAsia="zh-CN" w:bidi="ar-SA"/>
    </w:rPr>
  </w:style>
  <w:style w:type="paragraph" w:customStyle="1" w:styleId="3757">
    <w:name w:val="表中文字114"/>
    <w:basedOn w:val="1"/>
    <w:autoRedefine/>
    <w:qFormat/>
    <w:uiPriority w:val="0"/>
    <w:pPr>
      <w:widowControl/>
      <w:spacing w:line="240" w:lineRule="atLeast"/>
      <w:ind w:left="-24" w:leftChars="-10" w:right="-48" w:rightChars="-20"/>
      <w:jc w:val="center"/>
    </w:pPr>
    <w:rPr>
      <w:rFonts w:ascii="宋体"/>
      <w:kern w:val="0"/>
      <w:szCs w:val="21"/>
    </w:rPr>
  </w:style>
  <w:style w:type="paragraph" w:customStyle="1" w:styleId="3758">
    <w:name w:val="表文字5114"/>
    <w:basedOn w:val="1"/>
    <w:autoRedefine/>
    <w:qFormat/>
    <w:uiPriority w:val="0"/>
    <w:pPr>
      <w:adjustRightInd w:val="0"/>
      <w:jc w:val="left"/>
      <w:textAlignment w:val="baseline"/>
    </w:pPr>
    <w:rPr>
      <w:rFonts w:ascii="宋体"/>
      <w:kern w:val="0"/>
      <w:szCs w:val="20"/>
    </w:rPr>
  </w:style>
  <w:style w:type="character" w:customStyle="1" w:styleId="3759">
    <w:name w:val="批注框文本 Char11"/>
    <w:autoRedefine/>
    <w:qFormat/>
    <w:uiPriority w:val="0"/>
    <w:rPr>
      <w:rFonts w:eastAsia="宋体"/>
      <w:kern w:val="2"/>
      <w:sz w:val="18"/>
      <w:szCs w:val="18"/>
      <w:lang w:val="en-US" w:eastAsia="zh-CN" w:bidi="ar-SA"/>
    </w:rPr>
  </w:style>
  <w:style w:type="paragraph" w:customStyle="1" w:styleId="3760">
    <w:name w:val="正文格式44"/>
    <w:basedOn w:val="1"/>
    <w:autoRedefine/>
    <w:qFormat/>
    <w:uiPriority w:val="0"/>
    <w:pPr>
      <w:spacing w:line="360" w:lineRule="auto"/>
      <w:ind w:firstLine="482"/>
    </w:pPr>
    <w:rPr>
      <w:rFonts w:ascii="宋体" w:hAnsi="宋体"/>
      <w:sz w:val="24"/>
    </w:rPr>
  </w:style>
  <w:style w:type="paragraph" w:customStyle="1" w:styleId="3761">
    <w:name w:val="图题44"/>
    <w:basedOn w:val="403"/>
    <w:next w:val="403"/>
    <w:autoRedefine/>
    <w:qFormat/>
    <w:uiPriority w:val="0"/>
    <w:pPr>
      <w:ind w:firstLine="0"/>
      <w:jc w:val="center"/>
    </w:pPr>
    <w:rPr>
      <w:rFonts w:ascii="黑体" w:hAnsi="宋体" w:eastAsia="黑体"/>
      <w:b/>
      <w:bCs/>
    </w:rPr>
  </w:style>
  <w:style w:type="paragraph" w:customStyle="1" w:styleId="3762">
    <w:name w:val="表格内字体44"/>
    <w:basedOn w:val="403"/>
    <w:next w:val="403"/>
    <w:autoRedefine/>
    <w:qFormat/>
    <w:uiPriority w:val="0"/>
    <w:pPr>
      <w:spacing w:line="240" w:lineRule="auto"/>
      <w:ind w:firstLine="0"/>
      <w:jc w:val="center"/>
    </w:pPr>
    <w:rPr>
      <w:rFonts w:hAnsi="宋体" w:cs="Times New Roman"/>
      <w:sz w:val="21"/>
    </w:rPr>
  </w:style>
  <w:style w:type="character" w:customStyle="1" w:styleId="3763">
    <w:name w:val="表格内字体 Char41"/>
    <w:autoRedefine/>
    <w:qFormat/>
    <w:uiPriority w:val="0"/>
    <w:rPr>
      <w:rFonts w:ascii="宋体" w:hAnsi="宋体" w:eastAsia="宋体"/>
      <w:kern w:val="2"/>
      <w:sz w:val="21"/>
      <w:szCs w:val="24"/>
      <w:lang w:val="en-US" w:eastAsia="zh-CN" w:bidi="ar-SA"/>
    </w:rPr>
  </w:style>
  <w:style w:type="character" w:customStyle="1" w:styleId="3764">
    <w:name w:val="正文格式 Char41"/>
    <w:autoRedefine/>
    <w:qFormat/>
    <w:uiPriority w:val="0"/>
    <w:rPr>
      <w:rFonts w:ascii="宋体" w:hAnsi="宋体" w:eastAsia="宋体"/>
      <w:kern w:val="2"/>
      <w:sz w:val="24"/>
      <w:szCs w:val="24"/>
      <w:lang w:val="en-US" w:eastAsia="zh-CN" w:bidi="ar-SA"/>
    </w:rPr>
  </w:style>
  <w:style w:type="character" w:customStyle="1" w:styleId="3765">
    <w:name w:val="标题 2 Char21"/>
    <w:autoRedefine/>
    <w:qFormat/>
    <w:uiPriority w:val="0"/>
    <w:rPr>
      <w:rFonts w:ascii="黑体" w:hAnsi="Arial" w:eastAsia="黑体"/>
      <w:b/>
      <w:bCs/>
      <w:kern w:val="2"/>
      <w:sz w:val="30"/>
      <w:szCs w:val="30"/>
      <w:lang w:val="en-US" w:eastAsia="zh-CN" w:bidi="ar-SA"/>
    </w:rPr>
  </w:style>
  <w:style w:type="character" w:customStyle="1" w:styleId="3766">
    <w:name w:val="标题 3 Char21"/>
    <w:autoRedefine/>
    <w:qFormat/>
    <w:uiPriority w:val="0"/>
    <w:rPr>
      <w:rFonts w:ascii="黑体" w:hAnsi="宋体" w:eastAsia="黑体"/>
      <w:b/>
      <w:bCs/>
      <w:kern w:val="2"/>
      <w:sz w:val="28"/>
      <w:szCs w:val="28"/>
      <w:lang w:val="en-US" w:eastAsia="zh-CN" w:bidi="ar-SA"/>
    </w:rPr>
  </w:style>
  <w:style w:type="paragraph" w:customStyle="1" w:styleId="3767">
    <w:name w:val="Char410"/>
    <w:basedOn w:val="1"/>
    <w:autoRedefine/>
    <w:qFormat/>
    <w:uiPriority w:val="0"/>
    <w:pPr>
      <w:ind w:left="-48"/>
    </w:pPr>
  </w:style>
  <w:style w:type="paragraph" w:customStyle="1" w:styleId="3768">
    <w:name w:val="正文格式＝44"/>
    <w:basedOn w:val="403"/>
    <w:next w:val="403"/>
    <w:autoRedefine/>
    <w:qFormat/>
    <w:uiPriority w:val="0"/>
    <w:rPr>
      <w:rFonts w:hAnsi="宋体" w:cs="Times New Roman"/>
    </w:rPr>
  </w:style>
  <w:style w:type="character" w:customStyle="1" w:styleId="3769">
    <w:name w:val="Char Char118"/>
    <w:autoRedefine/>
    <w:qFormat/>
    <w:uiPriority w:val="0"/>
    <w:rPr>
      <w:rFonts w:ascii="黑体" w:hAnsi="Arial" w:eastAsia="黑体"/>
      <w:b/>
      <w:bCs/>
      <w:kern w:val="2"/>
      <w:sz w:val="30"/>
      <w:szCs w:val="30"/>
      <w:lang w:val="en-US" w:eastAsia="zh-CN" w:bidi="ar-SA"/>
    </w:rPr>
  </w:style>
  <w:style w:type="paragraph" w:customStyle="1" w:styleId="3770">
    <w:name w:val="表题134"/>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771">
    <w:name w:val="表题1 Char31"/>
    <w:autoRedefine/>
    <w:qFormat/>
    <w:uiPriority w:val="0"/>
    <w:rPr>
      <w:rFonts w:ascii="黑体" w:hAnsi="Arial" w:eastAsia="黑体" w:cs="Arial"/>
      <w:b/>
      <w:kern w:val="2"/>
      <w:sz w:val="24"/>
      <w:szCs w:val="24"/>
      <w:lang w:val="en-US" w:eastAsia="zh-CN" w:bidi="ar-SA"/>
    </w:rPr>
  </w:style>
  <w:style w:type="paragraph" w:customStyle="1" w:styleId="3772">
    <w:name w:val="默认段落字体 Para Char1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773">
    <w:name w:val="23-47表名4"/>
    <w:basedOn w:val="1"/>
    <w:autoRedefine/>
    <w:qFormat/>
    <w:uiPriority w:val="0"/>
    <w:pPr>
      <w:spacing w:afterLines="50" w:line="440" w:lineRule="exact"/>
      <w:jc w:val="center"/>
    </w:pPr>
    <w:rPr>
      <w:rFonts w:ascii="宋体" w:hAnsi="宋体"/>
      <w:b/>
      <w:sz w:val="24"/>
    </w:rPr>
  </w:style>
  <w:style w:type="paragraph" w:customStyle="1" w:styleId="3774">
    <w:name w:val="xl244"/>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775">
    <w:name w:val="Char Char Char Char Char Char Char113"/>
    <w:basedOn w:val="1"/>
    <w:autoRedefine/>
    <w:qFormat/>
    <w:uiPriority w:val="0"/>
    <w:rPr>
      <w:szCs w:val="20"/>
    </w:rPr>
  </w:style>
  <w:style w:type="character" w:customStyle="1" w:styleId="3776">
    <w:name w:val="普通文字 Char34"/>
    <w:autoRedefine/>
    <w:qFormat/>
    <w:uiPriority w:val="0"/>
    <w:rPr>
      <w:rFonts w:ascii="宋体" w:hAnsi="Courier New" w:eastAsia="宋体" w:cs="Courier New"/>
      <w:kern w:val="2"/>
      <w:sz w:val="21"/>
      <w:szCs w:val="21"/>
      <w:lang w:val="en-US" w:eastAsia="zh-CN" w:bidi="ar-SA"/>
    </w:rPr>
  </w:style>
  <w:style w:type="paragraph" w:customStyle="1" w:styleId="3777">
    <w:name w:val="Char54"/>
    <w:basedOn w:val="1"/>
    <w:autoRedefine/>
    <w:qFormat/>
    <w:uiPriority w:val="0"/>
    <w:pPr>
      <w:adjustRightInd w:val="0"/>
      <w:snapToGrid w:val="0"/>
      <w:ind w:left="-45"/>
    </w:pPr>
  </w:style>
  <w:style w:type="paragraph" w:customStyle="1" w:styleId="3778">
    <w:name w:val="燕山正文1134"/>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3779">
    <w:name w:val="批注框文本 Char21"/>
    <w:autoRedefine/>
    <w:qFormat/>
    <w:uiPriority w:val="0"/>
    <w:rPr>
      <w:rFonts w:eastAsia="宋体"/>
      <w:kern w:val="2"/>
      <w:sz w:val="18"/>
      <w:szCs w:val="18"/>
      <w:lang w:val="en-US" w:eastAsia="zh-CN" w:bidi="ar-SA"/>
    </w:rPr>
  </w:style>
  <w:style w:type="paragraph" w:customStyle="1" w:styleId="3780">
    <w:name w:val="正文格式54"/>
    <w:basedOn w:val="1"/>
    <w:autoRedefine/>
    <w:qFormat/>
    <w:uiPriority w:val="0"/>
    <w:pPr>
      <w:spacing w:line="360" w:lineRule="auto"/>
      <w:ind w:firstLine="482"/>
    </w:pPr>
    <w:rPr>
      <w:rFonts w:ascii="宋体" w:hAnsi="宋体"/>
      <w:sz w:val="24"/>
    </w:rPr>
  </w:style>
  <w:style w:type="character" w:customStyle="1" w:styleId="3781">
    <w:name w:val="正文格式 Char51"/>
    <w:autoRedefine/>
    <w:qFormat/>
    <w:uiPriority w:val="0"/>
    <w:rPr>
      <w:rFonts w:ascii="宋体" w:hAnsi="宋体" w:eastAsia="宋体"/>
      <w:kern w:val="2"/>
      <w:sz w:val="24"/>
      <w:szCs w:val="24"/>
      <w:lang w:val="en-US" w:eastAsia="zh-CN" w:bidi="ar-SA"/>
    </w:rPr>
  </w:style>
  <w:style w:type="character" w:customStyle="1" w:styleId="3782">
    <w:name w:val="标题 2 Char31"/>
    <w:autoRedefine/>
    <w:qFormat/>
    <w:uiPriority w:val="0"/>
    <w:rPr>
      <w:rFonts w:ascii="黑体" w:hAnsi="Arial" w:eastAsia="黑体"/>
      <w:bCs/>
      <w:kern w:val="2"/>
      <w:sz w:val="30"/>
      <w:szCs w:val="30"/>
      <w:lang w:val="en-US" w:eastAsia="zh-CN" w:bidi="ar-SA"/>
    </w:rPr>
  </w:style>
  <w:style w:type="character" w:customStyle="1" w:styleId="3783">
    <w:name w:val="标题 3 Char31"/>
    <w:autoRedefine/>
    <w:qFormat/>
    <w:uiPriority w:val="0"/>
    <w:rPr>
      <w:rFonts w:ascii="黑体" w:hAnsi="宋体" w:eastAsia="黑体"/>
      <w:b/>
      <w:bCs/>
      <w:kern w:val="2"/>
      <w:sz w:val="28"/>
      <w:szCs w:val="28"/>
      <w:lang w:val="en-US" w:eastAsia="zh-CN" w:bidi="ar-SA"/>
    </w:rPr>
  </w:style>
  <w:style w:type="paragraph" w:customStyle="1" w:styleId="3784">
    <w:name w:val="Char313"/>
    <w:basedOn w:val="1"/>
    <w:autoRedefine/>
    <w:qFormat/>
    <w:uiPriority w:val="0"/>
    <w:pPr>
      <w:ind w:left="-48"/>
    </w:pPr>
  </w:style>
  <w:style w:type="character" w:customStyle="1" w:styleId="3785">
    <w:name w:val="题注 Char34"/>
    <w:autoRedefine/>
    <w:qFormat/>
    <w:uiPriority w:val="0"/>
    <w:rPr>
      <w:rFonts w:ascii="黑体" w:hAnsi="Arial" w:eastAsia="黑体" w:cs="Arial"/>
      <w:b/>
      <w:kern w:val="2"/>
      <w:sz w:val="24"/>
      <w:szCs w:val="24"/>
      <w:lang w:val="en-US" w:eastAsia="zh-CN" w:bidi="ar-SA"/>
    </w:rPr>
  </w:style>
  <w:style w:type="paragraph" w:customStyle="1" w:styleId="3786">
    <w:name w:val="图题54"/>
    <w:basedOn w:val="403"/>
    <w:next w:val="403"/>
    <w:autoRedefine/>
    <w:qFormat/>
    <w:uiPriority w:val="0"/>
    <w:pPr>
      <w:ind w:firstLine="0"/>
      <w:jc w:val="center"/>
    </w:pPr>
    <w:rPr>
      <w:rFonts w:ascii="黑体" w:hAnsi="宋体" w:eastAsia="黑体"/>
      <w:b/>
      <w:bCs/>
    </w:rPr>
  </w:style>
  <w:style w:type="paragraph" w:customStyle="1" w:styleId="3787">
    <w:name w:val="表格内字体54"/>
    <w:basedOn w:val="403"/>
    <w:next w:val="403"/>
    <w:autoRedefine/>
    <w:qFormat/>
    <w:uiPriority w:val="0"/>
    <w:pPr>
      <w:adjustRightInd w:val="0"/>
      <w:snapToGrid w:val="0"/>
      <w:spacing w:line="240" w:lineRule="auto"/>
      <w:ind w:firstLine="0"/>
    </w:pPr>
    <w:rPr>
      <w:rFonts w:hAnsi="宋体" w:cs="Times New Roman"/>
      <w:sz w:val="21"/>
    </w:rPr>
  </w:style>
  <w:style w:type="character" w:customStyle="1" w:styleId="3788">
    <w:name w:val="表格内字体 Char51"/>
    <w:autoRedefine/>
    <w:qFormat/>
    <w:uiPriority w:val="0"/>
    <w:rPr>
      <w:rFonts w:ascii="宋体" w:hAnsi="宋体" w:eastAsia="宋体"/>
      <w:kern w:val="2"/>
      <w:sz w:val="21"/>
      <w:szCs w:val="24"/>
      <w:lang w:val="en-US" w:eastAsia="zh-CN" w:bidi="ar-SA"/>
    </w:rPr>
  </w:style>
  <w:style w:type="character" w:customStyle="1" w:styleId="3789">
    <w:name w:val="正文缩进 Char111"/>
    <w:autoRedefine/>
    <w:qFormat/>
    <w:uiPriority w:val="0"/>
    <w:rPr>
      <w:rFonts w:ascii="宋体" w:hAnsi="宋体" w:eastAsia="宋体" w:cs="宋体"/>
      <w:color w:val="000000"/>
      <w:kern w:val="2"/>
      <w:sz w:val="24"/>
      <w:szCs w:val="24"/>
      <w:lang w:val="en-US" w:eastAsia="zh-CN" w:bidi="ar-SA"/>
    </w:rPr>
  </w:style>
  <w:style w:type="paragraph" w:customStyle="1" w:styleId="3790">
    <w:name w:val="表34"/>
    <w:basedOn w:val="1"/>
    <w:autoRedefine/>
    <w:qFormat/>
    <w:uiPriority w:val="0"/>
    <w:pPr>
      <w:adjustRightInd w:val="0"/>
      <w:snapToGrid w:val="0"/>
      <w:jc w:val="center"/>
    </w:pPr>
    <w:rPr>
      <w:rFonts w:eastAsia="仿宋_GB2312"/>
      <w:sz w:val="24"/>
    </w:rPr>
  </w:style>
  <w:style w:type="paragraph" w:customStyle="1" w:styleId="3791">
    <w:name w:val="正文.1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792">
    <w:name w:val="文本框14"/>
    <w:basedOn w:val="1"/>
    <w:autoRedefine/>
    <w:qFormat/>
    <w:uiPriority w:val="0"/>
    <w:pPr>
      <w:adjustRightInd w:val="0"/>
      <w:snapToGrid w:val="0"/>
      <w:spacing w:after="6"/>
      <w:jc w:val="center"/>
    </w:pPr>
    <w:rPr>
      <w:rFonts w:eastAsia="仿宋_GB2312"/>
    </w:rPr>
  </w:style>
  <w:style w:type="paragraph" w:customStyle="1" w:styleId="3793">
    <w:name w:val="表内宋51114"/>
    <w:basedOn w:val="81"/>
    <w:autoRedefine/>
    <w:qFormat/>
    <w:uiPriority w:val="0"/>
    <w:pPr>
      <w:adjustRightInd w:val="0"/>
      <w:snapToGrid w:val="0"/>
      <w:spacing w:before="0" w:beforeAutospacing="0" w:after="0" w:afterAutospacing="0"/>
      <w:jc w:val="both"/>
    </w:pPr>
    <w:rPr>
      <w:rFonts w:cs="宋体"/>
      <w:color w:val="000000"/>
      <w:sz w:val="21"/>
      <w:szCs w:val="24"/>
      <w:lang w:val="zh-CN"/>
    </w:rPr>
  </w:style>
  <w:style w:type="paragraph" w:customStyle="1" w:styleId="3794">
    <w:name w:val="表内文字小3134"/>
    <w:basedOn w:val="1"/>
    <w:autoRedefine/>
    <w:qFormat/>
    <w:uiPriority w:val="0"/>
    <w:pPr>
      <w:adjustRightInd w:val="0"/>
      <w:snapToGrid w:val="0"/>
      <w:jc w:val="center"/>
    </w:pPr>
    <w:rPr>
      <w:rFonts w:ascii="宋体" w:hAnsi="Times" w:cs="宋体"/>
      <w:bCs/>
      <w:color w:val="003366"/>
      <w:szCs w:val="20"/>
    </w:rPr>
  </w:style>
  <w:style w:type="paragraph" w:customStyle="1" w:styleId="3795">
    <w:name w:val="表文字534"/>
    <w:basedOn w:val="1"/>
    <w:autoRedefine/>
    <w:qFormat/>
    <w:uiPriority w:val="0"/>
    <w:pPr>
      <w:adjustRightInd w:val="0"/>
      <w:jc w:val="left"/>
      <w:textAlignment w:val="baseline"/>
    </w:pPr>
    <w:rPr>
      <w:rFonts w:ascii="宋体"/>
      <w:kern w:val="0"/>
      <w:szCs w:val="20"/>
    </w:rPr>
  </w:style>
  <w:style w:type="paragraph" w:customStyle="1" w:styleId="3796">
    <w:name w:val="正文214"/>
    <w:autoRedefine/>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797">
    <w:name w:val="Char Char Char Char Char Char Char27"/>
    <w:basedOn w:val="1"/>
    <w:autoRedefine/>
    <w:qFormat/>
    <w:uiPriority w:val="0"/>
  </w:style>
  <w:style w:type="paragraph" w:customStyle="1" w:styleId="3798">
    <w:name w:val="表题3134"/>
    <w:basedOn w:val="36"/>
    <w:autoRedefine/>
    <w:qFormat/>
    <w:uiPriority w:val="0"/>
    <w:pPr>
      <w:tabs>
        <w:tab w:val="left" w:pos="4305"/>
      </w:tabs>
      <w:adjustRightInd w:val="0"/>
      <w:snapToGrid w:val="0"/>
      <w:spacing w:after="0"/>
      <w:ind w:left="0" w:leftChars="0"/>
      <w:jc w:val="center"/>
    </w:pPr>
    <w:rPr>
      <w:rFonts w:ascii="宋体" w:hAnsi="宋体"/>
      <w:kern w:val="2"/>
    </w:rPr>
  </w:style>
  <w:style w:type="paragraph" w:customStyle="1" w:styleId="3799">
    <w:name w:val="表内文字小2134"/>
    <w:basedOn w:val="1"/>
    <w:autoRedefine/>
    <w:qFormat/>
    <w:uiPriority w:val="0"/>
    <w:pPr>
      <w:adjustRightInd w:val="0"/>
      <w:snapToGrid w:val="0"/>
      <w:jc w:val="center"/>
      <w:textAlignment w:val="baseline"/>
    </w:pPr>
    <w:rPr>
      <w:rFonts w:ascii="宋体" w:hAnsi="Times"/>
      <w:bCs/>
      <w:color w:val="000000"/>
      <w:szCs w:val="20"/>
    </w:rPr>
  </w:style>
  <w:style w:type="character" w:customStyle="1" w:styleId="3800">
    <w:name w:val="Char Char91"/>
    <w:autoRedefine/>
    <w:qFormat/>
    <w:uiPriority w:val="0"/>
    <w:rPr>
      <w:rFonts w:eastAsia="宋体"/>
      <w:kern w:val="2"/>
      <w:sz w:val="21"/>
      <w:szCs w:val="24"/>
      <w:shd w:val="clear" w:color="auto" w:fill="000080"/>
      <w:lang w:val="en-US" w:eastAsia="zh-CN" w:bidi="ar-SA"/>
    </w:rPr>
  </w:style>
  <w:style w:type="paragraph" w:customStyle="1" w:styleId="3801">
    <w:name w:val="燕山正文34"/>
    <w:basedOn w:val="1"/>
    <w:autoRedefine/>
    <w:qFormat/>
    <w:uiPriority w:val="0"/>
    <w:pPr>
      <w:tabs>
        <w:tab w:val="left" w:pos="4680"/>
      </w:tabs>
      <w:adjustRightInd w:val="0"/>
      <w:snapToGrid w:val="0"/>
      <w:spacing w:line="480" w:lineRule="exact"/>
    </w:pPr>
    <w:rPr>
      <w:rFonts w:ascii="宋体" w:cs="宋体"/>
      <w:sz w:val="24"/>
    </w:rPr>
  </w:style>
  <w:style w:type="character" w:customStyle="1" w:styleId="3802">
    <w:name w:val="燕山正文 Char131"/>
    <w:autoRedefine/>
    <w:qFormat/>
    <w:uiPriority w:val="0"/>
    <w:rPr>
      <w:rFonts w:ascii="宋体" w:eastAsia="宋体" w:cs="宋体"/>
      <w:kern w:val="2"/>
      <w:sz w:val="24"/>
      <w:szCs w:val="24"/>
      <w:lang w:val="en-US" w:eastAsia="zh-CN" w:bidi="ar-SA"/>
    </w:rPr>
  </w:style>
  <w:style w:type="paragraph" w:customStyle="1" w:styleId="3803">
    <w:name w:val="正文修改34"/>
    <w:basedOn w:val="2088"/>
    <w:autoRedefine/>
    <w:qFormat/>
    <w:uiPriority w:val="0"/>
    <w:rPr>
      <w:rFonts w:hAnsi="宋体"/>
      <w:color w:val="000000"/>
    </w:rPr>
  </w:style>
  <w:style w:type="character" w:customStyle="1" w:styleId="3804">
    <w:name w:val="正文修改 Char134"/>
    <w:autoRedefine/>
    <w:qFormat/>
    <w:uiPriority w:val="0"/>
    <w:rPr>
      <w:rFonts w:ascii="宋体" w:hAnsi="宋体" w:eastAsia="宋体" w:cs="宋体"/>
      <w:color w:val="000000"/>
      <w:sz w:val="24"/>
      <w:szCs w:val="24"/>
    </w:rPr>
  </w:style>
  <w:style w:type="paragraph" w:customStyle="1" w:styleId="3805">
    <w:name w:val="表题145"/>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806">
    <w:name w:val="表题1 Char44"/>
    <w:autoRedefine/>
    <w:qFormat/>
    <w:uiPriority w:val="0"/>
    <w:rPr>
      <w:rFonts w:ascii="黑体" w:hAnsi="Arial" w:eastAsia="黑体" w:cs="Arial"/>
      <w:b/>
      <w:kern w:val="2"/>
      <w:sz w:val="24"/>
      <w:szCs w:val="24"/>
      <w:lang w:val="en-US" w:eastAsia="zh-CN" w:bidi="ar-SA"/>
    </w:rPr>
  </w:style>
  <w:style w:type="paragraph" w:customStyle="1" w:styleId="3807">
    <w:name w:val="表中文字34"/>
    <w:basedOn w:val="1"/>
    <w:autoRedefine/>
    <w:qFormat/>
    <w:uiPriority w:val="0"/>
    <w:pPr>
      <w:widowControl/>
      <w:spacing w:line="240" w:lineRule="atLeast"/>
      <w:ind w:left="-24" w:leftChars="-10" w:right="-48" w:rightChars="-20"/>
      <w:jc w:val="center"/>
    </w:pPr>
    <w:rPr>
      <w:rFonts w:ascii="宋体"/>
      <w:kern w:val="0"/>
      <w:szCs w:val="21"/>
    </w:rPr>
  </w:style>
  <w:style w:type="character" w:customStyle="1" w:styleId="3808">
    <w:name w:val="表中文字 Char231"/>
    <w:autoRedefine/>
    <w:qFormat/>
    <w:uiPriority w:val="0"/>
    <w:rPr>
      <w:rFonts w:ascii="宋体" w:eastAsia="宋体"/>
      <w:kern w:val="2"/>
      <w:sz w:val="21"/>
      <w:szCs w:val="21"/>
      <w:lang w:val="en-US" w:eastAsia="zh-CN" w:bidi="ar-SA"/>
    </w:rPr>
  </w:style>
  <w:style w:type="paragraph" w:customStyle="1" w:styleId="3809">
    <w:name w:val="黑体三号34"/>
    <w:basedOn w:val="403"/>
    <w:autoRedefine/>
    <w:qFormat/>
    <w:uiPriority w:val="0"/>
    <w:pPr>
      <w:jc w:val="center"/>
    </w:pPr>
    <w:rPr>
      <w:rFonts w:ascii="黑体" w:hAnsi="宋体" w:eastAsia="黑体"/>
      <w:b/>
      <w:bCs/>
      <w:sz w:val="32"/>
      <w:szCs w:val="20"/>
    </w:rPr>
  </w:style>
  <w:style w:type="paragraph" w:customStyle="1" w:styleId="3810">
    <w:name w:val="默认段落字体 Para Char Char Char Char34"/>
    <w:basedOn w:val="1"/>
    <w:autoRedefine/>
    <w:qFormat/>
    <w:uiPriority w:val="0"/>
  </w:style>
  <w:style w:type="paragraph" w:customStyle="1" w:styleId="3811">
    <w:name w:val="表内54134"/>
    <w:basedOn w:val="1"/>
    <w:autoRedefine/>
    <w:qFormat/>
    <w:uiPriority w:val="0"/>
    <w:pPr>
      <w:adjustRightInd w:val="0"/>
      <w:snapToGrid w:val="0"/>
      <w:spacing w:line="300" w:lineRule="auto"/>
      <w:jc w:val="center"/>
    </w:pPr>
    <w:rPr>
      <w:rFonts w:ascii="宋体" w:hAnsi="宋体" w:cs="宋体"/>
      <w:szCs w:val="20"/>
    </w:rPr>
  </w:style>
  <w:style w:type="paragraph" w:customStyle="1" w:styleId="3812">
    <w:name w:val="标题45"/>
    <w:basedOn w:val="1"/>
    <w:autoRedefine/>
    <w:qFormat/>
    <w:uiPriority w:val="0"/>
    <w:pPr>
      <w:adjustRightInd w:val="0"/>
      <w:snapToGrid w:val="0"/>
      <w:spacing w:line="300" w:lineRule="auto"/>
      <w:jc w:val="left"/>
    </w:pPr>
    <w:rPr>
      <w:rFonts w:ascii="黑体" w:eastAsia="黑体"/>
      <w:bCs/>
      <w:sz w:val="24"/>
    </w:rPr>
  </w:style>
  <w:style w:type="paragraph" w:customStyle="1" w:styleId="3813">
    <w:name w:val="Char64"/>
    <w:basedOn w:val="1"/>
    <w:autoRedefine/>
    <w:qFormat/>
    <w:uiPriority w:val="0"/>
    <w:pPr>
      <w:adjustRightInd w:val="0"/>
      <w:snapToGrid w:val="0"/>
      <w:spacing w:beforeLines="50" w:line="360" w:lineRule="auto"/>
    </w:pPr>
    <w:rPr>
      <w:rFonts w:ascii="黑体" w:eastAsia="黑体"/>
      <w:sz w:val="32"/>
      <w:szCs w:val="32"/>
    </w:rPr>
  </w:style>
  <w:style w:type="paragraph" w:customStyle="1" w:styleId="3814">
    <w:name w:val="表题21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815">
    <w:name w:val="表内宋5中114"/>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816">
    <w:name w:val="表内宋5中15"/>
    <w:basedOn w:val="1"/>
    <w:autoRedefine/>
    <w:qFormat/>
    <w:uiPriority w:val="0"/>
    <w:pPr>
      <w:adjustRightInd w:val="0"/>
      <w:snapToGrid w:val="0"/>
      <w:jc w:val="center"/>
      <w:textAlignment w:val="baseline"/>
    </w:pPr>
    <w:rPr>
      <w:rFonts w:ascii="宋体" w:hAnsi="宋体" w:cs="宋体"/>
      <w:kern w:val="0"/>
      <w:szCs w:val="20"/>
    </w:rPr>
  </w:style>
  <w:style w:type="paragraph" w:customStyle="1" w:styleId="3817">
    <w:name w:val="表内文字小114"/>
    <w:basedOn w:val="1"/>
    <w:autoRedefine/>
    <w:qFormat/>
    <w:uiPriority w:val="0"/>
    <w:pPr>
      <w:adjustRightInd w:val="0"/>
      <w:snapToGrid w:val="0"/>
    </w:pPr>
    <w:rPr>
      <w:rFonts w:ascii="宋体" w:hAnsi="Times" w:cs="宋体"/>
      <w:szCs w:val="20"/>
    </w:rPr>
  </w:style>
  <w:style w:type="paragraph" w:customStyle="1" w:styleId="3818">
    <w:name w:val="标题4114"/>
    <w:basedOn w:val="1"/>
    <w:autoRedefine/>
    <w:qFormat/>
    <w:uiPriority w:val="0"/>
    <w:pPr>
      <w:adjustRightInd w:val="0"/>
      <w:snapToGrid w:val="0"/>
      <w:spacing w:line="300" w:lineRule="auto"/>
      <w:jc w:val="left"/>
    </w:pPr>
    <w:rPr>
      <w:rFonts w:ascii="黑体" w:hAnsi="宋体" w:eastAsia="黑体" w:cs="宋体"/>
      <w:bCs/>
      <w:sz w:val="24"/>
      <w:szCs w:val="20"/>
    </w:rPr>
  </w:style>
  <w:style w:type="paragraph" w:customStyle="1" w:styleId="3819">
    <w:name w:val="表题14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820">
    <w:name w:val="表内文字小84"/>
    <w:basedOn w:val="1"/>
    <w:autoRedefine/>
    <w:qFormat/>
    <w:uiPriority w:val="0"/>
    <w:pPr>
      <w:adjustRightInd w:val="0"/>
      <w:snapToGrid w:val="0"/>
      <w:jc w:val="center"/>
    </w:pPr>
    <w:rPr>
      <w:rFonts w:ascii="宋体" w:hAnsi="Times" w:cs="宋体"/>
      <w:szCs w:val="20"/>
    </w:rPr>
  </w:style>
  <w:style w:type="paragraph" w:customStyle="1" w:styleId="3821">
    <w:name w:val="默认段落字体 Para Char2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822">
    <w:name w:val="表内5中6"/>
    <w:basedOn w:val="1"/>
    <w:autoRedefine/>
    <w:qFormat/>
    <w:uiPriority w:val="0"/>
    <w:pPr>
      <w:adjustRightInd w:val="0"/>
      <w:snapToGrid w:val="0"/>
      <w:jc w:val="center"/>
    </w:pPr>
    <w:rPr>
      <w:rFonts w:ascii="宋体" w:hAnsi="宋体" w:cs="Arial"/>
      <w:snapToGrid w:val="0"/>
      <w:color w:val="000000"/>
      <w:szCs w:val="21"/>
    </w:rPr>
  </w:style>
  <w:style w:type="paragraph" w:customStyle="1" w:styleId="3823">
    <w:name w:val="Default4"/>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824">
    <w:name w:val="河石1 Char14"/>
    <w:autoRedefine/>
    <w:qFormat/>
    <w:uiPriority w:val="0"/>
    <w:rPr>
      <w:rFonts w:ascii="黑体" w:hAnsi="宋体" w:eastAsia="黑体"/>
      <w:bCs/>
      <w:kern w:val="44"/>
      <w:sz w:val="32"/>
      <w:szCs w:val="32"/>
      <w:lang w:val="en-US" w:eastAsia="zh-CN" w:bidi="ar-SA"/>
    </w:rPr>
  </w:style>
  <w:style w:type="character" w:customStyle="1" w:styleId="3825">
    <w:name w:val="标题 2 Char41"/>
    <w:autoRedefine/>
    <w:qFormat/>
    <w:uiPriority w:val="0"/>
    <w:rPr>
      <w:rFonts w:ascii="黑体" w:hAnsi="Arial" w:eastAsia="黑体" w:cs="Times New Roman"/>
      <w:bCs/>
      <w:kern w:val="2"/>
      <w:sz w:val="30"/>
      <w:szCs w:val="30"/>
      <w:lang w:val="en-US" w:eastAsia="zh-CN" w:bidi="ar-SA"/>
    </w:rPr>
  </w:style>
  <w:style w:type="character" w:customStyle="1" w:styleId="3826">
    <w:name w:val="标题 3 Char91"/>
    <w:autoRedefine/>
    <w:qFormat/>
    <w:uiPriority w:val="0"/>
    <w:rPr>
      <w:rFonts w:ascii="黑体" w:hAnsi="宋体" w:eastAsia="黑体" w:cs="Times New Roman"/>
      <w:b/>
      <w:bCs/>
      <w:kern w:val="2"/>
      <w:sz w:val="28"/>
      <w:szCs w:val="28"/>
      <w:lang w:val="en-US" w:eastAsia="zh-CN" w:bidi="ar-SA"/>
    </w:rPr>
  </w:style>
  <w:style w:type="paragraph" w:customStyle="1" w:styleId="3827">
    <w:name w:val="正文格式64"/>
    <w:basedOn w:val="1"/>
    <w:autoRedefine/>
    <w:qFormat/>
    <w:uiPriority w:val="0"/>
    <w:pPr>
      <w:spacing w:line="360" w:lineRule="auto"/>
      <w:ind w:firstLine="482"/>
    </w:pPr>
    <w:rPr>
      <w:rFonts w:ascii="宋体" w:hAnsi="宋体"/>
      <w:sz w:val="24"/>
    </w:rPr>
  </w:style>
  <w:style w:type="character" w:customStyle="1" w:styleId="3828">
    <w:name w:val="正文格式 Char61"/>
    <w:autoRedefine/>
    <w:qFormat/>
    <w:uiPriority w:val="0"/>
    <w:rPr>
      <w:rFonts w:ascii="宋体" w:hAnsi="宋体" w:eastAsia="宋体" w:cs="Times New Roman"/>
      <w:kern w:val="2"/>
      <w:sz w:val="24"/>
      <w:szCs w:val="24"/>
      <w:lang w:val="en-US" w:eastAsia="zh-CN" w:bidi="ar-SA"/>
    </w:rPr>
  </w:style>
  <w:style w:type="paragraph" w:customStyle="1" w:styleId="3829">
    <w:name w:val="正文格式＝54"/>
    <w:basedOn w:val="403"/>
    <w:next w:val="403"/>
    <w:autoRedefine/>
    <w:qFormat/>
    <w:uiPriority w:val="0"/>
    <w:rPr>
      <w:rFonts w:hAnsi="宋体" w:cs="Times New Roman"/>
    </w:rPr>
  </w:style>
  <w:style w:type="character" w:customStyle="1" w:styleId="3830">
    <w:name w:val="标题 1 Char11"/>
    <w:autoRedefine/>
    <w:qFormat/>
    <w:uiPriority w:val="0"/>
    <w:rPr>
      <w:rFonts w:ascii="黑体" w:hAnsi="宋体" w:eastAsia="黑体" w:cs="Times New Roman"/>
      <w:bCs/>
      <w:kern w:val="44"/>
      <w:sz w:val="32"/>
      <w:szCs w:val="32"/>
      <w:lang w:val="en-US" w:eastAsia="zh-CN" w:bidi="ar-SA"/>
    </w:rPr>
  </w:style>
  <w:style w:type="paragraph" w:customStyle="1" w:styleId="3831">
    <w:name w:val="附件34"/>
    <w:basedOn w:val="5"/>
    <w:next w:val="403"/>
    <w:autoRedefine/>
    <w:qFormat/>
    <w:uiPriority w:val="0"/>
    <w:pPr>
      <w:keepLines/>
      <w:overflowPunct/>
      <w:adjustRightInd w:val="0"/>
      <w:spacing w:before="0" w:after="0" w:line="360" w:lineRule="auto"/>
      <w:ind w:left="0" w:firstLine="0"/>
      <w:jc w:val="left"/>
    </w:pPr>
    <w:rPr>
      <w:rFonts w:ascii="黑体" w:hAnsi="宋体"/>
      <w:b w:val="0"/>
      <w:color w:val="auto"/>
      <w:sz w:val="32"/>
      <w:szCs w:val="32"/>
    </w:rPr>
  </w:style>
  <w:style w:type="character" w:customStyle="1" w:styleId="3832">
    <w:name w:val="题注 Char41"/>
    <w:autoRedefine/>
    <w:qFormat/>
    <w:uiPriority w:val="0"/>
    <w:rPr>
      <w:rFonts w:ascii="黑体" w:hAnsi="Arial" w:eastAsia="黑体" w:cs="Arial"/>
      <w:b/>
      <w:kern w:val="2"/>
      <w:sz w:val="24"/>
      <w:szCs w:val="24"/>
      <w:lang w:val="en-US" w:eastAsia="zh-CN" w:bidi="ar-SA"/>
    </w:rPr>
  </w:style>
  <w:style w:type="paragraph" w:customStyle="1" w:styleId="3833">
    <w:name w:val="图题64"/>
    <w:basedOn w:val="403"/>
    <w:next w:val="403"/>
    <w:autoRedefine/>
    <w:qFormat/>
    <w:uiPriority w:val="0"/>
    <w:pPr>
      <w:ind w:firstLine="0"/>
      <w:jc w:val="center"/>
    </w:pPr>
    <w:rPr>
      <w:rFonts w:ascii="黑体" w:hAnsi="宋体" w:eastAsia="黑体"/>
      <w:b/>
      <w:bCs/>
      <w:kern w:val="0"/>
    </w:rPr>
  </w:style>
  <w:style w:type="character" w:customStyle="1" w:styleId="3834">
    <w:name w:val="图题 Char4"/>
    <w:autoRedefine/>
    <w:qFormat/>
    <w:uiPriority w:val="0"/>
    <w:rPr>
      <w:rFonts w:ascii="黑体" w:hAnsi="宋体" w:eastAsia="黑体" w:cs="宋体"/>
      <w:b/>
      <w:bCs/>
      <w:kern w:val="2"/>
      <w:sz w:val="24"/>
      <w:szCs w:val="24"/>
      <w:lang w:val="en-US" w:eastAsia="zh-CN" w:bidi="ar-SA"/>
    </w:rPr>
  </w:style>
  <w:style w:type="paragraph" w:customStyle="1" w:styleId="3835">
    <w:name w:val="表格内字体64"/>
    <w:basedOn w:val="403"/>
    <w:next w:val="403"/>
    <w:autoRedefine/>
    <w:qFormat/>
    <w:uiPriority w:val="0"/>
    <w:pPr>
      <w:spacing w:line="240" w:lineRule="auto"/>
      <w:ind w:firstLine="0"/>
      <w:jc w:val="center"/>
    </w:pPr>
    <w:rPr>
      <w:rFonts w:hAnsi="宋体" w:cs="Times New Roman"/>
      <w:sz w:val="21"/>
    </w:rPr>
  </w:style>
  <w:style w:type="character" w:customStyle="1" w:styleId="3836">
    <w:name w:val="表格内字体 Char61"/>
    <w:autoRedefine/>
    <w:qFormat/>
    <w:uiPriority w:val="0"/>
    <w:rPr>
      <w:rFonts w:ascii="宋体" w:hAnsi="宋体" w:eastAsia="宋体" w:cs="Times New Roman"/>
      <w:kern w:val="2"/>
      <w:sz w:val="24"/>
      <w:szCs w:val="24"/>
      <w:lang w:val="en-US" w:eastAsia="zh-CN" w:bidi="ar-SA"/>
    </w:rPr>
  </w:style>
  <w:style w:type="character" w:customStyle="1" w:styleId="3837">
    <w:name w:val="文档结构图 Char11"/>
    <w:autoRedefine/>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3838">
    <w:name w:val="h Char5"/>
    <w:autoRedefine/>
    <w:qFormat/>
    <w:uiPriority w:val="0"/>
    <w:rPr>
      <w:rFonts w:eastAsia="宋体"/>
      <w:kern w:val="2"/>
      <w:sz w:val="18"/>
      <w:szCs w:val="18"/>
      <w:lang w:val="en-US" w:eastAsia="zh-CN" w:bidi="ar-SA"/>
    </w:rPr>
  </w:style>
  <w:style w:type="paragraph" w:customStyle="1" w:styleId="3839">
    <w:name w:val="黑体三号44"/>
    <w:basedOn w:val="403"/>
    <w:autoRedefine/>
    <w:qFormat/>
    <w:uiPriority w:val="0"/>
    <w:pPr>
      <w:jc w:val="center"/>
    </w:pPr>
    <w:rPr>
      <w:rFonts w:ascii="黑体" w:hAnsi="宋体" w:eastAsia="黑体"/>
      <w:b/>
      <w:bCs/>
      <w:sz w:val="32"/>
      <w:szCs w:val="20"/>
    </w:rPr>
  </w:style>
  <w:style w:type="paragraph" w:customStyle="1" w:styleId="3840">
    <w:name w:val="默认段落字体 Para Char Char Char Char44"/>
    <w:basedOn w:val="1"/>
    <w:autoRedefine/>
    <w:qFormat/>
    <w:uiPriority w:val="0"/>
  </w:style>
  <w:style w:type="paragraph" w:customStyle="1" w:styleId="3841">
    <w:name w:val="图表题4"/>
    <w:basedOn w:val="403"/>
    <w:next w:val="403"/>
    <w:autoRedefine/>
    <w:qFormat/>
    <w:uiPriority w:val="0"/>
    <w:pPr>
      <w:ind w:firstLine="0"/>
      <w:jc w:val="center"/>
    </w:pPr>
    <w:rPr>
      <w:rFonts w:ascii="黑体" w:hAnsi="宋体" w:eastAsia="黑体"/>
      <w:b/>
      <w:bCs/>
    </w:rPr>
  </w:style>
  <w:style w:type="character" w:customStyle="1" w:styleId="3842">
    <w:name w:val="图表题 Char4"/>
    <w:autoRedefine/>
    <w:qFormat/>
    <w:uiPriority w:val="0"/>
    <w:rPr>
      <w:rFonts w:ascii="黑体" w:eastAsia="黑体" w:cs="宋体"/>
      <w:b/>
      <w:bCs/>
      <w:kern w:val="2"/>
      <w:sz w:val="24"/>
      <w:szCs w:val="24"/>
      <w:lang w:val="en-US" w:eastAsia="zh-CN" w:bidi="ar-SA"/>
    </w:rPr>
  </w:style>
  <w:style w:type="character" w:customStyle="1" w:styleId="3843">
    <w:name w:val="表题 Char41"/>
    <w:autoRedefine/>
    <w:qFormat/>
    <w:uiPriority w:val="0"/>
    <w:rPr>
      <w:rFonts w:ascii="黑体" w:hAnsi="Arial" w:eastAsia="黑体" w:cs="Arial"/>
      <w:b/>
      <w:kern w:val="2"/>
      <w:sz w:val="24"/>
      <w:szCs w:val="24"/>
      <w:lang w:val="en-US" w:eastAsia="zh-CN" w:bidi="ar-SA"/>
    </w:rPr>
  </w:style>
  <w:style w:type="paragraph" w:customStyle="1" w:styleId="3844">
    <w:name w:val="样式 表格内字体 +4"/>
    <w:basedOn w:val="2085"/>
    <w:autoRedefine/>
    <w:qFormat/>
    <w:uiPriority w:val="0"/>
    <w:pPr>
      <w:spacing w:line="280" w:lineRule="exact"/>
      <w:ind w:firstLine="36"/>
      <w:jc w:val="both"/>
    </w:pPr>
    <w:rPr>
      <w:kern w:val="0"/>
    </w:rPr>
  </w:style>
  <w:style w:type="character" w:customStyle="1" w:styleId="3845">
    <w:name w:val="样式 表格内字体 + Char4"/>
    <w:autoRedefine/>
    <w:qFormat/>
    <w:uiPriority w:val="0"/>
  </w:style>
  <w:style w:type="paragraph" w:customStyle="1" w:styleId="3846">
    <w:name w:val="A正文4"/>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character" w:customStyle="1" w:styleId="3847">
    <w:name w:val="A正文 Char4"/>
    <w:autoRedefine/>
    <w:qFormat/>
    <w:uiPriority w:val="0"/>
    <w:rPr>
      <w:rFonts w:eastAsia="仿宋_GB2312"/>
      <w:kern w:val="2"/>
      <w:sz w:val="24"/>
      <w:szCs w:val="24"/>
      <w:lang w:val="en-US" w:eastAsia="zh-CN" w:bidi="ar-SA"/>
    </w:rPr>
  </w:style>
  <w:style w:type="paragraph" w:customStyle="1" w:styleId="3848">
    <w:name w:val="图题注4"/>
    <w:basedOn w:val="24"/>
    <w:autoRedefine/>
    <w:qFormat/>
    <w:uiPriority w:val="0"/>
    <w:pPr>
      <w:keepNext w:val="0"/>
      <w:widowControl w:val="0"/>
      <w:adjustRightInd/>
      <w:snapToGrid/>
      <w:spacing w:line="240" w:lineRule="auto"/>
    </w:pPr>
    <w:rPr>
      <w:rFonts w:ascii="黑体" w:hAnsi="Arial" w:eastAsia="黑体" w:cs="宋体"/>
      <w:bCs/>
      <w:kern w:val="2"/>
      <w:sz w:val="24"/>
      <w:szCs w:val="24"/>
      <w:lang w:val="en-US"/>
    </w:rPr>
  </w:style>
  <w:style w:type="character" w:customStyle="1" w:styleId="3849">
    <w:name w:val="图题注 Char4"/>
    <w:autoRedefine/>
    <w:qFormat/>
    <w:uiPriority w:val="0"/>
    <w:rPr>
      <w:rFonts w:ascii="黑体" w:hAnsi="Arial" w:eastAsia="黑体" w:cs="宋体"/>
      <w:b/>
      <w:bCs/>
      <w:kern w:val="2"/>
      <w:sz w:val="24"/>
      <w:szCs w:val="24"/>
      <w:lang w:val="en-US" w:eastAsia="zh-CN" w:bidi="ar-SA"/>
    </w:rPr>
  </w:style>
  <w:style w:type="paragraph" w:customStyle="1" w:styleId="3850">
    <w:name w:val="Char74"/>
    <w:basedOn w:val="1"/>
    <w:autoRedefine/>
    <w:qFormat/>
    <w:uiPriority w:val="0"/>
    <w:pPr>
      <w:ind w:left="-48"/>
    </w:pPr>
  </w:style>
  <w:style w:type="paragraph" w:customStyle="1" w:styleId="3851">
    <w:name w:val="表格内字体114"/>
    <w:basedOn w:val="403"/>
    <w:autoRedefine/>
    <w:qFormat/>
    <w:uiPriority w:val="0"/>
    <w:pPr>
      <w:spacing w:line="240" w:lineRule="auto"/>
      <w:ind w:firstLine="0"/>
      <w:jc w:val="center"/>
    </w:pPr>
    <w:rPr>
      <w:sz w:val="21"/>
      <w:szCs w:val="20"/>
    </w:rPr>
  </w:style>
  <w:style w:type="paragraph" w:customStyle="1" w:styleId="3852">
    <w:name w:val="Char Char2 Char Char Char Char14"/>
    <w:basedOn w:val="1"/>
    <w:autoRedefine/>
    <w:qFormat/>
    <w:uiPriority w:val="0"/>
  </w:style>
  <w:style w:type="paragraph" w:customStyle="1" w:styleId="3853">
    <w:name w:val="样式 正文缩进 + 宋体 黑色 首行缩进:  2 字符4"/>
    <w:basedOn w:val="8"/>
    <w:autoRedefine/>
    <w:qFormat/>
    <w:uiPriority w:val="0"/>
    <w:pPr>
      <w:spacing w:line="360" w:lineRule="auto"/>
      <w:ind w:firstLine="480"/>
      <w:jc w:val="left"/>
    </w:pPr>
    <w:rPr>
      <w:rFonts w:ascii="宋体" w:hAnsi="宋体" w:cs="宋体"/>
      <w:color w:val="FF00FF"/>
      <w:sz w:val="24"/>
    </w:rPr>
  </w:style>
  <w:style w:type="paragraph" w:customStyle="1" w:styleId="3854">
    <w:name w:val="环评正文4"/>
    <w:autoRedefine/>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3855">
    <w:name w:val="环评正文 Char4"/>
    <w:autoRedefine/>
    <w:qFormat/>
    <w:uiPriority w:val="0"/>
    <w:rPr>
      <w:rFonts w:eastAsia="宋体"/>
      <w:bCs/>
      <w:kern w:val="2"/>
      <w:sz w:val="24"/>
      <w:szCs w:val="24"/>
      <w:lang w:val="en-US" w:eastAsia="zh-CN" w:bidi="ar-SA"/>
    </w:rPr>
  </w:style>
  <w:style w:type="paragraph" w:customStyle="1" w:styleId="3856">
    <w:name w:val="注释4"/>
    <w:basedOn w:val="403"/>
    <w:next w:val="2"/>
    <w:autoRedefine/>
    <w:qFormat/>
    <w:uiPriority w:val="0"/>
    <w:pPr>
      <w:spacing w:before="120" w:after="120" w:line="240" w:lineRule="auto"/>
      <w:ind w:firstLine="200" w:firstLineChars="200"/>
    </w:pPr>
    <w:rPr>
      <w:sz w:val="21"/>
      <w:szCs w:val="20"/>
    </w:rPr>
  </w:style>
  <w:style w:type="paragraph" w:customStyle="1" w:styleId="3857">
    <w:name w:val="样式44"/>
    <w:basedOn w:val="2"/>
    <w:autoRedefine/>
    <w:qFormat/>
    <w:uiPriority w:val="0"/>
    <w:pPr>
      <w:widowControl w:val="0"/>
      <w:snapToGrid/>
      <w:spacing w:before="0" w:after="120" w:line="240" w:lineRule="auto"/>
      <w:ind w:right="0"/>
    </w:pPr>
    <w:rPr>
      <w:kern w:val="2"/>
      <w:sz w:val="21"/>
      <w:szCs w:val="24"/>
    </w:rPr>
  </w:style>
  <w:style w:type="paragraph" w:customStyle="1" w:styleId="3858">
    <w:name w:val="标题415"/>
    <w:basedOn w:val="9"/>
    <w:next w:val="1"/>
    <w:autoRedefine/>
    <w:qFormat/>
    <w:uiPriority w:val="0"/>
    <w:pPr>
      <w:spacing w:before="160" w:after="170" w:line="360" w:lineRule="auto"/>
    </w:pPr>
    <w:rPr>
      <w:rFonts w:ascii="黑体"/>
      <w:kern w:val="0"/>
      <w:sz w:val="24"/>
      <w:lang w:val="zh-CN"/>
    </w:rPr>
  </w:style>
  <w:style w:type="character" w:customStyle="1" w:styleId="3859">
    <w:name w:val="标题4 Char4"/>
    <w:autoRedefine/>
    <w:qFormat/>
    <w:uiPriority w:val="0"/>
    <w:rPr>
      <w:rFonts w:ascii="黑体" w:hAnsi="Arial" w:eastAsia="黑体" w:cs="Times New Roman"/>
      <w:b/>
      <w:bCs/>
      <w:kern w:val="2"/>
      <w:sz w:val="24"/>
      <w:szCs w:val="28"/>
      <w:lang w:val="en-US" w:eastAsia="zh-CN" w:bidi="ar-SA"/>
    </w:rPr>
  </w:style>
  <w:style w:type="paragraph" w:customStyle="1" w:styleId="3860">
    <w:name w:val="表中文字44"/>
    <w:basedOn w:val="1"/>
    <w:autoRedefine/>
    <w:qFormat/>
    <w:uiPriority w:val="0"/>
    <w:pPr>
      <w:snapToGrid w:val="0"/>
      <w:spacing w:line="340" w:lineRule="exact"/>
      <w:ind w:firstLine="480" w:firstLineChars="200"/>
      <w:jc w:val="center"/>
    </w:pPr>
    <w:rPr>
      <w:rFonts w:ascii="Arial" w:hAnsi="Arial"/>
      <w:kern w:val="0"/>
      <w:sz w:val="20"/>
      <w:lang w:eastAsia="zh-TW"/>
    </w:rPr>
  </w:style>
  <w:style w:type="character" w:customStyle="1" w:styleId="3861">
    <w:name w:val="表中文字 Char5"/>
    <w:autoRedefine/>
    <w:qFormat/>
    <w:uiPriority w:val="0"/>
    <w:rPr>
      <w:rFonts w:ascii="Arial" w:hAnsi="Arial" w:eastAsia="宋体"/>
      <w:kern w:val="2"/>
      <w:sz w:val="24"/>
      <w:szCs w:val="24"/>
      <w:lang w:val="en-US" w:eastAsia="zh-TW" w:bidi="ar-SA"/>
    </w:rPr>
  </w:style>
  <w:style w:type="paragraph" w:customStyle="1" w:styleId="3862">
    <w:name w:val="样式 正文缩进 + 宋体 黑色4"/>
    <w:basedOn w:val="8"/>
    <w:autoRedefine/>
    <w:qFormat/>
    <w:uiPriority w:val="0"/>
    <w:pPr>
      <w:spacing w:line="360" w:lineRule="auto"/>
      <w:ind w:firstLine="200"/>
      <w:jc w:val="left"/>
    </w:pPr>
    <w:rPr>
      <w:rFonts w:ascii="宋体" w:hAnsi="宋体"/>
      <w:color w:val="000000"/>
      <w:sz w:val="24"/>
      <w:szCs w:val="24"/>
    </w:rPr>
  </w:style>
  <w:style w:type="character" w:customStyle="1" w:styleId="3863">
    <w:name w:val="样式 正文缩进 + 宋体 黑色 Char4"/>
    <w:autoRedefine/>
    <w:qFormat/>
    <w:uiPriority w:val="0"/>
    <w:rPr>
      <w:rFonts w:ascii="宋体" w:hAnsi="宋体" w:eastAsia="宋体"/>
      <w:color w:val="000000"/>
      <w:kern w:val="2"/>
      <w:sz w:val="24"/>
      <w:szCs w:val="24"/>
      <w:lang w:val="en-US" w:eastAsia="zh-CN" w:bidi="ar-SA"/>
    </w:rPr>
  </w:style>
  <w:style w:type="paragraph" w:customStyle="1" w:styleId="3864">
    <w:name w:val="表内514"/>
    <w:basedOn w:val="1"/>
    <w:autoRedefine/>
    <w:qFormat/>
    <w:uiPriority w:val="0"/>
    <w:pPr>
      <w:adjustRightInd w:val="0"/>
      <w:snapToGrid w:val="0"/>
      <w:jc w:val="center"/>
    </w:pPr>
    <w:rPr>
      <w:rFonts w:ascii="宋体" w:hAnsi="宋体"/>
      <w:kern w:val="0"/>
      <w:sz w:val="20"/>
      <w:szCs w:val="20"/>
    </w:rPr>
  </w:style>
  <w:style w:type="character" w:customStyle="1" w:styleId="3865">
    <w:name w:val="表内5 Char5"/>
    <w:autoRedefine/>
    <w:qFormat/>
    <w:uiPriority w:val="0"/>
    <w:rPr>
      <w:rFonts w:ascii="宋体" w:hAnsi="宋体" w:eastAsia="宋体" w:cs="Times New Roman"/>
      <w:kern w:val="2"/>
      <w:sz w:val="24"/>
      <w:szCs w:val="24"/>
      <w:lang w:val="en-US" w:eastAsia="zh-CN" w:bidi="ar-SA"/>
    </w:rPr>
  </w:style>
  <w:style w:type="paragraph" w:customStyle="1" w:styleId="3866">
    <w:name w:val="样式 样式 宋体 + 首行缩进:  2 字符14"/>
    <w:basedOn w:val="1"/>
    <w:autoRedefine/>
    <w:qFormat/>
    <w:uiPriority w:val="0"/>
    <w:pPr>
      <w:spacing w:line="360" w:lineRule="auto"/>
      <w:ind w:firstLine="480" w:firstLineChars="200"/>
      <w:jc w:val="left"/>
    </w:pPr>
    <w:rPr>
      <w:rFonts w:ascii="宋体" w:cs="宋体"/>
      <w:sz w:val="24"/>
    </w:rPr>
  </w:style>
  <w:style w:type="paragraph" w:customStyle="1" w:styleId="3867">
    <w:name w:val="表内宋5中24"/>
    <w:basedOn w:val="1"/>
    <w:autoRedefine/>
    <w:qFormat/>
    <w:uiPriority w:val="0"/>
    <w:pPr>
      <w:adjustRightInd w:val="0"/>
      <w:snapToGrid w:val="0"/>
      <w:jc w:val="center"/>
      <w:textAlignment w:val="baseline"/>
    </w:pPr>
    <w:rPr>
      <w:rFonts w:ascii="宋体" w:hAnsi="宋体"/>
      <w:kern w:val="0"/>
      <w:szCs w:val="20"/>
    </w:rPr>
  </w:style>
  <w:style w:type="character" w:customStyle="1" w:styleId="3868">
    <w:name w:val="标题 5 Char11"/>
    <w:autoRedefine/>
    <w:qFormat/>
    <w:uiPriority w:val="0"/>
    <w:rPr>
      <w:rFonts w:ascii="宋体" w:hAnsi="宋体" w:eastAsia="宋体" w:cs="宋体"/>
      <w:b/>
      <w:bCs/>
      <w:kern w:val="2"/>
      <w:sz w:val="28"/>
      <w:szCs w:val="28"/>
      <w:lang w:val="en-US" w:eastAsia="zh-CN" w:bidi="ar-SA"/>
    </w:rPr>
  </w:style>
  <w:style w:type="paragraph" w:customStyle="1" w:styleId="3869">
    <w:name w:val="xl634"/>
    <w:basedOn w:val="1"/>
    <w:autoRedefine/>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870">
    <w:name w:val="标准4"/>
    <w:basedOn w:val="1"/>
    <w:autoRedefine/>
    <w:qFormat/>
    <w:uiPriority w:val="0"/>
    <w:pPr>
      <w:adjustRightInd w:val="0"/>
      <w:spacing w:before="120" w:line="336" w:lineRule="auto"/>
      <w:jc w:val="center"/>
      <w:textAlignment w:val="baseline"/>
    </w:pPr>
    <w:rPr>
      <w:rFonts w:ascii="黑体" w:eastAsia="黑体"/>
      <w:szCs w:val="20"/>
    </w:rPr>
  </w:style>
  <w:style w:type="paragraph" w:customStyle="1" w:styleId="3871">
    <w:name w:val="Fax Header4"/>
    <w:basedOn w:val="1"/>
    <w:autoRedefine/>
    <w:qFormat/>
    <w:uiPriority w:val="0"/>
    <w:pPr>
      <w:widowControl/>
      <w:spacing w:before="240" w:after="60"/>
      <w:jc w:val="left"/>
    </w:pPr>
    <w:rPr>
      <w:kern w:val="0"/>
      <w:sz w:val="20"/>
      <w:szCs w:val="20"/>
    </w:rPr>
  </w:style>
  <w:style w:type="paragraph" w:customStyle="1" w:styleId="3872">
    <w:name w:val="样式 表格内字体1 +4"/>
    <w:basedOn w:val="2173"/>
    <w:next w:val="2085"/>
    <w:autoRedefine/>
    <w:qFormat/>
    <w:uiPriority w:val="0"/>
    <w:rPr>
      <w:rFonts w:hAnsi="Times New Roman" w:cs="宋体"/>
      <w:szCs w:val="20"/>
    </w:rPr>
  </w:style>
  <w:style w:type="character" w:customStyle="1" w:styleId="3873">
    <w:name w:val="批注框文本 Char31"/>
    <w:autoRedefine/>
    <w:qFormat/>
    <w:uiPriority w:val="0"/>
    <w:rPr>
      <w:rFonts w:ascii="Times New Roman" w:hAnsi="Times New Roman" w:eastAsia="宋体" w:cs="Times New Roman"/>
      <w:kern w:val="2"/>
      <w:sz w:val="18"/>
      <w:szCs w:val="18"/>
      <w:lang w:val="en-US" w:eastAsia="zh-CN" w:bidi="ar-SA"/>
    </w:rPr>
  </w:style>
  <w:style w:type="paragraph" w:customStyle="1" w:styleId="3874">
    <w:name w:val="默认段落字体 Para Char34"/>
    <w:basedOn w:val="1"/>
    <w:autoRedefine/>
    <w:qFormat/>
    <w:uiPriority w:val="0"/>
    <w:pPr>
      <w:spacing w:line="360" w:lineRule="auto"/>
      <w:ind w:firstLine="200" w:firstLineChars="200"/>
    </w:pPr>
    <w:rPr>
      <w:rFonts w:ascii="宋体" w:hAnsi="宋体" w:cs="宋体"/>
      <w:sz w:val="24"/>
    </w:rPr>
  </w:style>
  <w:style w:type="paragraph" w:customStyle="1" w:styleId="3875">
    <w:name w:val="正文斜体4"/>
    <w:basedOn w:val="403"/>
    <w:next w:val="403"/>
    <w:autoRedefine/>
    <w:qFormat/>
    <w:uiPriority w:val="0"/>
    <w:rPr>
      <w:rFonts w:hAnsi="宋体" w:cs="Times New Roman"/>
      <w:i/>
      <w:iCs/>
    </w:rPr>
  </w:style>
  <w:style w:type="character" w:customStyle="1" w:styleId="3876">
    <w:name w:val="正文斜体 Char4"/>
    <w:autoRedefine/>
    <w:qFormat/>
    <w:uiPriority w:val="0"/>
    <w:rPr>
      <w:rFonts w:ascii="宋体" w:eastAsia="宋体" w:cs="宋体"/>
      <w:i/>
      <w:iCs/>
      <w:kern w:val="2"/>
      <w:sz w:val="24"/>
      <w:szCs w:val="24"/>
      <w:lang w:val="en-US" w:eastAsia="zh-CN" w:bidi="ar-SA"/>
    </w:rPr>
  </w:style>
  <w:style w:type="paragraph" w:customStyle="1" w:styleId="3877">
    <w:name w:val="Char Char2 Char Char Char Char15"/>
    <w:basedOn w:val="1"/>
    <w:autoRedefine/>
    <w:qFormat/>
    <w:uiPriority w:val="0"/>
  </w:style>
  <w:style w:type="paragraph" w:customStyle="1" w:styleId="3878">
    <w:name w:val="Char84"/>
    <w:basedOn w:val="1"/>
    <w:autoRedefine/>
    <w:qFormat/>
    <w:uiPriority w:val="0"/>
    <w:pPr>
      <w:ind w:left="-48"/>
    </w:pPr>
  </w:style>
  <w:style w:type="paragraph" w:customStyle="1" w:styleId="3879">
    <w:name w:val="正文格式74"/>
    <w:basedOn w:val="1"/>
    <w:autoRedefine/>
    <w:qFormat/>
    <w:uiPriority w:val="0"/>
    <w:pPr>
      <w:spacing w:line="360" w:lineRule="auto"/>
      <w:ind w:firstLine="482"/>
    </w:pPr>
    <w:rPr>
      <w:rFonts w:ascii="宋体" w:hAnsi="宋体"/>
      <w:sz w:val="24"/>
    </w:rPr>
  </w:style>
  <w:style w:type="character" w:customStyle="1" w:styleId="3880">
    <w:name w:val="正文格式 Char71"/>
    <w:autoRedefine/>
    <w:qFormat/>
    <w:uiPriority w:val="0"/>
    <w:rPr>
      <w:rFonts w:ascii="宋体" w:hAnsi="宋体" w:eastAsia="宋体"/>
      <w:kern w:val="2"/>
      <w:sz w:val="24"/>
      <w:szCs w:val="24"/>
      <w:lang w:val="en-US" w:eastAsia="zh-CN" w:bidi="ar-SA"/>
    </w:rPr>
  </w:style>
  <w:style w:type="character" w:customStyle="1" w:styleId="3881">
    <w:name w:val="标题 2 Char51"/>
    <w:autoRedefine/>
    <w:qFormat/>
    <w:uiPriority w:val="0"/>
    <w:rPr>
      <w:rFonts w:ascii="黑体" w:hAnsi="Arial" w:eastAsia="黑体"/>
      <w:bCs/>
      <w:kern w:val="2"/>
      <w:sz w:val="30"/>
      <w:szCs w:val="30"/>
      <w:lang w:val="en-US" w:eastAsia="zh-CN" w:bidi="ar-SA"/>
    </w:rPr>
  </w:style>
  <w:style w:type="character" w:customStyle="1" w:styleId="3882">
    <w:name w:val="标题 3 Char101"/>
    <w:autoRedefine/>
    <w:qFormat/>
    <w:uiPriority w:val="0"/>
    <w:rPr>
      <w:rFonts w:ascii="黑体" w:hAnsi="宋体" w:eastAsia="黑体"/>
      <w:b/>
      <w:bCs/>
      <w:kern w:val="2"/>
      <w:sz w:val="28"/>
      <w:szCs w:val="28"/>
      <w:lang w:val="en-US" w:eastAsia="zh-CN" w:bidi="ar-SA"/>
    </w:rPr>
  </w:style>
  <w:style w:type="character" w:customStyle="1" w:styleId="3883">
    <w:name w:val="题注 Char54"/>
    <w:autoRedefine/>
    <w:qFormat/>
    <w:uiPriority w:val="0"/>
    <w:rPr>
      <w:rFonts w:ascii="黑体" w:hAnsi="Arial" w:eastAsia="黑体" w:cs="Arial"/>
      <w:b/>
      <w:kern w:val="2"/>
      <w:sz w:val="24"/>
      <w:szCs w:val="24"/>
      <w:lang w:val="en-US" w:eastAsia="zh-CN" w:bidi="ar-SA"/>
    </w:rPr>
  </w:style>
  <w:style w:type="paragraph" w:customStyle="1" w:styleId="3884">
    <w:name w:val="图题74"/>
    <w:basedOn w:val="403"/>
    <w:next w:val="403"/>
    <w:autoRedefine/>
    <w:qFormat/>
    <w:uiPriority w:val="0"/>
    <w:pPr>
      <w:ind w:firstLine="0"/>
      <w:jc w:val="center"/>
    </w:pPr>
    <w:rPr>
      <w:rFonts w:ascii="黑体" w:hAnsi="宋体" w:eastAsia="黑体"/>
      <w:b/>
      <w:bCs/>
    </w:rPr>
  </w:style>
  <w:style w:type="paragraph" w:customStyle="1" w:styleId="3885">
    <w:name w:val="表格内字体74"/>
    <w:basedOn w:val="403"/>
    <w:next w:val="403"/>
    <w:autoRedefine/>
    <w:qFormat/>
    <w:uiPriority w:val="0"/>
    <w:pPr>
      <w:spacing w:line="240" w:lineRule="auto"/>
      <w:ind w:firstLine="0"/>
      <w:jc w:val="center"/>
    </w:pPr>
    <w:rPr>
      <w:rFonts w:hAnsi="宋体" w:cs="Times New Roman"/>
      <w:sz w:val="21"/>
    </w:rPr>
  </w:style>
  <w:style w:type="character" w:customStyle="1" w:styleId="3886">
    <w:name w:val="表格内字体 Char71"/>
    <w:autoRedefine/>
    <w:qFormat/>
    <w:uiPriority w:val="0"/>
    <w:rPr>
      <w:rFonts w:ascii="宋体" w:hAnsi="宋体" w:eastAsia="宋体"/>
      <w:kern w:val="2"/>
      <w:sz w:val="21"/>
      <w:szCs w:val="24"/>
      <w:lang w:val="en-US" w:eastAsia="zh-CN" w:bidi="ar-SA"/>
    </w:rPr>
  </w:style>
  <w:style w:type="paragraph" w:customStyle="1" w:styleId="3887">
    <w:name w:val="Char94"/>
    <w:basedOn w:val="1"/>
    <w:autoRedefine/>
    <w:qFormat/>
    <w:uiPriority w:val="0"/>
    <w:pPr>
      <w:ind w:left="-48"/>
    </w:pPr>
  </w:style>
  <w:style w:type="paragraph" w:customStyle="1" w:styleId="3888">
    <w:name w:val="正文格式＝64"/>
    <w:basedOn w:val="403"/>
    <w:next w:val="403"/>
    <w:autoRedefine/>
    <w:qFormat/>
    <w:uiPriority w:val="0"/>
    <w:rPr>
      <w:rFonts w:hAnsi="宋体" w:cs="Times New Roman"/>
    </w:rPr>
  </w:style>
  <w:style w:type="character" w:customStyle="1" w:styleId="3889">
    <w:name w:val="正文缩进 Char121"/>
    <w:autoRedefine/>
    <w:qFormat/>
    <w:uiPriority w:val="0"/>
    <w:rPr>
      <w:rFonts w:ascii="宋体" w:hAnsi="宋体" w:eastAsia="宋体" w:cs="宋体"/>
      <w:color w:val="000000"/>
      <w:kern w:val="2"/>
      <w:sz w:val="24"/>
      <w:szCs w:val="24"/>
      <w:lang w:val="en-US" w:eastAsia="zh-CN" w:bidi="ar-SA"/>
    </w:rPr>
  </w:style>
  <w:style w:type="character" w:customStyle="1" w:styleId="3890">
    <w:name w:val="正文文本缩进 3 Char21"/>
    <w:autoRedefine/>
    <w:qFormat/>
    <w:uiPriority w:val="0"/>
    <w:rPr>
      <w:rFonts w:eastAsia="宋体"/>
      <w:kern w:val="2"/>
      <w:sz w:val="16"/>
      <w:szCs w:val="16"/>
      <w:lang w:val="en-US" w:eastAsia="zh-CN" w:bidi="ar-SA"/>
    </w:rPr>
  </w:style>
  <w:style w:type="paragraph" w:customStyle="1" w:styleId="3891">
    <w:name w:val="表题154"/>
    <w:basedOn w:val="24"/>
    <w:autoRedefine/>
    <w:qFormat/>
    <w:uiPriority w:val="0"/>
    <w:pPr>
      <w:keepNext w:val="0"/>
      <w:widowControl w:val="0"/>
      <w:adjustRightInd/>
      <w:snapToGrid/>
      <w:spacing w:line="360" w:lineRule="auto"/>
    </w:pPr>
    <w:rPr>
      <w:rFonts w:ascii="黑体" w:hAnsi="Arial" w:eastAsia="黑体"/>
      <w:kern w:val="2"/>
      <w:sz w:val="24"/>
      <w:szCs w:val="24"/>
      <w:lang w:val="en-US"/>
    </w:rPr>
  </w:style>
  <w:style w:type="character" w:customStyle="1" w:styleId="3892">
    <w:name w:val="表题1 Char64"/>
    <w:autoRedefine/>
    <w:qFormat/>
    <w:uiPriority w:val="0"/>
    <w:rPr>
      <w:rFonts w:ascii="黑体" w:hAnsi="Arial" w:eastAsia="黑体" w:cs="Arial"/>
      <w:b/>
      <w:kern w:val="2"/>
      <w:sz w:val="24"/>
      <w:szCs w:val="24"/>
      <w:lang w:val="en-US" w:eastAsia="zh-CN" w:bidi="ar-SA"/>
    </w:rPr>
  </w:style>
  <w:style w:type="character" w:customStyle="1" w:styleId="3893">
    <w:name w:val="Char Char45"/>
    <w:autoRedefine/>
    <w:qFormat/>
    <w:uiPriority w:val="0"/>
    <w:rPr>
      <w:rFonts w:ascii="黑体" w:hAnsi="Arial" w:eastAsia="黑体"/>
      <w:b/>
      <w:bCs/>
      <w:kern w:val="2"/>
      <w:sz w:val="30"/>
      <w:szCs w:val="30"/>
      <w:lang w:val="en-US" w:eastAsia="zh-CN" w:bidi="ar-SA"/>
    </w:rPr>
  </w:style>
  <w:style w:type="paragraph" w:customStyle="1" w:styleId="3894">
    <w:name w:val="燕山正文44"/>
    <w:basedOn w:val="1"/>
    <w:autoRedefine/>
    <w:qFormat/>
    <w:uiPriority w:val="0"/>
    <w:pPr>
      <w:tabs>
        <w:tab w:val="left" w:pos="4680"/>
      </w:tabs>
      <w:adjustRightInd w:val="0"/>
      <w:snapToGrid w:val="0"/>
      <w:spacing w:line="480" w:lineRule="exact"/>
    </w:pPr>
    <w:rPr>
      <w:rFonts w:ascii="宋体" w:cs="宋体"/>
      <w:sz w:val="24"/>
    </w:rPr>
  </w:style>
  <w:style w:type="character" w:customStyle="1" w:styleId="3895">
    <w:name w:val="燕山正文 Char141"/>
    <w:autoRedefine/>
    <w:qFormat/>
    <w:uiPriority w:val="0"/>
    <w:rPr>
      <w:rFonts w:ascii="宋体" w:eastAsia="宋体" w:cs="宋体"/>
      <w:kern w:val="2"/>
      <w:sz w:val="24"/>
      <w:szCs w:val="24"/>
      <w:lang w:val="en-US" w:eastAsia="zh-CN" w:bidi="ar-SA"/>
    </w:rPr>
  </w:style>
  <w:style w:type="paragraph" w:customStyle="1" w:styleId="3896">
    <w:name w:val="正文修改44"/>
    <w:basedOn w:val="2088"/>
    <w:autoRedefine/>
    <w:qFormat/>
    <w:uiPriority w:val="0"/>
    <w:rPr>
      <w:rFonts w:hAnsi="宋体"/>
      <w:color w:val="000000"/>
    </w:rPr>
  </w:style>
  <w:style w:type="character" w:customStyle="1" w:styleId="3897">
    <w:name w:val="正文修改 Char144"/>
    <w:autoRedefine/>
    <w:qFormat/>
    <w:uiPriority w:val="0"/>
  </w:style>
  <w:style w:type="paragraph" w:customStyle="1" w:styleId="3898">
    <w:name w:val="表中文字54"/>
    <w:basedOn w:val="1"/>
    <w:autoRedefine/>
    <w:qFormat/>
    <w:uiPriority w:val="0"/>
    <w:pPr>
      <w:widowControl/>
      <w:spacing w:line="240" w:lineRule="atLeast"/>
      <w:ind w:left="-24" w:leftChars="-10" w:right="-48" w:rightChars="-20"/>
      <w:jc w:val="center"/>
    </w:pPr>
    <w:rPr>
      <w:rFonts w:ascii="宋体"/>
      <w:kern w:val="0"/>
      <w:szCs w:val="21"/>
    </w:rPr>
  </w:style>
  <w:style w:type="character" w:customStyle="1" w:styleId="3899">
    <w:name w:val="表中文字 Char241"/>
    <w:autoRedefine/>
    <w:qFormat/>
    <w:uiPriority w:val="0"/>
    <w:rPr>
      <w:rFonts w:ascii="宋体" w:eastAsia="宋体"/>
      <w:kern w:val="2"/>
      <w:sz w:val="21"/>
      <w:szCs w:val="21"/>
      <w:lang w:val="en-US" w:eastAsia="zh-CN" w:bidi="ar-SA"/>
    </w:rPr>
  </w:style>
  <w:style w:type="paragraph" w:customStyle="1" w:styleId="3900">
    <w:name w:val="默认段落字体 Para Char Char Char Char54"/>
    <w:basedOn w:val="1"/>
    <w:autoRedefine/>
    <w:qFormat/>
    <w:uiPriority w:val="0"/>
  </w:style>
  <w:style w:type="paragraph" w:customStyle="1" w:styleId="3901">
    <w:name w:val="Char104"/>
    <w:basedOn w:val="1"/>
    <w:autoRedefine/>
    <w:qFormat/>
    <w:uiPriority w:val="0"/>
    <w:pPr>
      <w:adjustRightInd w:val="0"/>
      <w:snapToGrid w:val="0"/>
      <w:spacing w:line="360" w:lineRule="auto"/>
    </w:pPr>
  </w:style>
  <w:style w:type="paragraph" w:customStyle="1" w:styleId="3902">
    <w:name w:val="封面标准文稿编辑信息4"/>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903">
    <w:name w:val="样式 表内小5 + 黑体 加粗 倾斜 下划线4"/>
    <w:basedOn w:val="1"/>
    <w:autoRedefine/>
    <w:qFormat/>
    <w:uiPriority w:val="0"/>
    <w:pPr>
      <w:adjustRightInd w:val="0"/>
      <w:snapToGrid w:val="0"/>
      <w:spacing w:line="300" w:lineRule="auto"/>
      <w:jc w:val="left"/>
    </w:pPr>
    <w:rPr>
      <w:rFonts w:ascii="黑体" w:hAnsi="黑体" w:eastAsia="黑体"/>
      <w:b/>
      <w:bCs/>
      <w:i/>
      <w:iCs/>
      <w:sz w:val="18"/>
      <w:u w:val="single"/>
    </w:rPr>
  </w:style>
  <w:style w:type="character" w:customStyle="1" w:styleId="3904">
    <w:name w:val="样式 表内小5 + 黑体 加粗 倾斜 下划线 Char4"/>
    <w:autoRedefine/>
    <w:qFormat/>
    <w:uiPriority w:val="0"/>
    <w:rPr>
      <w:rFonts w:ascii="黑体" w:hAnsi="黑体" w:eastAsia="黑体"/>
      <w:b/>
      <w:bCs/>
      <w:i/>
      <w:iCs/>
      <w:kern w:val="2"/>
      <w:sz w:val="18"/>
      <w:szCs w:val="24"/>
      <w:u w:val="single"/>
      <w:lang w:val="en-US" w:eastAsia="zh-CN" w:bidi="ar-SA"/>
    </w:rPr>
  </w:style>
  <w:style w:type="paragraph" w:customStyle="1" w:styleId="3905">
    <w:name w:val="表内5中14"/>
    <w:basedOn w:val="1"/>
    <w:autoRedefine/>
    <w:qFormat/>
    <w:uiPriority w:val="0"/>
    <w:pPr>
      <w:adjustRightInd w:val="0"/>
      <w:snapToGrid w:val="0"/>
      <w:jc w:val="center"/>
    </w:pPr>
    <w:rPr>
      <w:rFonts w:ascii="宋体" w:hAnsi="宋体" w:cs="Arial"/>
      <w:snapToGrid w:val="0"/>
      <w:color w:val="000000"/>
      <w:szCs w:val="21"/>
    </w:rPr>
  </w:style>
  <w:style w:type="paragraph" w:customStyle="1" w:styleId="3906">
    <w:name w:val="表内54144"/>
    <w:basedOn w:val="1"/>
    <w:autoRedefine/>
    <w:qFormat/>
    <w:uiPriority w:val="0"/>
    <w:pPr>
      <w:adjustRightInd w:val="0"/>
      <w:snapToGrid w:val="0"/>
      <w:spacing w:line="300" w:lineRule="auto"/>
      <w:jc w:val="center"/>
    </w:pPr>
    <w:rPr>
      <w:rFonts w:ascii="宋体" w:hAnsi="宋体" w:cs="宋体"/>
      <w:szCs w:val="20"/>
    </w:rPr>
  </w:style>
  <w:style w:type="paragraph" w:customStyle="1" w:styleId="3907">
    <w:name w:val="表格14"/>
    <w:basedOn w:val="1"/>
    <w:autoRedefine/>
    <w:qFormat/>
    <w:uiPriority w:val="0"/>
    <w:pPr>
      <w:adjustRightInd w:val="0"/>
      <w:jc w:val="center"/>
      <w:textAlignment w:val="baseline"/>
    </w:pPr>
    <w:rPr>
      <w:rFonts w:ascii="宋体"/>
      <w:kern w:val="0"/>
      <w:sz w:val="24"/>
      <w:szCs w:val="20"/>
    </w:rPr>
  </w:style>
  <w:style w:type="paragraph" w:customStyle="1" w:styleId="3908">
    <w:name w:val="c4"/>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909">
    <w:name w:val="表题94"/>
    <w:basedOn w:val="46"/>
    <w:autoRedefine/>
    <w:qFormat/>
    <w:uiPriority w:val="0"/>
    <w:pPr>
      <w:adjustRightInd w:val="0"/>
      <w:snapToGrid w:val="0"/>
      <w:spacing w:line="300" w:lineRule="auto"/>
      <w:jc w:val="center"/>
    </w:pPr>
    <w:rPr>
      <w:rFonts w:ascii="黑体" w:eastAsia="黑体" w:cs="Times New Roman"/>
      <w:sz w:val="24"/>
      <w:szCs w:val="20"/>
    </w:rPr>
  </w:style>
  <w:style w:type="character" w:customStyle="1" w:styleId="3910">
    <w:name w:val="正文缩进 Char61"/>
    <w:autoRedefine/>
    <w:qFormat/>
    <w:uiPriority w:val="0"/>
    <w:rPr>
      <w:rFonts w:ascii="宋体" w:hAnsi="宋体" w:eastAsia="宋体"/>
      <w:kern w:val="2"/>
      <w:sz w:val="24"/>
      <w:szCs w:val="24"/>
      <w:lang w:val="en-US" w:eastAsia="zh-CN" w:bidi="ar-SA"/>
    </w:rPr>
  </w:style>
  <w:style w:type="paragraph" w:customStyle="1" w:styleId="3911">
    <w:name w:val="福建正文缩进4"/>
    <w:basedOn w:val="8"/>
    <w:autoRedefine/>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szCs w:val="24"/>
    </w:rPr>
  </w:style>
  <w:style w:type="character" w:customStyle="1" w:styleId="3912">
    <w:name w:val="福建正文缩进 Char4"/>
    <w:autoRedefine/>
    <w:qFormat/>
    <w:uiPriority w:val="0"/>
    <w:rPr>
      <w:rFonts w:ascii="宋体" w:hAnsi="宋体" w:eastAsia="宋体" w:cs="宋体"/>
      <w:color w:val="000000"/>
      <w:kern w:val="2"/>
      <w:sz w:val="24"/>
      <w:szCs w:val="24"/>
      <w:lang w:val="en-US" w:eastAsia="zh-CN" w:bidi="ar-SA"/>
    </w:rPr>
  </w:style>
  <w:style w:type="paragraph" w:customStyle="1" w:styleId="3913">
    <w:name w:val="表内文字小15"/>
    <w:basedOn w:val="1"/>
    <w:autoRedefine/>
    <w:qFormat/>
    <w:uiPriority w:val="0"/>
    <w:pPr>
      <w:adjustRightInd w:val="0"/>
      <w:snapToGrid w:val="0"/>
      <w:jc w:val="center"/>
    </w:pPr>
    <w:rPr>
      <w:rFonts w:ascii="宋体" w:hAnsi="Times"/>
      <w:szCs w:val="20"/>
    </w:rPr>
  </w:style>
  <w:style w:type="paragraph" w:customStyle="1" w:styleId="3914">
    <w:name w:val="表内594"/>
    <w:basedOn w:val="1"/>
    <w:autoRedefine/>
    <w:qFormat/>
    <w:uiPriority w:val="0"/>
    <w:pPr>
      <w:adjustRightInd w:val="0"/>
      <w:snapToGrid w:val="0"/>
      <w:spacing w:line="300" w:lineRule="auto"/>
      <w:jc w:val="center"/>
    </w:pPr>
    <w:rPr>
      <w:rFonts w:ascii="宋体"/>
      <w:snapToGrid w:val="0"/>
      <w:szCs w:val="21"/>
    </w:rPr>
  </w:style>
  <w:style w:type="paragraph" w:customStyle="1" w:styleId="3915">
    <w:name w:val="表内小5中4"/>
    <w:basedOn w:val="1"/>
    <w:autoRedefine/>
    <w:qFormat/>
    <w:uiPriority w:val="0"/>
    <w:pPr>
      <w:adjustRightInd w:val="0"/>
      <w:snapToGrid w:val="0"/>
      <w:jc w:val="center"/>
    </w:pPr>
    <w:rPr>
      <w:rFonts w:ascii="宋体" w:hAnsi="宋体"/>
      <w:sz w:val="18"/>
      <w:szCs w:val="20"/>
    </w:rPr>
  </w:style>
  <w:style w:type="paragraph" w:customStyle="1" w:styleId="3916">
    <w:name w:val="表内5中44"/>
    <w:basedOn w:val="1"/>
    <w:autoRedefine/>
    <w:qFormat/>
    <w:uiPriority w:val="0"/>
    <w:pPr>
      <w:adjustRightInd w:val="0"/>
      <w:snapToGrid w:val="0"/>
      <w:jc w:val="center"/>
    </w:pPr>
    <w:rPr>
      <w:rFonts w:ascii="宋体"/>
      <w:bCs/>
      <w:szCs w:val="20"/>
    </w:rPr>
  </w:style>
  <w:style w:type="character" w:customStyle="1" w:styleId="3917">
    <w:name w:val="标题 4 Char11"/>
    <w:autoRedefine/>
    <w:qFormat/>
    <w:uiPriority w:val="0"/>
    <w:rPr>
      <w:rFonts w:ascii="黑体" w:hAnsi="Arial" w:eastAsia="黑体"/>
      <w:b/>
      <w:bCs/>
      <w:kern w:val="2"/>
      <w:sz w:val="24"/>
      <w:szCs w:val="24"/>
      <w:lang w:val="en-US" w:eastAsia="zh-CN" w:bidi="ar-SA"/>
    </w:rPr>
  </w:style>
  <w:style w:type="paragraph" w:customStyle="1" w:styleId="3918">
    <w:name w:val="默认段落字体 Para Char4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919">
    <w:name w:val="燕山正文134"/>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3920">
    <w:name w:val="批注框文本 Char41"/>
    <w:autoRedefine/>
    <w:qFormat/>
    <w:uiPriority w:val="0"/>
    <w:rPr>
      <w:rFonts w:eastAsia="宋体"/>
      <w:kern w:val="2"/>
      <w:sz w:val="18"/>
      <w:szCs w:val="18"/>
      <w:lang w:val="en-US" w:eastAsia="zh-CN" w:bidi="ar-SA"/>
    </w:rPr>
  </w:style>
  <w:style w:type="paragraph" w:customStyle="1" w:styleId="3921">
    <w:name w:val="样式 标题 4无效格式无效格式1河石管道4H4H41小小节河石管道41H42H411小小节1河石管道42...5"/>
    <w:basedOn w:val="9"/>
    <w:autoRedefine/>
    <w:qFormat/>
    <w:uiPriority w:val="0"/>
    <w:pPr>
      <w:adjustRightInd w:val="0"/>
      <w:snapToGrid w:val="0"/>
      <w:spacing w:before="0" w:after="0" w:line="360" w:lineRule="auto"/>
      <w:ind w:left="664" w:hanging="864"/>
    </w:pPr>
    <w:rPr>
      <w:rFonts w:ascii="黑体"/>
      <w:b w:val="0"/>
      <w:bCs w:val="0"/>
      <w:sz w:val="24"/>
      <w:szCs w:val="24"/>
      <w:lang w:val="zh-CN"/>
    </w:rPr>
  </w:style>
  <w:style w:type="paragraph" w:customStyle="1" w:styleId="3922">
    <w:name w:val="样式 标题 4无效格式无效格式1河石管道4H4H41小小节河石管道41H42H411小小节1河石管道42...14"/>
    <w:basedOn w:val="9"/>
    <w:autoRedefine/>
    <w:qFormat/>
    <w:uiPriority w:val="0"/>
    <w:pPr>
      <w:adjustRightInd w:val="0"/>
      <w:snapToGrid w:val="0"/>
      <w:spacing w:before="0" w:after="0" w:line="360" w:lineRule="auto"/>
      <w:ind w:left="664" w:hanging="864"/>
      <w:jc w:val="left"/>
    </w:pPr>
    <w:rPr>
      <w:rFonts w:ascii="黑体" w:cs="宋体"/>
      <w:b w:val="0"/>
      <w:bCs w:val="0"/>
      <w:sz w:val="24"/>
      <w:szCs w:val="20"/>
      <w:lang w:val="zh-CN"/>
    </w:rPr>
  </w:style>
  <w:style w:type="paragraph" w:customStyle="1" w:styleId="3923">
    <w:name w:val="正文格式85"/>
    <w:basedOn w:val="1"/>
    <w:autoRedefine/>
    <w:qFormat/>
    <w:uiPriority w:val="0"/>
    <w:pPr>
      <w:spacing w:line="360" w:lineRule="auto"/>
      <w:ind w:firstLine="482"/>
    </w:pPr>
    <w:rPr>
      <w:rFonts w:ascii="宋体" w:hAnsi="宋体"/>
      <w:sz w:val="24"/>
    </w:rPr>
  </w:style>
  <w:style w:type="character" w:customStyle="1" w:styleId="3924">
    <w:name w:val="正文格式 Char81"/>
    <w:autoRedefine/>
    <w:qFormat/>
    <w:uiPriority w:val="0"/>
    <w:rPr>
      <w:rFonts w:ascii="宋体" w:hAnsi="宋体" w:eastAsia="宋体"/>
      <w:kern w:val="2"/>
      <w:sz w:val="24"/>
      <w:szCs w:val="24"/>
      <w:lang w:val="en-US" w:eastAsia="zh-CN" w:bidi="ar-SA"/>
    </w:rPr>
  </w:style>
  <w:style w:type="paragraph" w:customStyle="1" w:styleId="3925">
    <w:name w:val="正文格式94"/>
    <w:basedOn w:val="1"/>
    <w:autoRedefine/>
    <w:qFormat/>
    <w:uiPriority w:val="0"/>
    <w:pPr>
      <w:spacing w:line="360" w:lineRule="auto"/>
      <w:ind w:firstLine="482"/>
    </w:pPr>
    <w:rPr>
      <w:rFonts w:ascii="宋体" w:hAnsi="宋体"/>
      <w:sz w:val="24"/>
    </w:rPr>
  </w:style>
  <w:style w:type="character" w:customStyle="1" w:styleId="3926">
    <w:name w:val="正文格式 Char91"/>
    <w:autoRedefine/>
    <w:qFormat/>
    <w:uiPriority w:val="0"/>
    <w:rPr>
      <w:rFonts w:ascii="宋体" w:hAnsi="宋体" w:eastAsia="宋体"/>
      <w:kern w:val="2"/>
      <w:sz w:val="24"/>
      <w:szCs w:val="24"/>
      <w:lang w:val="en-US" w:eastAsia="zh-CN" w:bidi="ar-SA"/>
    </w:rPr>
  </w:style>
  <w:style w:type="character" w:customStyle="1" w:styleId="3927">
    <w:name w:val="标题 3 Char111"/>
    <w:autoRedefine/>
    <w:qFormat/>
    <w:uiPriority w:val="0"/>
    <w:rPr>
      <w:rFonts w:ascii="黑体" w:hAnsi="宋体" w:eastAsia="黑体"/>
      <w:b/>
      <w:bCs/>
      <w:kern w:val="2"/>
      <w:sz w:val="28"/>
      <w:szCs w:val="28"/>
      <w:lang w:val="en-US" w:eastAsia="zh-CN" w:bidi="ar-SA"/>
    </w:rPr>
  </w:style>
  <w:style w:type="paragraph" w:customStyle="1" w:styleId="3928">
    <w:name w:val="Char413"/>
    <w:basedOn w:val="1"/>
    <w:autoRedefine/>
    <w:qFormat/>
    <w:uiPriority w:val="0"/>
    <w:pPr>
      <w:ind w:left="-48"/>
    </w:pPr>
  </w:style>
  <w:style w:type="paragraph" w:customStyle="1" w:styleId="3929">
    <w:name w:val="Char Char Char Char Char Char Char28"/>
    <w:basedOn w:val="1"/>
    <w:autoRedefine/>
    <w:qFormat/>
    <w:uiPriority w:val="0"/>
  </w:style>
  <w:style w:type="paragraph" w:customStyle="1" w:styleId="3930">
    <w:name w:val="Char Char2 Char Char Char Char16"/>
    <w:basedOn w:val="1"/>
    <w:autoRedefine/>
    <w:qFormat/>
    <w:uiPriority w:val="0"/>
  </w:style>
  <w:style w:type="paragraph" w:customStyle="1" w:styleId="3931">
    <w:name w:val="Char50"/>
    <w:basedOn w:val="1"/>
    <w:autoRedefine/>
    <w:qFormat/>
    <w:uiPriority w:val="0"/>
    <w:pPr>
      <w:ind w:left="-48"/>
    </w:pPr>
  </w:style>
  <w:style w:type="character" w:customStyle="1" w:styleId="3932">
    <w:name w:val="Char Char46"/>
    <w:autoRedefine/>
    <w:qFormat/>
    <w:uiPriority w:val="0"/>
    <w:rPr>
      <w:rFonts w:ascii="黑体" w:hAnsi="Arial" w:eastAsia="黑体"/>
      <w:b/>
      <w:bCs/>
      <w:kern w:val="2"/>
      <w:sz w:val="30"/>
      <w:szCs w:val="30"/>
      <w:lang w:val="en-US" w:eastAsia="zh-CN" w:bidi="ar-SA"/>
    </w:rPr>
  </w:style>
  <w:style w:type="character" w:customStyle="1" w:styleId="3933">
    <w:name w:val="Char Char34"/>
    <w:autoRedefine/>
    <w:qFormat/>
    <w:uiPriority w:val="0"/>
    <w:rPr>
      <w:rFonts w:ascii="黑体" w:hAnsi="宋体" w:eastAsia="黑体"/>
      <w:b/>
      <w:bCs/>
      <w:kern w:val="2"/>
      <w:sz w:val="28"/>
      <w:szCs w:val="28"/>
      <w:lang w:val="en-US" w:eastAsia="zh-CN" w:bidi="ar-SA"/>
    </w:rPr>
  </w:style>
  <w:style w:type="paragraph" w:customStyle="1" w:styleId="3934">
    <w:name w:val="Char Char Char Char1 Char Char Char8"/>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3935">
    <w:name w:val="Char Char119"/>
    <w:autoRedefine/>
    <w:qFormat/>
    <w:uiPriority w:val="0"/>
    <w:rPr>
      <w:rFonts w:ascii="黑体" w:hAnsi="Arial" w:eastAsia="黑体"/>
      <w:bCs/>
      <w:kern w:val="2"/>
      <w:sz w:val="30"/>
      <w:szCs w:val="30"/>
      <w:lang w:val="en-US" w:eastAsia="zh-CN" w:bidi="ar-SA"/>
    </w:rPr>
  </w:style>
  <w:style w:type="character" w:customStyle="1" w:styleId="3936">
    <w:name w:val="Char Char54"/>
    <w:autoRedefine/>
    <w:qFormat/>
    <w:uiPriority w:val="0"/>
    <w:rPr>
      <w:rFonts w:ascii="黑体" w:hAnsi="宋体" w:eastAsia="黑体"/>
      <w:bCs/>
      <w:kern w:val="2"/>
      <w:sz w:val="28"/>
      <w:szCs w:val="28"/>
      <w:lang w:val="en-US" w:eastAsia="zh-CN" w:bidi="ar-SA"/>
    </w:rPr>
  </w:style>
  <w:style w:type="paragraph" w:customStyle="1" w:styleId="3937">
    <w:name w:val="Char119"/>
    <w:basedOn w:val="1"/>
    <w:autoRedefine/>
    <w:qFormat/>
    <w:uiPriority w:val="0"/>
    <w:pPr>
      <w:ind w:left="-48"/>
    </w:pPr>
  </w:style>
  <w:style w:type="paragraph" w:customStyle="1" w:styleId="3938">
    <w:name w:val="Char Char Char Char Char Char Char114"/>
    <w:basedOn w:val="1"/>
    <w:autoRedefine/>
    <w:qFormat/>
    <w:uiPriority w:val="0"/>
  </w:style>
  <w:style w:type="character" w:customStyle="1" w:styleId="3939">
    <w:name w:val="Char Char214"/>
    <w:autoRedefine/>
    <w:qFormat/>
    <w:uiPriority w:val="0"/>
    <w:rPr>
      <w:rFonts w:ascii="黑体" w:eastAsia="宋体"/>
      <w:kern w:val="2"/>
      <w:sz w:val="16"/>
      <w:szCs w:val="16"/>
      <w:lang w:val="en-US" w:eastAsia="zh-CN" w:bidi="ar-SA"/>
    </w:rPr>
  </w:style>
  <w:style w:type="character" w:customStyle="1" w:styleId="3940">
    <w:name w:val="Char Char124"/>
    <w:autoRedefine/>
    <w:qFormat/>
    <w:uiPriority w:val="0"/>
    <w:rPr>
      <w:rFonts w:ascii="黑体" w:hAnsi="Arial" w:eastAsia="黑体"/>
      <w:b/>
      <w:bCs/>
      <w:kern w:val="2"/>
      <w:sz w:val="30"/>
      <w:szCs w:val="30"/>
      <w:lang w:val="en-US" w:eastAsia="zh-CN" w:bidi="ar-SA"/>
    </w:rPr>
  </w:style>
  <w:style w:type="character" w:customStyle="1" w:styleId="3941">
    <w:name w:val="Char Char69"/>
    <w:autoRedefine/>
    <w:qFormat/>
    <w:uiPriority w:val="0"/>
    <w:rPr>
      <w:rFonts w:ascii="黑体" w:eastAsia="黑体"/>
      <w:b/>
      <w:bCs/>
      <w:kern w:val="2"/>
      <w:sz w:val="28"/>
      <w:szCs w:val="28"/>
      <w:lang w:val="en-US" w:eastAsia="zh-CN" w:bidi="ar-SA"/>
    </w:rPr>
  </w:style>
  <w:style w:type="paragraph" w:customStyle="1" w:styleId="3942">
    <w:name w:val="Char215"/>
    <w:basedOn w:val="1"/>
    <w:autoRedefine/>
    <w:qFormat/>
    <w:uiPriority w:val="0"/>
    <w:pPr>
      <w:ind w:left="-48"/>
    </w:pPr>
  </w:style>
  <w:style w:type="paragraph" w:customStyle="1" w:styleId="3943">
    <w:name w:val="Char314"/>
    <w:basedOn w:val="1"/>
    <w:autoRedefine/>
    <w:qFormat/>
    <w:uiPriority w:val="0"/>
    <w:pPr>
      <w:ind w:left="-48"/>
    </w:pPr>
  </w:style>
  <w:style w:type="paragraph" w:customStyle="1" w:styleId="3944">
    <w:name w:val="Char Char Char Char Char Char Char29"/>
    <w:basedOn w:val="1"/>
    <w:autoRedefine/>
    <w:qFormat/>
    <w:uiPriority w:val="0"/>
  </w:style>
  <w:style w:type="paragraph" w:customStyle="1" w:styleId="3945">
    <w:name w:val="Char414"/>
    <w:basedOn w:val="1"/>
    <w:autoRedefine/>
    <w:qFormat/>
    <w:uiPriority w:val="0"/>
    <w:pPr>
      <w:ind w:left="-48"/>
    </w:pPr>
  </w:style>
  <w:style w:type="paragraph" w:customStyle="1" w:styleId="3946">
    <w:name w:val="Char Char Char Char Char Char Char30"/>
    <w:basedOn w:val="1"/>
    <w:autoRedefine/>
    <w:qFormat/>
    <w:uiPriority w:val="0"/>
  </w:style>
  <w:style w:type="paragraph" w:customStyle="1" w:styleId="3947">
    <w:name w:val="Char Char2 Char Char Char Char17"/>
    <w:basedOn w:val="1"/>
    <w:autoRedefine/>
    <w:qFormat/>
    <w:uiPriority w:val="0"/>
  </w:style>
  <w:style w:type="paragraph" w:customStyle="1" w:styleId="3948">
    <w:name w:val="Char55"/>
    <w:basedOn w:val="1"/>
    <w:autoRedefine/>
    <w:qFormat/>
    <w:uiPriority w:val="0"/>
    <w:pPr>
      <w:ind w:left="-48"/>
    </w:pPr>
  </w:style>
  <w:style w:type="character" w:customStyle="1" w:styleId="3949">
    <w:name w:val="Char Char47"/>
    <w:autoRedefine/>
    <w:qFormat/>
    <w:uiPriority w:val="0"/>
    <w:rPr>
      <w:rFonts w:ascii="黑体" w:hAnsi="Arial" w:eastAsia="黑体"/>
      <w:b/>
      <w:bCs/>
      <w:kern w:val="2"/>
      <w:sz w:val="30"/>
      <w:szCs w:val="30"/>
      <w:lang w:val="en-US" w:eastAsia="zh-CN" w:bidi="ar-SA"/>
    </w:rPr>
  </w:style>
  <w:style w:type="character" w:customStyle="1" w:styleId="3950">
    <w:name w:val="Char Char35"/>
    <w:autoRedefine/>
    <w:qFormat/>
    <w:uiPriority w:val="0"/>
    <w:rPr>
      <w:rFonts w:ascii="黑体" w:hAnsi="宋体" w:eastAsia="黑体"/>
      <w:b/>
      <w:bCs/>
      <w:kern w:val="2"/>
      <w:sz w:val="28"/>
      <w:szCs w:val="28"/>
      <w:lang w:val="en-US" w:eastAsia="zh-CN" w:bidi="ar-SA"/>
    </w:rPr>
  </w:style>
  <w:style w:type="paragraph" w:customStyle="1" w:styleId="3951">
    <w:name w:val="Char Char Char Char1 Char Char Char9"/>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3952">
    <w:name w:val="Char Char1110"/>
    <w:autoRedefine/>
    <w:qFormat/>
    <w:uiPriority w:val="0"/>
    <w:rPr>
      <w:rFonts w:ascii="黑体" w:hAnsi="Arial" w:eastAsia="黑体"/>
      <w:bCs/>
      <w:kern w:val="2"/>
      <w:sz w:val="30"/>
      <w:szCs w:val="30"/>
      <w:lang w:val="en-US" w:eastAsia="zh-CN" w:bidi="ar-SA"/>
    </w:rPr>
  </w:style>
  <w:style w:type="character" w:customStyle="1" w:styleId="3953">
    <w:name w:val="Char Char55"/>
    <w:autoRedefine/>
    <w:qFormat/>
    <w:uiPriority w:val="0"/>
    <w:rPr>
      <w:rFonts w:ascii="黑体" w:hAnsi="宋体" w:eastAsia="黑体"/>
      <w:bCs/>
      <w:kern w:val="2"/>
      <w:sz w:val="28"/>
      <w:szCs w:val="28"/>
      <w:lang w:val="en-US" w:eastAsia="zh-CN" w:bidi="ar-SA"/>
    </w:rPr>
  </w:style>
  <w:style w:type="paragraph" w:customStyle="1" w:styleId="3954">
    <w:name w:val="Char120"/>
    <w:basedOn w:val="1"/>
    <w:autoRedefine/>
    <w:qFormat/>
    <w:uiPriority w:val="0"/>
    <w:pPr>
      <w:ind w:left="-48"/>
    </w:pPr>
  </w:style>
  <w:style w:type="paragraph" w:customStyle="1" w:styleId="3955">
    <w:name w:val="Char Char Char Char Char Char Char115"/>
    <w:basedOn w:val="1"/>
    <w:autoRedefine/>
    <w:qFormat/>
    <w:uiPriority w:val="0"/>
  </w:style>
  <w:style w:type="character" w:customStyle="1" w:styleId="3956">
    <w:name w:val="Char Char215"/>
    <w:autoRedefine/>
    <w:qFormat/>
    <w:uiPriority w:val="0"/>
    <w:rPr>
      <w:rFonts w:ascii="黑体" w:eastAsia="宋体"/>
      <w:kern w:val="2"/>
      <w:sz w:val="16"/>
      <w:szCs w:val="16"/>
      <w:lang w:val="en-US" w:eastAsia="zh-CN" w:bidi="ar-SA"/>
    </w:rPr>
  </w:style>
  <w:style w:type="character" w:customStyle="1" w:styleId="3957">
    <w:name w:val="Char Char125"/>
    <w:autoRedefine/>
    <w:qFormat/>
    <w:uiPriority w:val="0"/>
    <w:rPr>
      <w:rFonts w:ascii="黑体" w:hAnsi="Arial" w:eastAsia="黑体"/>
      <w:b/>
      <w:bCs/>
      <w:kern w:val="2"/>
      <w:sz w:val="30"/>
      <w:szCs w:val="30"/>
      <w:lang w:val="en-US" w:eastAsia="zh-CN" w:bidi="ar-SA"/>
    </w:rPr>
  </w:style>
  <w:style w:type="character" w:customStyle="1" w:styleId="3958">
    <w:name w:val="Char Char610"/>
    <w:autoRedefine/>
    <w:qFormat/>
    <w:uiPriority w:val="0"/>
    <w:rPr>
      <w:rFonts w:ascii="黑体" w:eastAsia="黑体"/>
      <w:b/>
      <w:bCs/>
      <w:kern w:val="2"/>
      <w:sz w:val="28"/>
      <w:szCs w:val="28"/>
      <w:lang w:val="en-US" w:eastAsia="zh-CN" w:bidi="ar-SA"/>
    </w:rPr>
  </w:style>
  <w:style w:type="paragraph" w:customStyle="1" w:styleId="3959">
    <w:name w:val="Char216"/>
    <w:basedOn w:val="1"/>
    <w:autoRedefine/>
    <w:qFormat/>
    <w:uiPriority w:val="0"/>
    <w:pPr>
      <w:ind w:left="-48"/>
    </w:pPr>
  </w:style>
  <w:style w:type="paragraph" w:customStyle="1" w:styleId="3960">
    <w:name w:val="Char315"/>
    <w:basedOn w:val="1"/>
    <w:autoRedefine/>
    <w:qFormat/>
    <w:uiPriority w:val="0"/>
    <w:pPr>
      <w:ind w:left="-48"/>
    </w:pPr>
  </w:style>
  <w:style w:type="paragraph" w:customStyle="1" w:styleId="3961">
    <w:name w:val="Char Char Char Char Char Char Char210"/>
    <w:basedOn w:val="1"/>
    <w:autoRedefine/>
    <w:qFormat/>
    <w:uiPriority w:val="0"/>
  </w:style>
  <w:style w:type="paragraph" w:customStyle="1" w:styleId="3962">
    <w:name w:val="Char415"/>
    <w:basedOn w:val="1"/>
    <w:autoRedefine/>
    <w:qFormat/>
    <w:uiPriority w:val="0"/>
    <w:pPr>
      <w:ind w:left="-48"/>
    </w:pPr>
  </w:style>
  <w:style w:type="paragraph" w:customStyle="1" w:styleId="3963">
    <w:name w:val="Char Char Char Char Char Char Char33"/>
    <w:basedOn w:val="1"/>
    <w:autoRedefine/>
    <w:qFormat/>
    <w:uiPriority w:val="0"/>
  </w:style>
  <w:style w:type="paragraph" w:customStyle="1" w:styleId="3964">
    <w:name w:val="Char Char2 Char Char Char Char18"/>
    <w:basedOn w:val="1"/>
    <w:autoRedefine/>
    <w:qFormat/>
    <w:uiPriority w:val="0"/>
  </w:style>
  <w:style w:type="paragraph" w:customStyle="1" w:styleId="3965">
    <w:name w:val="Char56"/>
    <w:basedOn w:val="1"/>
    <w:autoRedefine/>
    <w:qFormat/>
    <w:uiPriority w:val="0"/>
    <w:pPr>
      <w:ind w:left="-48"/>
    </w:pPr>
  </w:style>
  <w:style w:type="character" w:customStyle="1" w:styleId="3966">
    <w:name w:val="Char Char48"/>
    <w:autoRedefine/>
    <w:qFormat/>
    <w:uiPriority w:val="0"/>
    <w:rPr>
      <w:rFonts w:ascii="黑体" w:hAnsi="Arial" w:eastAsia="黑体"/>
      <w:b/>
      <w:bCs/>
      <w:kern w:val="2"/>
      <w:sz w:val="30"/>
      <w:szCs w:val="30"/>
      <w:lang w:val="en-US" w:eastAsia="zh-CN" w:bidi="ar-SA"/>
    </w:rPr>
  </w:style>
  <w:style w:type="character" w:customStyle="1" w:styleId="3967">
    <w:name w:val="Char Char36"/>
    <w:autoRedefine/>
    <w:qFormat/>
    <w:uiPriority w:val="0"/>
    <w:rPr>
      <w:rFonts w:ascii="黑体" w:hAnsi="宋体" w:eastAsia="黑体"/>
      <w:b/>
      <w:bCs/>
      <w:kern w:val="2"/>
      <w:sz w:val="28"/>
      <w:szCs w:val="28"/>
      <w:lang w:val="en-US" w:eastAsia="zh-CN" w:bidi="ar-SA"/>
    </w:rPr>
  </w:style>
  <w:style w:type="paragraph" w:customStyle="1" w:styleId="3968">
    <w:name w:val="Char Char Char Char1 Char Char Char10"/>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3969">
    <w:name w:val="Char Char1112"/>
    <w:autoRedefine/>
    <w:qFormat/>
    <w:uiPriority w:val="0"/>
    <w:rPr>
      <w:rFonts w:ascii="黑体" w:hAnsi="Arial" w:eastAsia="黑体"/>
      <w:bCs/>
      <w:kern w:val="2"/>
      <w:sz w:val="30"/>
      <w:szCs w:val="30"/>
      <w:lang w:val="en-US" w:eastAsia="zh-CN" w:bidi="ar-SA"/>
    </w:rPr>
  </w:style>
  <w:style w:type="character" w:customStyle="1" w:styleId="3970">
    <w:name w:val="Char Char56"/>
    <w:autoRedefine/>
    <w:qFormat/>
    <w:uiPriority w:val="0"/>
    <w:rPr>
      <w:rFonts w:ascii="黑体" w:hAnsi="宋体" w:eastAsia="黑体"/>
      <w:bCs/>
      <w:kern w:val="2"/>
      <w:sz w:val="28"/>
      <w:szCs w:val="28"/>
      <w:lang w:val="en-US" w:eastAsia="zh-CN" w:bidi="ar-SA"/>
    </w:rPr>
  </w:style>
  <w:style w:type="paragraph" w:customStyle="1" w:styleId="3971">
    <w:name w:val="Char123"/>
    <w:basedOn w:val="1"/>
    <w:autoRedefine/>
    <w:qFormat/>
    <w:uiPriority w:val="0"/>
    <w:pPr>
      <w:ind w:left="-48"/>
    </w:pPr>
  </w:style>
  <w:style w:type="paragraph" w:customStyle="1" w:styleId="3972">
    <w:name w:val="Char Char Char Char Char Char Char116"/>
    <w:basedOn w:val="1"/>
    <w:autoRedefine/>
    <w:qFormat/>
    <w:uiPriority w:val="0"/>
  </w:style>
  <w:style w:type="character" w:customStyle="1" w:styleId="3973">
    <w:name w:val="Char Char216"/>
    <w:autoRedefine/>
    <w:qFormat/>
    <w:uiPriority w:val="0"/>
    <w:rPr>
      <w:rFonts w:ascii="黑体" w:eastAsia="宋体"/>
      <w:kern w:val="2"/>
      <w:sz w:val="16"/>
      <w:szCs w:val="16"/>
      <w:lang w:val="en-US" w:eastAsia="zh-CN" w:bidi="ar-SA"/>
    </w:rPr>
  </w:style>
  <w:style w:type="character" w:customStyle="1" w:styleId="3974">
    <w:name w:val="Char Char126"/>
    <w:autoRedefine/>
    <w:qFormat/>
    <w:uiPriority w:val="0"/>
    <w:rPr>
      <w:rFonts w:ascii="黑体" w:hAnsi="Arial" w:eastAsia="黑体"/>
      <w:b/>
      <w:bCs/>
      <w:kern w:val="2"/>
      <w:sz w:val="30"/>
      <w:szCs w:val="30"/>
      <w:lang w:val="en-US" w:eastAsia="zh-CN" w:bidi="ar-SA"/>
    </w:rPr>
  </w:style>
  <w:style w:type="character" w:customStyle="1" w:styleId="3975">
    <w:name w:val="Char Char612"/>
    <w:autoRedefine/>
    <w:qFormat/>
    <w:uiPriority w:val="0"/>
    <w:rPr>
      <w:rFonts w:ascii="黑体" w:eastAsia="黑体"/>
      <w:b/>
      <w:bCs/>
      <w:kern w:val="2"/>
      <w:sz w:val="28"/>
      <w:szCs w:val="28"/>
      <w:lang w:val="en-US" w:eastAsia="zh-CN" w:bidi="ar-SA"/>
    </w:rPr>
  </w:style>
  <w:style w:type="paragraph" w:customStyle="1" w:styleId="3976">
    <w:name w:val="Char217"/>
    <w:basedOn w:val="1"/>
    <w:autoRedefine/>
    <w:qFormat/>
    <w:uiPriority w:val="0"/>
    <w:pPr>
      <w:ind w:left="-48"/>
    </w:pPr>
  </w:style>
  <w:style w:type="paragraph" w:customStyle="1" w:styleId="3977">
    <w:name w:val="Char316"/>
    <w:basedOn w:val="1"/>
    <w:autoRedefine/>
    <w:qFormat/>
    <w:uiPriority w:val="0"/>
    <w:pPr>
      <w:ind w:left="-48"/>
    </w:pPr>
  </w:style>
  <w:style w:type="paragraph" w:customStyle="1" w:styleId="3978">
    <w:name w:val="Char Char Char Char Char Char Char213"/>
    <w:basedOn w:val="1"/>
    <w:autoRedefine/>
    <w:qFormat/>
    <w:uiPriority w:val="0"/>
  </w:style>
  <w:style w:type="paragraph" w:customStyle="1" w:styleId="3979">
    <w:name w:val="Char416"/>
    <w:basedOn w:val="1"/>
    <w:autoRedefine/>
    <w:qFormat/>
    <w:uiPriority w:val="0"/>
    <w:pPr>
      <w:ind w:left="-48"/>
    </w:pPr>
  </w:style>
  <w:style w:type="paragraph" w:customStyle="1" w:styleId="3980">
    <w:name w:val="Char Char Char Char Char Char Char34"/>
    <w:basedOn w:val="1"/>
    <w:autoRedefine/>
    <w:qFormat/>
    <w:uiPriority w:val="0"/>
  </w:style>
  <w:style w:type="paragraph" w:customStyle="1" w:styleId="3981">
    <w:name w:val="Char Char2 Char Char Char Char19"/>
    <w:basedOn w:val="1"/>
    <w:autoRedefine/>
    <w:qFormat/>
    <w:uiPriority w:val="0"/>
  </w:style>
  <w:style w:type="paragraph" w:customStyle="1" w:styleId="3982">
    <w:name w:val="Char57"/>
    <w:basedOn w:val="1"/>
    <w:autoRedefine/>
    <w:qFormat/>
    <w:uiPriority w:val="0"/>
    <w:pPr>
      <w:ind w:left="-48"/>
    </w:pPr>
  </w:style>
  <w:style w:type="character" w:customStyle="1" w:styleId="3983">
    <w:name w:val="Char Char49"/>
    <w:autoRedefine/>
    <w:qFormat/>
    <w:uiPriority w:val="0"/>
    <w:rPr>
      <w:rFonts w:ascii="黑体" w:hAnsi="Arial" w:eastAsia="黑体"/>
      <w:b/>
      <w:bCs/>
      <w:kern w:val="2"/>
      <w:sz w:val="30"/>
      <w:szCs w:val="30"/>
      <w:lang w:val="en-US" w:eastAsia="zh-CN" w:bidi="ar-SA"/>
    </w:rPr>
  </w:style>
  <w:style w:type="character" w:customStyle="1" w:styleId="3984">
    <w:name w:val="Char Char37"/>
    <w:autoRedefine/>
    <w:qFormat/>
    <w:uiPriority w:val="0"/>
    <w:rPr>
      <w:rFonts w:ascii="黑体" w:hAnsi="宋体" w:eastAsia="黑体"/>
      <w:b/>
      <w:bCs/>
      <w:kern w:val="2"/>
      <w:sz w:val="28"/>
      <w:szCs w:val="28"/>
      <w:lang w:val="en-US" w:eastAsia="zh-CN" w:bidi="ar-SA"/>
    </w:rPr>
  </w:style>
  <w:style w:type="paragraph" w:customStyle="1" w:styleId="3985">
    <w:name w:val="Char Char Char Char1 Char Char Char13"/>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3986">
    <w:name w:val="Char Char1113"/>
    <w:autoRedefine/>
    <w:qFormat/>
    <w:uiPriority w:val="0"/>
    <w:rPr>
      <w:rFonts w:ascii="黑体" w:hAnsi="Arial" w:eastAsia="黑体"/>
      <w:bCs/>
      <w:kern w:val="2"/>
      <w:sz w:val="30"/>
      <w:szCs w:val="30"/>
      <w:lang w:val="en-US" w:eastAsia="zh-CN" w:bidi="ar-SA"/>
    </w:rPr>
  </w:style>
  <w:style w:type="character" w:customStyle="1" w:styleId="3987">
    <w:name w:val="Char Char57"/>
    <w:autoRedefine/>
    <w:qFormat/>
    <w:uiPriority w:val="0"/>
    <w:rPr>
      <w:rFonts w:ascii="黑体" w:hAnsi="宋体" w:eastAsia="黑体"/>
      <w:bCs/>
      <w:kern w:val="2"/>
      <w:sz w:val="28"/>
      <w:szCs w:val="28"/>
      <w:lang w:val="en-US" w:eastAsia="zh-CN" w:bidi="ar-SA"/>
    </w:rPr>
  </w:style>
  <w:style w:type="paragraph" w:customStyle="1" w:styleId="3988">
    <w:name w:val="Char124"/>
    <w:basedOn w:val="1"/>
    <w:autoRedefine/>
    <w:qFormat/>
    <w:uiPriority w:val="0"/>
    <w:pPr>
      <w:ind w:left="-48"/>
    </w:pPr>
  </w:style>
  <w:style w:type="paragraph" w:customStyle="1" w:styleId="3989">
    <w:name w:val="Char Char Char Char Char Char Char117"/>
    <w:basedOn w:val="1"/>
    <w:autoRedefine/>
    <w:qFormat/>
    <w:uiPriority w:val="0"/>
  </w:style>
  <w:style w:type="character" w:customStyle="1" w:styleId="3990">
    <w:name w:val="Char Char217"/>
    <w:autoRedefine/>
    <w:qFormat/>
    <w:uiPriority w:val="0"/>
    <w:rPr>
      <w:rFonts w:ascii="黑体" w:eastAsia="宋体"/>
      <w:kern w:val="2"/>
      <w:sz w:val="16"/>
      <w:szCs w:val="16"/>
      <w:lang w:val="en-US" w:eastAsia="zh-CN" w:bidi="ar-SA"/>
    </w:rPr>
  </w:style>
  <w:style w:type="character" w:customStyle="1" w:styleId="3991">
    <w:name w:val="Char Char127"/>
    <w:autoRedefine/>
    <w:qFormat/>
    <w:uiPriority w:val="0"/>
    <w:rPr>
      <w:rFonts w:ascii="黑体" w:hAnsi="Arial" w:eastAsia="黑体"/>
      <w:b/>
      <w:bCs/>
      <w:kern w:val="2"/>
      <w:sz w:val="30"/>
      <w:szCs w:val="30"/>
      <w:lang w:val="en-US" w:eastAsia="zh-CN" w:bidi="ar-SA"/>
    </w:rPr>
  </w:style>
  <w:style w:type="character" w:customStyle="1" w:styleId="3992">
    <w:name w:val="Char Char613"/>
    <w:autoRedefine/>
    <w:qFormat/>
    <w:uiPriority w:val="0"/>
    <w:rPr>
      <w:rFonts w:ascii="黑体" w:eastAsia="黑体"/>
      <w:b/>
      <w:bCs/>
      <w:kern w:val="2"/>
      <w:sz w:val="28"/>
      <w:szCs w:val="28"/>
      <w:lang w:val="en-US" w:eastAsia="zh-CN" w:bidi="ar-SA"/>
    </w:rPr>
  </w:style>
  <w:style w:type="paragraph" w:customStyle="1" w:styleId="3993">
    <w:name w:val="Char218"/>
    <w:basedOn w:val="1"/>
    <w:autoRedefine/>
    <w:qFormat/>
    <w:uiPriority w:val="0"/>
    <w:pPr>
      <w:ind w:left="-48"/>
    </w:pPr>
  </w:style>
  <w:style w:type="paragraph" w:customStyle="1" w:styleId="3994">
    <w:name w:val="Char317"/>
    <w:basedOn w:val="1"/>
    <w:autoRedefine/>
    <w:qFormat/>
    <w:uiPriority w:val="0"/>
    <w:pPr>
      <w:ind w:left="-48"/>
    </w:pPr>
  </w:style>
  <w:style w:type="paragraph" w:customStyle="1" w:styleId="3995">
    <w:name w:val="Char Char Char Char Char Char Char214"/>
    <w:basedOn w:val="1"/>
    <w:autoRedefine/>
    <w:qFormat/>
    <w:uiPriority w:val="0"/>
  </w:style>
  <w:style w:type="paragraph" w:customStyle="1" w:styleId="3996">
    <w:name w:val="Char417"/>
    <w:basedOn w:val="1"/>
    <w:autoRedefine/>
    <w:qFormat/>
    <w:uiPriority w:val="0"/>
    <w:pPr>
      <w:ind w:left="-48"/>
    </w:pPr>
  </w:style>
  <w:style w:type="paragraph" w:customStyle="1" w:styleId="3997">
    <w:name w:val="Char Char Char Char Char Char Char35"/>
    <w:basedOn w:val="1"/>
    <w:autoRedefine/>
    <w:qFormat/>
    <w:uiPriority w:val="0"/>
  </w:style>
  <w:style w:type="paragraph" w:customStyle="1" w:styleId="3998">
    <w:name w:val="Char Char2 Char Char Char Char20"/>
    <w:basedOn w:val="1"/>
    <w:autoRedefine/>
    <w:qFormat/>
    <w:uiPriority w:val="0"/>
  </w:style>
  <w:style w:type="paragraph" w:customStyle="1" w:styleId="3999">
    <w:name w:val="Char58"/>
    <w:basedOn w:val="1"/>
    <w:autoRedefine/>
    <w:qFormat/>
    <w:uiPriority w:val="0"/>
    <w:pPr>
      <w:ind w:left="-48"/>
    </w:pPr>
  </w:style>
  <w:style w:type="character" w:customStyle="1" w:styleId="4000">
    <w:name w:val="Char Char410"/>
    <w:autoRedefine/>
    <w:qFormat/>
    <w:uiPriority w:val="0"/>
    <w:rPr>
      <w:rFonts w:ascii="黑体" w:hAnsi="Arial" w:eastAsia="黑体"/>
      <w:b/>
      <w:bCs/>
      <w:kern w:val="2"/>
      <w:sz w:val="30"/>
      <w:szCs w:val="30"/>
      <w:lang w:val="en-US" w:eastAsia="zh-CN" w:bidi="ar-SA"/>
    </w:rPr>
  </w:style>
  <w:style w:type="character" w:customStyle="1" w:styleId="4001">
    <w:name w:val="Char Char38"/>
    <w:autoRedefine/>
    <w:qFormat/>
    <w:uiPriority w:val="0"/>
    <w:rPr>
      <w:rFonts w:ascii="黑体" w:hAnsi="宋体" w:eastAsia="黑体"/>
      <w:b/>
      <w:bCs/>
      <w:kern w:val="2"/>
      <w:sz w:val="28"/>
      <w:szCs w:val="28"/>
      <w:lang w:val="en-US" w:eastAsia="zh-CN" w:bidi="ar-SA"/>
    </w:rPr>
  </w:style>
  <w:style w:type="paragraph" w:customStyle="1" w:styleId="4002">
    <w:name w:val="Char Char Char Char1 Char Char Char14"/>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4003">
    <w:name w:val="可研正文样式1"/>
    <w:basedOn w:val="1"/>
    <w:link w:val="4004"/>
    <w:autoRedefine/>
    <w:qFormat/>
    <w:uiPriority w:val="99"/>
    <w:pPr>
      <w:widowControl/>
      <w:spacing w:line="360" w:lineRule="auto"/>
      <w:ind w:firstLine="480" w:firstLineChars="200"/>
      <w:jc w:val="left"/>
    </w:pPr>
    <w:rPr>
      <w:kern w:val="0"/>
      <w:sz w:val="24"/>
      <w:szCs w:val="20"/>
    </w:rPr>
  </w:style>
  <w:style w:type="character" w:customStyle="1" w:styleId="4004">
    <w:name w:val="可研正文样式1 Char"/>
    <w:link w:val="4003"/>
    <w:autoRedefine/>
    <w:qFormat/>
    <w:uiPriority w:val="99"/>
    <w:rPr>
      <w:sz w:val="24"/>
    </w:rPr>
  </w:style>
  <w:style w:type="paragraph" w:styleId="4005">
    <w:name w:val="List Paragraph"/>
    <w:basedOn w:val="1"/>
    <w:autoRedefine/>
    <w:qFormat/>
    <w:uiPriority w:val="34"/>
    <w:pPr>
      <w:ind w:firstLine="420" w:firstLineChars="200"/>
    </w:pPr>
  </w:style>
  <w:style w:type="character" w:customStyle="1" w:styleId="4006">
    <w:name w:val="页脚 字符1"/>
    <w:autoRedefine/>
    <w:qFormat/>
    <w:locked/>
    <w:uiPriority w:val="99"/>
    <w:rPr>
      <w:sz w:val="18"/>
    </w:rPr>
  </w:style>
  <w:style w:type="character" w:customStyle="1" w:styleId="4007">
    <w:name w:val="日期 字符1"/>
    <w:autoRedefine/>
    <w:qFormat/>
    <w:locked/>
    <w:uiPriority w:val="0"/>
    <w:rPr>
      <w:rFonts w:ascii="Times New Roman" w:hAnsi="Times New Roman" w:eastAsia="宋体"/>
      <w:sz w:val="24"/>
    </w:rPr>
  </w:style>
  <w:style w:type="character" w:customStyle="1" w:styleId="4008">
    <w:name w:val="普通(网站) 字符"/>
    <w:autoRedefine/>
    <w:qFormat/>
    <w:locked/>
    <w:uiPriority w:val="0"/>
    <w:rPr>
      <w:rFonts w:ascii="宋体" w:hAnsi="宋体" w:eastAsia="宋体"/>
      <w:sz w:val="24"/>
    </w:rPr>
  </w:style>
  <w:style w:type="character" w:customStyle="1" w:styleId="4009">
    <w:name w:val="正文文本 字符"/>
    <w:autoRedefine/>
    <w:qFormat/>
    <w:locked/>
    <w:uiPriority w:val="0"/>
    <w:rPr>
      <w:sz w:val="18"/>
    </w:rPr>
  </w:style>
  <w:style w:type="character" w:customStyle="1" w:styleId="4010">
    <w:name w:val="批注文字 字符"/>
    <w:autoRedefine/>
    <w:qFormat/>
    <w:locked/>
    <w:uiPriority w:val="99"/>
    <w:rPr>
      <w:rFonts w:ascii="Times New Roman" w:hAnsi="Times New Roman" w:eastAsia="宋体"/>
      <w:sz w:val="24"/>
    </w:rPr>
  </w:style>
  <w:style w:type="character" w:customStyle="1" w:styleId="4011">
    <w:name w:val="批注框文本 字符"/>
    <w:autoRedefine/>
    <w:qFormat/>
    <w:locked/>
    <w:uiPriority w:val="0"/>
    <w:rPr>
      <w:rFonts w:ascii="Times New Roman" w:hAnsi="Times New Roman" w:eastAsia="宋体"/>
      <w:sz w:val="18"/>
    </w:rPr>
  </w:style>
  <w:style w:type="character" w:customStyle="1" w:styleId="4012">
    <w:name w:val="批注主题 字符"/>
    <w:autoRedefine/>
    <w:qFormat/>
    <w:locked/>
    <w:uiPriority w:val="99"/>
    <w:rPr>
      <w:rFonts w:ascii="Times New Roman" w:hAnsi="Times New Roman" w:eastAsia="宋体"/>
      <w:b/>
      <w:kern w:val="2"/>
      <w:sz w:val="24"/>
    </w:rPr>
  </w:style>
  <w:style w:type="character" w:customStyle="1" w:styleId="4013">
    <w:name w:val="页眉 字符"/>
    <w:autoRedefine/>
    <w:qFormat/>
    <w:locked/>
    <w:uiPriority w:val="99"/>
    <w:rPr>
      <w:sz w:val="18"/>
    </w:rPr>
  </w:style>
  <w:style w:type="character" w:customStyle="1" w:styleId="4014">
    <w:name w:val="正文文本缩进 字符"/>
    <w:autoRedefine/>
    <w:qFormat/>
    <w:locked/>
    <w:uiPriority w:val="0"/>
    <w:rPr>
      <w:rFonts w:ascii="Times New Roman" w:hAnsi="Times New Roman" w:eastAsia="宋体"/>
      <w:sz w:val="24"/>
    </w:rPr>
  </w:style>
  <w:style w:type="character" w:customStyle="1" w:styleId="4015">
    <w:name w:val="标题 字符"/>
    <w:autoRedefine/>
    <w:qFormat/>
    <w:uiPriority w:val="0"/>
    <w:rPr>
      <w:rFonts w:ascii="等线 Light" w:hAnsi="等线 Light" w:cs="Times New Roman"/>
      <w:b/>
      <w:bCs/>
      <w:kern w:val="2"/>
      <w:sz w:val="32"/>
      <w:szCs w:val="32"/>
    </w:rPr>
  </w:style>
  <w:style w:type="character" w:customStyle="1" w:styleId="4016">
    <w:name w:val="纯文本 字符"/>
    <w:autoRedefine/>
    <w:qFormat/>
    <w:uiPriority w:val="0"/>
    <w:rPr>
      <w:rFonts w:ascii="宋体" w:hAnsi="Courier New" w:cs="Courier New"/>
      <w:kern w:val="2"/>
      <w:sz w:val="21"/>
      <w:szCs w:val="21"/>
    </w:rPr>
  </w:style>
  <w:style w:type="character" w:customStyle="1" w:styleId="4017">
    <w:name w:val="正文缩进 字符"/>
    <w:autoRedefine/>
    <w:qFormat/>
    <w:uiPriority w:val="0"/>
    <w:rPr>
      <w:lang w:val="zh-CN" w:eastAsia="zh-CN"/>
    </w:rPr>
  </w:style>
  <w:style w:type="character" w:customStyle="1" w:styleId="4018">
    <w:name w:val="正文文本缩进 3 字符"/>
    <w:autoRedefine/>
    <w:qFormat/>
    <w:uiPriority w:val="0"/>
    <w:rPr>
      <w:kern w:val="2"/>
      <w:sz w:val="16"/>
      <w:szCs w:val="16"/>
    </w:rPr>
  </w:style>
  <w:style w:type="character" w:customStyle="1" w:styleId="4019">
    <w:name w:val="标题 2 字符"/>
    <w:autoRedefine/>
    <w:qFormat/>
    <w:uiPriority w:val="9"/>
    <w:rPr>
      <w:rFonts w:ascii="宋体"/>
      <w:sz w:val="28"/>
      <w:lang w:val="zh-CN" w:eastAsia="zh-CN"/>
    </w:rPr>
  </w:style>
  <w:style w:type="character" w:customStyle="1" w:styleId="4020">
    <w:name w:val="标题 3 字符"/>
    <w:autoRedefine/>
    <w:qFormat/>
    <w:uiPriority w:val="9"/>
    <w:rPr>
      <w:rFonts w:ascii="Arial" w:hAnsi="Arial" w:eastAsia="黑体"/>
      <w:sz w:val="28"/>
      <w:szCs w:val="28"/>
      <w:lang w:val="zh-CN" w:eastAsia="zh-CN"/>
    </w:rPr>
  </w:style>
  <w:style w:type="character" w:customStyle="1" w:styleId="4021">
    <w:name w:val="标题 4 字符"/>
    <w:autoRedefine/>
    <w:qFormat/>
    <w:uiPriority w:val="0"/>
    <w:rPr>
      <w:rFonts w:ascii="等线 Light" w:hAnsi="等线 Light" w:eastAsia="等线 Light"/>
      <w:b/>
      <w:bCs/>
      <w:sz w:val="28"/>
      <w:szCs w:val="28"/>
      <w:lang w:val="zh-CN" w:eastAsia="zh-CN"/>
    </w:rPr>
  </w:style>
  <w:style w:type="character" w:customStyle="1" w:styleId="4022">
    <w:name w:val="标题 5 字符"/>
    <w:autoRedefine/>
    <w:qFormat/>
    <w:uiPriority w:val="9"/>
    <w:rPr>
      <w:rFonts w:ascii="仿宋_GB2312" w:eastAsia="仿宋_GB2312"/>
      <w:b/>
      <w:bCs/>
      <w:kern w:val="2"/>
      <w:sz w:val="28"/>
      <w:szCs w:val="28"/>
    </w:rPr>
  </w:style>
  <w:style w:type="character" w:customStyle="1" w:styleId="4023">
    <w:name w:val="标题 6 字符"/>
    <w:autoRedefine/>
    <w:qFormat/>
    <w:uiPriority w:val="9"/>
    <w:rPr>
      <w:rFonts w:ascii="Arial" w:hAnsi="Arial" w:eastAsia="黑体"/>
      <w:b/>
      <w:bCs/>
      <w:kern w:val="2"/>
      <w:sz w:val="28"/>
      <w:szCs w:val="24"/>
    </w:rPr>
  </w:style>
  <w:style w:type="character" w:customStyle="1" w:styleId="4024">
    <w:name w:val="标题 7 字符"/>
    <w:autoRedefine/>
    <w:qFormat/>
    <w:uiPriority w:val="9"/>
    <w:rPr>
      <w:rFonts w:ascii="仿宋_GB2312" w:eastAsia="仿宋_GB2312"/>
      <w:b/>
      <w:bCs/>
      <w:kern w:val="2"/>
      <w:sz w:val="28"/>
      <w:szCs w:val="24"/>
    </w:rPr>
  </w:style>
  <w:style w:type="character" w:customStyle="1" w:styleId="4025">
    <w:name w:val="标题 8 字符"/>
    <w:autoRedefine/>
    <w:qFormat/>
    <w:uiPriority w:val="9"/>
    <w:rPr>
      <w:rFonts w:ascii="Arial" w:hAnsi="Arial" w:eastAsia="黑体"/>
      <w:kern w:val="2"/>
      <w:sz w:val="28"/>
      <w:szCs w:val="24"/>
    </w:rPr>
  </w:style>
  <w:style w:type="character" w:customStyle="1" w:styleId="4026">
    <w:name w:val="标题 9 字符"/>
    <w:autoRedefine/>
    <w:qFormat/>
    <w:uiPriority w:val="9"/>
    <w:rPr>
      <w:rFonts w:ascii="Arial" w:hAnsi="Arial" w:eastAsia="黑体"/>
      <w:kern w:val="2"/>
      <w:sz w:val="21"/>
      <w:szCs w:val="21"/>
    </w:rPr>
  </w:style>
  <w:style w:type="character" w:customStyle="1" w:styleId="4027">
    <w:name w:val="正文文本缩进 2 字符"/>
    <w:autoRedefine/>
    <w:qFormat/>
    <w:uiPriority w:val="0"/>
    <w:rPr>
      <w:lang w:val="zh-CN" w:eastAsia="zh-CN"/>
    </w:rPr>
  </w:style>
  <w:style w:type="character" w:customStyle="1" w:styleId="4028">
    <w:name w:val="正文文本 2 字符"/>
    <w:autoRedefine/>
    <w:qFormat/>
    <w:uiPriority w:val="0"/>
    <w:rPr>
      <w:lang w:val="zh-CN" w:eastAsia="zh-CN"/>
    </w:rPr>
  </w:style>
  <w:style w:type="character" w:customStyle="1" w:styleId="4029">
    <w:name w:val="标题 1 字符"/>
    <w:autoRedefine/>
    <w:qFormat/>
    <w:uiPriority w:val="9"/>
    <w:rPr>
      <w:rFonts w:eastAsia="黑体"/>
      <w:b/>
      <w:bCs/>
      <w:color w:val="000000"/>
      <w:kern w:val="44"/>
      <w:sz w:val="30"/>
      <w:szCs w:val="30"/>
    </w:rPr>
  </w:style>
  <w:style w:type="character" w:customStyle="1" w:styleId="4030">
    <w:name w:val="正文文本 3 字符"/>
    <w:autoRedefine/>
    <w:qFormat/>
    <w:uiPriority w:val="0"/>
    <w:rPr>
      <w:lang w:val="zh-CN" w:eastAsia="zh-CN"/>
    </w:rPr>
  </w:style>
  <w:style w:type="paragraph" w:customStyle="1" w:styleId="4031">
    <w:name w:val="目录 2级标题"/>
    <w:autoRedefine/>
    <w:qFormat/>
    <w:uiPriority w:val="0"/>
    <w:pPr>
      <w:widowControl w:val="0"/>
      <w:spacing w:line="500" w:lineRule="exact"/>
      <w:jc w:val="both"/>
    </w:pPr>
    <w:rPr>
      <w:rFonts w:ascii="Times New Roman" w:hAnsi="Times New Roman" w:eastAsia="宋体" w:cs="Times New Roman"/>
      <w:lang w:val="en-US" w:eastAsia="zh-CN" w:bidi="ar-SA"/>
    </w:rPr>
  </w:style>
  <w:style w:type="character" w:customStyle="1" w:styleId="4032">
    <w:name w:val="文档结构图 字符"/>
    <w:autoRedefine/>
    <w:qFormat/>
    <w:uiPriority w:val="99"/>
    <w:rPr>
      <w:shd w:val="clear" w:color="auto" w:fill="000080"/>
      <w:lang w:val="zh-CN" w:eastAsia="zh-CN"/>
    </w:rPr>
  </w:style>
  <w:style w:type="character" w:customStyle="1" w:styleId="4033">
    <w:name w:val="HTML 预设格式 字符"/>
    <w:autoRedefine/>
    <w:qFormat/>
    <w:uiPriority w:val="99"/>
    <w:rPr>
      <w:rFonts w:ascii="黑体" w:hAnsi="Courier New" w:eastAsia="黑体"/>
      <w:lang w:val="zh-CN" w:eastAsia="zh-CN"/>
    </w:rPr>
  </w:style>
  <w:style w:type="character" w:customStyle="1" w:styleId="4034">
    <w:name w:val="题注 字符"/>
    <w:autoRedefine/>
    <w:qFormat/>
    <w:uiPriority w:val="0"/>
    <w:rPr>
      <w:rFonts w:ascii="Arial" w:hAnsi="Arial" w:eastAsia="黑体"/>
      <w:lang w:val="zh-CN" w:eastAsia="zh-CN"/>
    </w:rPr>
  </w:style>
  <w:style w:type="character" w:customStyle="1" w:styleId="4035">
    <w:name w:val="纯文本 Char1"/>
    <w:autoRedefine/>
    <w:qFormat/>
    <w:uiPriority w:val="0"/>
    <w:rPr>
      <w:rFonts w:ascii="宋体" w:hAnsi="Courier New" w:eastAsia="宋体" w:cs="Courier New"/>
      <w:kern w:val="2"/>
      <w:sz w:val="21"/>
      <w:szCs w:val="21"/>
      <w:lang w:val="en-US" w:eastAsia="zh-CN" w:bidi="ar-SA"/>
    </w:rPr>
  </w:style>
  <w:style w:type="paragraph" w:customStyle="1" w:styleId="4036">
    <w:name w:val="z-窗体顶端2"/>
    <w:basedOn w:val="1"/>
    <w:next w:val="1"/>
    <w:link w:val="4038"/>
    <w:autoRedefine/>
    <w:unhideWhenUsed/>
    <w:qFormat/>
    <w:uiPriority w:val="99"/>
    <w:pPr>
      <w:widowControl/>
      <w:pBdr>
        <w:bottom w:val="single" w:color="auto" w:sz="6" w:space="1"/>
      </w:pBdr>
      <w:jc w:val="center"/>
    </w:pPr>
    <w:rPr>
      <w:rFonts w:ascii="Arial" w:hAnsi="Arial"/>
      <w:vanish/>
      <w:kern w:val="0"/>
      <w:sz w:val="16"/>
      <w:szCs w:val="16"/>
    </w:rPr>
  </w:style>
  <w:style w:type="character" w:customStyle="1" w:styleId="4037">
    <w:name w:val="z-窗体顶端 Char1"/>
    <w:basedOn w:val="129"/>
    <w:autoRedefine/>
    <w:semiHidden/>
    <w:qFormat/>
    <w:uiPriority w:val="99"/>
    <w:rPr>
      <w:rFonts w:ascii="Arial" w:hAnsi="Arial" w:cs="Arial"/>
      <w:vanish/>
      <w:kern w:val="2"/>
      <w:sz w:val="16"/>
      <w:szCs w:val="16"/>
    </w:rPr>
  </w:style>
  <w:style w:type="character" w:customStyle="1" w:styleId="4038">
    <w:name w:val="z-窗体顶端 Char2"/>
    <w:link w:val="4036"/>
    <w:autoRedefine/>
    <w:qFormat/>
    <w:uiPriority w:val="99"/>
    <w:rPr>
      <w:rFonts w:ascii="Arial" w:hAnsi="Arial"/>
      <w:vanish/>
      <w:sz w:val="16"/>
      <w:szCs w:val="16"/>
    </w:rPr>
  </w:style>
  <w:style w:type="paragraph" w:customStyle="1" w:styleId="4039">
    <w:name w:val="z-窗体底端2"/>
    <w:basedOn w:val="1"/>
    <w:next w:val="1"/>
    <w:link w:val="4041"/>
    <w:autoRedefine/>
    <w:unhideWhenUsed/>
    <w:qFormat/>
    <w:uiPriority w:val="99"/>
    <w:pPr>
      <w:widowControl/>
      <w:pBdr>
        <w:top w:val="single" w:color="auto" w:sz="6" w:space="1"/>
      </w:pBdr>
      <w:jc w:val="center"/>
    </w:pPr>
    <w:rPr>
      <w:rFonts w:ascii="Arial" w:hAnsi="Arial"/>
      <w:vanish/>
      <w:kern w:val="0"/>
      <w:sz w:val="16"/>
      <w:szCs w:val="16"/>
    </w:rPr>
  </w:style>
  <w:style w:type="character" w:customStyle="1" w:styleId="4040">
    <w:name w:val="z-窗体底端 Char1"/>
    <w:basedOn w:val="129"/>
    <w:autoRedefine/>
    <w:semiHidden/>
    <w:qFormat/>
    <w:uiPriority w:val="99"/>
    <w:rPr>
      <w:rFonts w:ascii="Arial" w:hAnsi="Arial" w:cs="Arial"/>
      <w:vanish/>
      <w:kern w:val="2"/>
      <w:sz w:val="16"/>
      <w:szCs w:val="16"/>
    </w:rPr>
  </w:style>
  <w:style w:type="character" w:customStyle="1" w:styleId="4041">
    <w:name w:val="z-窗体底端 Char2"/>
    <w:link w:val="4039"/>
    <w:autoRedefine/>
    <w:qFormat/>
    <w:uiPriority w:val="99"/>
    <w:rPr>
      <w:rFonts w:ascii="Arial" w:hAnsi="Arial"/>
      <w:vanish/>
      <w:sz w:val="16"/>
      <w:szCs w:val="16"/>
    </w:rPr>
  </w:style>
  <w:style w:type="character" w:customStyle="1" w:styleId="4042">
    <w:name w:val="脚注文本 字符"/>
    <w:autoRedefine/>
    <w:qFormat/>
    <w:uiPriority w:val="0"/>
    <w:rPr>
      <w:szCs w:val="24"/>
    </w:rPr>
  </w:style>
  <w:style w:type="character" w:customStyle="1" w:styleId="4043">
    <w:name w:val="注释标题 字符"/>
    <w:autoRedefine/>
    <w:qFormat/>
    <w:uiPriority w:val="0"/>
    <w:rPr>
      <w:kern w:val="2"/>
      <w:sz w:val="21"/>
      <w:szCs w:val="24"/>
    </w:rPr>
  </w:style>
  <w:style w:type="character" w:customStyle="1" w:styleId="4044">
    <w:name w:val="HTML 地址 字符"/>
    <w:autoRedefine/>
    <w:qFormat/>
    <w:uiPriority w:val="0"/>
    <w:rPr>
      <w:rFonts w:ascii="Arial" w:hAnsi="Arial" w:eastAsia="仿宋_GB2312"/>
      <w:i/>
      <w:iCs/>
      <w:sz w:val="24"/>
    </w:rPr>
  </w:style>
  <w:style w:type="character" w:customStyle="1" w:styleId="4045">
    <w:name w:val="称呼 字符"/>
    <w:autoRedefine/>
    <w:qFormat/>
    <w:uiPriority w:val="0"/>
    <w:rPr>
      <w:rFonts w:ascii="Arial" w:hAnsi="Arial" w:eastAsia="仿宋_GB2312"/>
      <w:sz w:val="24"/>
    </w:rPr>
  </w:style>
  <w:style w:type="character" w:customStyle="1" w:styleId="4046">
    <w:name w:val="电子邮件签名 字符"/>
    <w:autoRedefine/>
    <w:qFormat/>
    <w:uiPriority w:val="0"/>
    <w:rPr>
      <w:rFonts w:ascii="Arial" w:hAnsi="Arial" w:eastAsia="仿宋_GB2312"/>
      <w:sz w:val="24"/>
    </w:rPr>
  </w:style>
  <w:style w:type="character" w:customStyle="1" w:styleId="4047">
    <w:name w:val="结束语 字符"/>
    <w:autoRedefine/>
    <w:qFormat/>
    <w:uiPriority w:val="0"/>
    <w:rPr>
      <w:rFonts w:ascii="Arial" w:hAnsi="Arial" w:eastAsia="仿宋_GB2312"/>
      <w:sz w:val="24"/>
    </w:rPr>
  </w:style>
  <w:style w:type="character" w:customStyle="1" w:styleId="4048">
    <w:name w:val="签名 字符"/>
    <w:autoRedefine/>
    <w:qFormat/>
    <w:uiPriority w:val="0"/>
    <w:rPr>
      <w:rFonts w:ascii="Arial" w:hAnsi="Arial" w:eastAsia="仿宋_GB2312"/>
      <w:sz w:val="24"/>
    </w:rPr>
  </w:style>
  <w:style w:type="character" w:customStyle="1" w:styleId="4049">
    <w:name w:val="副标题 字符"/>
    <w:autoRedefine/>
    <w:qFormat/>
    <w:uiPriority w:val="0"/>
    <w:rPr>
      <w:rFonts w:ascii="Arial" w:hAnsi="Arial" w:eastAsia="仿宋_GB2312"/>
      <w:b/>
      <w:bCs/>
      <w:kern w:val="28"/>
      <w:sz w:val="32"/>
      <w:szCs w:val="32"/>
    </w:rPr>
  </w:style>
  <w:style w:type="character" w:customStyle="1" w:styleId="4050">
    <w:name w:val="信息标题 字符"/>
    <w:autoRedefine/>
    <w:qFormat/>
    <w:uiPriority w:val="0"/>
    <w:rPr>
      <w:rFonts w:ascii="Arial" w:hAnsi="Arial" w:eastAsia="仿宋_GB2312"/>
      <w:sz w:val="24"/>
      <w:shd w:val="pct20" w:color="auto" w:fill="auto"/>
    </w:rPr>
  </w:style>
  <w:style w:type="paragraph" w:customStyle="1" w:styleId="4051">
    <w:name w:val="TOC 标题2"/>
    <w:basedOn w:val="5"/>
    <w:next w:val="1"/>
    <w:autoRedefine/>
    <w:unhideWhenUsed/>
    <w:qFormat/>
    <w:uiPriority w:val="39"/>
    <w:pPr>
      <w:keepLines/>
      <w:tabs>
        <w:tab w:val="left" w:pos="360"/>
      </w:tabs>
      <w:overflowPunct/>
      <w:snapToGrid/>
      <w:spacing w:before="340" w:after="330" w:line="578" w:lineRule="auto"/>
      <w:ind w:left="357" w:firstLine="0"/>
      <w:outlineLvl w:val="9"/>
    </w:pPr>
    <w:rPr>
      <w:rFonts w:eastAsia="宋体"/>
      <w:color w:val="auto"/>
      <w:sz w:val="44"/>
      <w:szCs w:val="44"/>
    </w:rPr>
  </w:style>
  <w:style w:type="paragraph" w:customStyle="1" w:styleId="4052">
    <w:name w:val="修订2"/>
    <w:autoRedefine/>
    <w:hidden/>
    <w:qFormat/>
    <w:uiPriority w:val="99"/>
    <w:rPr>
      <w:rFonts w:ascii="仿宋_GB2312" w:hAnsi="仿宋_GB2312" w:eastAsia="仿宋_GB2312" w:cs="Times New Roman"/>
      <w:kern w:val="2"/>
      <w:sz w:val="28"/>
      <w:szCs w:val="21"/>
      <w:lang w:val="en-US" w:eastAsia="zh-CN" w:bidi="ar-SA"/>
    </w:rPr>
  </w:style>
  <w:style w:type="character" w:customStyle="1" w:styleId="4053">
    <w:name w:val="尾注文本 字符"/>
    <w:autoRedefine/>
    <w:qFormat/>
    <w:uiPriority w:val="99"/>
    <w:rPr>
      <w:rFonts w:ascii="仿宋_GB2312" w:hAnsi="仿宋_GB2312" w:eastAsia="仿宋_GB2312"/>
      <w:kern w:val="2"/>
      <w:sz w:val="28"/>
      <w:szCs w:val="21"/>
      <w:lang w:val="zh-CN" w:eastAsia="zh-CN"/>
    </w:rPr>
  </w:style>
  <w:style w:type="table" w:customStyle="1" w:styleId="4054">
    <w:name w:val="网格型6"/>
    <w:basedOn w:val="87"/>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customStyle="1" w:styleId="4055">
    <w:name w:val="标题 Char4"/>
    <w:basedOn w:val="129"/>
    <w:autoRedefine/>
    <w:qFormat/>
    <w:uiPriority w:val="0"/>
    <w:rPr>
      <w:rFonts w:hint="default" w:ascii="Times New Roman" w:hAnsi="Times New Roman" w:eastAsia="宋体" w:cs="Times New Roman"/>
      <w:b/>
      <w:bCs/>
      <w:szCs w:val="32"/>
    </w:rPr>
  </w:style>
  <w:style w:type="character" w:customStyle="1" w:styleId="4056">
    <w:name w:val="font91"/>
    <w:basedOn w:val="129"/>
    <w:autoRedefine/>
    <w:qFormat/>
    <w:uiPriority w:val="0"/>
    <w:rPr>
      <w:rFonts w:hint="default" w:ascii="Times New Roman" w:hAnsi="Times New Roman" w:cs="Times New Roman"/>
      <w:color w:val="000000"/>
      <w:sz w:val="21"/>
      <w:szCs w:val="21"/>
      <w:u w:val="none"/>
      <w:vertAlign w:val="superscript"/>
    </w:rPr>
  </w:style>
  <w:style w:type="paragraph" w:customStyle="1" w:styleId="4057">
    <w:name w:val="创业正文"/>
    <w:basedOn w:val="1"/>
    <w:autoRedefine/>
    <w:qFormat/>
    <w:uiPriority w:val="99"/>
    <w:pPr>
      <w:autoSpaceDE w:val="0"/>
      <w:autoSpaceDN w:val="0"/>
      <w:adjustRightInd w:val="0"/>
      <w:snapToGrid w:val="0"/>
      <w:spacing w:line="360" w:lineRule="auto"/>
      <w:ind w:firstLine="200" w:firstLineChars="200"/>
    </w:pPr>
    <w:rPr>
      <w:bCs/>
      <w:spacing w:val="5"/>
      <w:kern w:val="0"/>
      <w:sz w:val="24"/>
      <w:szCs w:val="21"/>
    </w:rPr>
  </w:style>
  <w:style w:type="paragraph" w:customStyle="1" w:styleId="4058">
    <w:name w:val="创业表格"/>
    <w:basedOn w:val="4059"/>
    <w:autoRedefine/>
    <w:qFormat/>
    <w:uiPriority w:val="0"/>
    <w:pPr>
      <w:spacing w:line="240" w:lineRule="auto"/>
    </w:pPr>
    <w:rPr>
      <w:b w:val="0"/>
      <w:sz w:val="21"/>
      <w:szCs w:val="21"/>
    </w:rPr>
  </w:style>
  <w:style w:type="paragraph" w:customStyle="1" w:styleId="4059">
    <w:name w:val="创业表头"/>
    <w:basedOn w:val="1"/>
    <w:autoRedefine/>
    <w:qFormat/>
    <w:uiPriority w:val="99"/>
    <w:pPr>
      <w:snapToGrid w:val="0"/>
      <w:spacing w:line="360" w:lineRule="auto"/>
      <w:jc w:val="center"/>
    </w:pPr>
    <w:rPr>
      <w:b/>
      <w:sz w:val="24"/>
      <w:szCs w:val="20"/>
    </w:rPr>
  </w:style>
  <w:style w:type="paragraph" w:customStyle="1" w:styleId="4060">
    <w:name w:val="00表格内容（居中）"/>
    <w:basedOn w:val="1"/>
    <w:autoRedefine/>
    <w:qFormat/>
    <w:uiPriority w:val="0"/>
    <w:pPr>
      <w:overflowPunct w:val="0"/>
      <w:spacing w:line="240" w:lineRule="auto"/>
      <w:ind w:firstLine="0" w:firstLineChars="0"/>
      <w:jc w:val="center"/>
      <w:textAlignment w:val="baseline"/>
    </w:pPr>
    <w:rPr>
      <w:rFonts w:ascii="Times New Roman" w:hAnsi="Times New Roman"/>
      <w:color w:val="000000" w:themeColor="text1"/>
      <w:kern w:val="0"/>
      <w:sz w:val="21"/>
      <w:szCs w:val="20"/>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24.png"/><Relationship Id="rId44" Type="http://schemas.openxmlformats.org/officeDocument/2006/relationships/image" Target="media/image23.e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e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jpeg"/><Relationship Id="rId38" Type="http://schemas.openxmlformats.org/officeDocument/2006/relationships/image" Target="media/image19.emf"/><Relationship Id="rId37" Type="http://schemas.openxmlformats.org/officeDocument/2006/relationships/oleObject" Target="embeddings/oleObject11.bin"/><Relationship Id="rId36" Type="http://schemas.openxmlformats.org/officeDocument/2006/relationships/image" Target="media/image18.emf"/><Relationship Id="rId35" Type="http://schemas.openxmlformats.org/officeDocument/2006/relationships/oleObject" Target="embeddings/oleObject10.bin"/><Relationship Id="rId34" Type="http://schemas.openxmlformats.org/officeDocument/2006/relationships/image" Target="media/image17.emf"/><Relationship Id="rId33" Type="http://schemas.openxmlformats.org/officeDocument/2006/relationships/oleObject" Target="embeddings/oleObject9.bin"/><Relationship Id="rId32" Type="http://schemas.openxmlformats.org/officeDocument/2006/relationships/image" Target="media/image16.emf"/><Relationship Id="rId31" Type="http://schemas.openxmlformats.org/officeDocument/2006/relationships/oleObject" Target="embeddings/oleObject8.bin"/><Relationship Id="rId30" Type="http://schemas.openxmlformats.org/officeDocument/2006/relationships/image" Target="media/image15.e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emf"/><Relationship Id="rId27" Type="http://schemas.openxmlformats.org/officeDocument/2006/relationships/oleObject" Target="embeddings/oleObject6.bin"/><Relationship Id="rId26" Type="http://schemas.openxmlformats.org/officeDocument/2006/relationships/image" Target="media/image13.emf"/><Relationship Id="rId25" Type="http://schemas.openxmlformats.org/officeDocument/2006/relationships/oleObject" Target="embeddings/oleObject5.bin"/><Relationship Id="rId24" Type="http://schemas.openxmlformats.org/officeDocument/2006/relationships/image" Target="media/image12.emf"/><Relationship Id="rId23" Type="http://schemas.openxmlformats.org/officeDocument/2006/relationships/oleObject" Target="embeddings/oleObject4.bin"/><Relationship Id="rId22" Type="http://schemas.openxmlformats.org/officeDocument/2006/relationships/image" Target="media/image11.tiff"/><Relationship Id="rId21" Type="http://schemas.openxmlformats.org/officeDocument/2006/relationships/image" Target="media/image10.tiff"/><Relationship Id="rId20" Type="http://schemas.openxmlformats.org/officeDocument/2006/relationships/image" Target="media/image9.tiff"/><Relationship Id="rId2" Type="http://schemas.openxmlformats.org/officeDocument/2006/relationships/settings" Target="settings.xml"/><Relationship Id="rId19" Type="http://schemas.openxmlformats.org/officeDocument/2006/relationships/image" Target="media/image8.tiff"/><Relationship Id="rId18" Type="http://schemas.openxmlformats.org/officeDocument/2006/relationships/image" Target="media/image7.tiff"/><Relationship Id="rId17" Type="http://schemas.openxmlformats.org/officeDocument/2006/relationships/image" Target="media/image6.tiff"/><Relationship Id="rId16" Type="http://schemas.openxmlformats.org/officeDocument/2006/relationships/image" Target="media/image5.tiff"/><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79653-D031-426F-BF92-7052957A3B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144</Pages>
  <Words>139</Words>
  <Characters>165</Characters>
  <Lines>1124</Lines>
  <Paragraphs>316</Paragraphs>
  <TotalTime>29</TotalTime>
  <ScaleCrop>false</ScaleCrop>
  <LinksUpToDate>false</LinksUpToDate>
  <CharactersWithSpaces>198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2021-04-15T14:49:00Z</dcterms:created>
  <dc:creator>lhj</dc:creator>
  <cp:lastModifiedBy>球球</cp:lastModifiedBy>
  <cp:lastPrinted>2026-01-09T04:13:00Z</cp:lastPrinted>
  <dcterms:modified xsi:type="dcterms:W3CDTF">2026-01-14T02:55:29Z</dcterms:modified>
  <dc:title>附件2</dc:title>
  <cp:revision>730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312ADF963E9D4D469AAFCA9783239B22_13</vt:lpwstr>
  </property>
  <property fmtid="{D5CDD505-2E9C-101B-9397-08002B2CF9AE}" pid="4" name="KSOTemplateDocerSaveRecord">
    <vt:lpwstr>eyJoZGlkIjoiYWZhMzA0MTE2MGQ3ODcwOTgyMWY3NzY0ZDhkYzQxODciLCJ1c2VySWQiOiIzODk2NzQyOTcifQ==</vt:lpwstr>
  </property>
</Properties>
</file>